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group-04f1992a5e534d7bfc3b</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Sources of (Dis-)Identification with Europe: A Q-Methodological Approach — https://doi.org/10.1080/15283488.2026.2664567</w:t>
      </w:r>
    </w:p>
    <w:p>
      <w:pPr/>
      <w:r>
        <w:rPr>
          <w:b/>
        </w:rPr>
        <w:t>Later source:</w:t>
      </w:r>
      <w:r>
        <w:t xml:space="preserve"> European Delphi Consensus on Minimum Training Standards for Dry Needling (EDNES): a protocol for a modified Delphi study — https://doi.org/10.63360/ipmm.v2.e28</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group-a43d31c78313d7ea719a</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Spatiotemporal dynamics of leptospirosis in Europe: a retrospective observational study with prospective projections — https://doi.org/10.1016/j.lanepe.2026.101671</w:t>
      </w:r>
    </w:p>
    <w:p>
      <w:pPr/>
      <w:r>
        <w:rPr>
          <w:b/>
        </w:rPr>
        <w:t>Later source:</w:t>
      </w:r>
      <w:r>
        <w:t xml:space="preserve"> Government Policy, Financial Deepening and Economic Growth in Central and Eastern Europe — https://openalex.org/W7162059004</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group-922fd9f626d5dfcec5fb</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Slow but tangible progress: the economic dividends of decarbonisation in Cyprus — https://openalex.org/W7159555102</w:t>
      </w:r>
    </w:p>
    <w:p>
      <w:pPr/>
      <w:r>
        <w:rPr>
          <w:b/>
        </w:rPr>
        <w:t>Later source:</w:t>
      </w:r>
      <w:r>
        <w:t xml:space="preserve"> The military green transition: Decarbonisation as warfighting opportunity — https://doi.org/10.1016/j.polgeo.2026.103573</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group-39996fa62cb29087104d</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Research Infrastructures and the Open Science Roadmap: European and Italian Strategies and Policies — https://doi.org/10.1007/978-3-032-29575-0_2</w:t>
      </w:r>
    </w:p>
    <w:p>
      <w:pPr/>
      <w:r>
        <w:rPr>
          <w:b/>
        </w:rPr>
        <w:t>Later source:</w:t>
      </w:r>
      <w:r>
        <w:t xml:space="preserve"> Diamond OA Policy Forum Europe: Strategies for Funding Diamond OA in Europe — https://doi.org/10.5281/zenodo.23301450</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group-1a1ab3958e73a47bf40d</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Projected Range Shifts of Emerging Agricultural Weeds Under Climate Change in Central Europe — https://doi.org/10.1111/wre.70098</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group-dedbcb54deb67ebe9d52</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A Critical Assessment of the EU’s Digital Omnibus Regulation Proposal and its Impact on the GDPR — https://doi.org/10.1163/15718093-bja10181</w:t>
      </w:r>
    </w:p>
    <w:p>
      <w:pPr/>
      <w:r>
        <w:rPr>
          <w:b/>
        </w:rPr>
        <w:t>Later source:</w:t>
      </w:r>
      <w:r>
        <w:t xml:space="preserve"> Format of emergency department electronic health records in Europe. The European initiative and the eCREAM proposal — https://doi.org/10.3389/femer.2025.1558208</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group-f0146daddc4015afd8a9</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Collaborative effort between fishers and scientists reveals first-time evidence of the smalltooth sandtiger shark (Odontaspis ferox) in Puerto Rico — https://doi.org/10.1017/s0025315425100246</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group-014cca9ac4a56e361a0c</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The impacts of virtual try-on for online shopping on consumer purchase intention: the moderating role of technology experience — https://doi.org/10.1080/23311975.2025.2500774</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group-bf6da37232a3a5459754</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The Current Landscape of Ophthalmology Training in Europe — https://doi.org/10.7759/cureus.103487</w:t>
      </w:r>
    </w:p>
    <w:p>
      <w:pPr/>
      <w:r>
        <w:rPr>
          <w:b/>
        </w:rPr>
        <w:t>Later source:</w:t>
      </w:r>
      <w:r>
        <w:t xml:space="preserve"> The 11th European variety in university chemistry education (EuroVariety) 2025 conference in Kraków, Poland — https://doi.org/10.1515/cti-2026-0058</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group-0a1aa59e6b7b378e99ee</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The Need for Synergy in Foresight Research for Healthcare and Medical Sciences — https://doi.org/10.36401/iddb-25-1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group-1a788f957ab9a013b5a3</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Feasibility, acceptability, and usability of a patient decision aid for participation in the DAHANCA 35 proton radiotherapy trial: A qualitative study — https://doi.org/10.1016/j.tipsro.2026.100425</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group-65a05aa2cf5f090740c9</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Emissions from Light-Duty Vehicles—From Statistics to Emission Regulations and Vehicle Testing in the European Union — https://doi.org/10.3390/en17010209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group-e9c3a0ded724d0f85335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An Econometric Analysis of CO2 Emission Intensity in Poland’s Blast Furnace–Basic Oxygen Furnace Steelmaking Process — https://doi.org/10.3390/su17094045</w:t>
      </w:r>
    </w:p>
    <w:p>
      <w:pPr/>
      <w:r>
        <w:rPr>
          <w:b/>
        </w:rPr>
        <w:t>Later source:</w:t>
      </w:r>
      <w:r>
        <w:t xml:space="preserve"> Carbon Capture and Storage (CCS) as a Pillar for Balancing Energy Transition and Climate Goals — https://doi.org/10.47191/etj/v10i08.12</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group-1feee94b496665b5d284</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Fleet renewal and retrofit for emission reductions in offshore logistics — https://doi.org/10.1016/j.martra.2026.100150</w:t>
      </w:r>
    </w:p>
    <w:p>
      <w:pPr/>
      <w:r>
        <w:rPr>
          <w:b/>
        </w:rPr>
        <w:t>Later source:</w:t>
      </w:r>
      <w:r>
        <w:t xml:space="preserve"> Optimized fractional-order control for finite-time stabilization of energy-saving and emission-reduction process — https://doi.org/10.1080/02286203.2026.2708078</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group-707d279dd160385e3d6c</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Agricultural Development and Industrialisation in South Korea: A Three-level Analysis of Productivity, Inter-sectoral Linkages, and GHGs Emissions — https://doi.org/10.25501/soas.01025535</w:t>
      </w:r>
    </w:p>
    <w:p>
      <w:pPr/>
      <w:r>
        <w:rPr>
          <w:b/>
        </w:rPr>
        <w:t>Later source:</w:t>
      </w:r>
      <w:r>
        <w:t xml:space="preserve"> DEVELOPMENT OF THE “GREEN” ECONOMY IN UKRAINE: CHALLENGES, FEATURES AND PROSPECTS — https://doi.org/10.32782/bses.98-10</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group-9254c34d2d028edcb393</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FORMS AND METHODS OF INNOVATIVE ACTIVITY IN THE EDUCATIONAL ENVIRONMENT OF GENERAL SECONDARY SCHOOLS IN EUROPEAN COUNTRIES — https://doi.org/10.36550/2415-7988-2026-1-224-291-295</w:t>
      </w:r>
    </w:p>
    <w:p>
      <w:pPr/>
      <w:r>
        <w:rPr>
          <w:b/>
        </w:rPr>
        <w:t>Later source:</w:t>
      </w:r>
      <w:r>
        <w:t xml:space="preserve"> Eye of Europe Foresight Training Manual — https://openalex.org/W7220785974</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group-841469986b17791652a6</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Climate change will increase forest disturbances in Europe throughout the 21st century — https://doi.org/10.1126/science.adx6329</w:t>
      </w:r>
    </w:p>
    <w:p>
      <w:pPr/>
      <w:r>
        <w:rPr>
          <w:b/>
        </w:rPr>
        <w:t>Later source:</w:t>
      </w:r>
      <w:r>
        <w:t xml:space="preserve"> Outpacing climate change: adaptation to heatwaves in Europe — https://doi.org/10.1007/s00484-025-02872-0</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group-a9c8fa559a4918c408d0</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Pathways in the European Union: Sectoral Contributions to CO2 Emissions Reductions (2000–2022) — https://doi.org/10.3390/environments13030163</w:t>
      </w:r>
    </w:p>
    <w:p>
      <w:pPr/>
      <w:r>
        <w:rPr>
          <w:b/>
        </w:rPr>
        <w:t>Later source:</w:t>
      </w:r>
      <w:r>
        <w:t xml:space="preserve"> Decarbonization of European Industry: Modelling and Open Science (DEIMOS) — https://doi.org/10.5445/ir/1000196316</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group-82f987ed33147b1cc019</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A MASS EFFECT CASE STUDY OF MORPHED HUMANITY, FROM INDIVIDUALS TO POPULATIONS IN A BIOTECHNOLOGICAL FUTURIST SOCIETY — https://openalex.org/W7112949524</w:t>
      </w:r>
    </w:p>
    <w:p>
      <w:pPr/>
      <w:r>
        <w:rPr>
          <w:b/>
        </w:rPr>
        <w:t>Later source:</w:t>
      </w:r>
      <w:r>
        <w:t xml:space="preserve"> THE ANTI-THEATER OF FUTURISTS AND DADAISTS AS A REFUTATION OF ARISTOTLE’S CONCEPT OF MIMETIC THEATER — https://doi.org/10.30970/vas.26.2025.206-216</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group-138edc5df74d24d28bbc</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Globalization and digital transformation: are impacts on skills and inequality in four future scenarios converging? — https://doi.org/10.1080/13511610.2026.2656886</w:t>
      </w:r>
    </w:p>
    <w:p>
      <w:pPr/>
      <w:r>
        <w:rPr>
          <w:b/>
        </w:rPr>
        <w:t>Later source:</w:t>
      </w:r>
      <w:r>
        <w:t xml:space="preserve"> DRIVERS OF AGILE TRANSFORMATION IN PREDICTIVE PROJECT MANAGEMENT ENVIRONMENTS — https://doi.org/10.32782/bses.100-20</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group-a108c09f5175fe2e6753</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group-056783c38b4135480674</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Factors influencing internationalization of micro-enterprises and SMEs in Central Europe — https://doi.org/10.14254/2071-8330.2025/18-1/11</w:t>
      </w:r>
    </w:p>
    <w:p>
      <w:pPr/>
      <w:r>
        <w:rPr>
          <w:b/>
        </w:rPr>
        <w:t>Later source:</w:t>
      </w:r>
      <w:r>
        <w:t xml:space="preserve"> Factors Influencing the Perception of Corruption in the Countries of the European Union — https://doi.org/10.28991/esj-2025-09-03-03</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group-6527a6a69297a0a80dec</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Molecular Epidemiology and Evolution of European Bat Lyssavirus 2 — https://doi.org/10.3390/ijms19010156</w:t>
      </w:r>
    </w:p>
    <w:p>
      <w:pPr/>
      <w:r>
        <w:rPr>
          <w:b/>
        </w:rPr>
        <w:t>Later source:</w:t>
      </w:r>
      <w:r>
        <w:t xml:space="preserve"> Mar de plástico: Masculinity, Whiteness, and Eastern European Migrants in Spanish Prime Time Television — https://doi.org/10.5070/t482041118</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group-ed2d1107e1d354ae8978</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Performance Evaluation of Concrete with Recycled Waste Polypropylene — https://doi.org/10.6084/m9.figshare.31871653</w:t>
      </w:r>
    </w:p>
    <w:p>
      <w:pPr/>
      <w:r>
        <w:rPr>
          <w:b/>
        </w:rPr>
        <w:t>Later source:</w:t>
      </w:r>
      <w:r>
        <w:t xml:space="preserve"> Territory as strategy: the spatio-temporal design of big-tech cloud computing infrastructure — https://doi.org/10.1080/1369118x.2026.2651817</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group-8804cde7ba3df6b200e8</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The Carbon Border Adjustment Mechanism: a new european tax to address carbon leakage — https://doi.org/10.4013/rechtd.2025.173.03</w:t>
      </w:r>
    </w:p>
    <w:p>
      <w:pPr/>
      <w:r>
        <w:rPr>
          <w:b/>
        </w:rPr>
        <w:t>Later source:</w:t>
      </w:r>
      <w:r>
        <w:t xml:space="preserve"> Understanding Carbon Leakage — https://doi.org/10.65864/t2cdr13ckm</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group-bb2bf052b8e57473c1d6</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Changes in Agricultural Cooperatives Following Bulgaria’s European Union Integration — https://doi.org/10.37075/isa.2020.4.05</w:t>
      </w:r>
    </w:p>
    <w:p>
      <w:pPr/>
      <w:r>
        <w:rPr>
          <w:b/>
        </w:rPr>
        <w:t>Later source:</w:t>
      </w:r>
      <w:r>
        <w:t xml:space="preserve"> The new ambitions for 2014-2020 European structural and investment funds evaluation: pouring water in a leaking container? — https://openalex.org/W2552820326</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group-f5f307b03a7c9d1c293e</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The impact of the Russia–Ukraine War on ties between the Vlaams Belang in Belgium and the Putin regime — https://doi.org/10.55271/rp0013</w:t>
      </w:r>
    </w:p>
    <w:p>
      <w:pPr/>
      <w:r>
        <w:rPr>
          <w:b/>
        </w:rPr>
        <w:t>Later source:</w:t>
      </w:r>
      <w:r>
        <w:t xml:space="preserve"> THE APPROACH OF FINLAND TO RUSSIAN OCCUPATION OF UKRAINE: SECURITISATION OF THE PUTIN REGIME / Rusya’nın Ukrayna’yı İşgaline Finlandiya’nın Yaklaşımı: Putin Rejiminin Güvenlikleştirilmesi — https://doi.org/10.29216/ueip.1144817</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group-b4a0d11b3039e4e2e98b</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European Strategic Autonomy - chances and challenges for Europe — https://openalex.org/W3129001693</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group-de160e6a1c66e9ed92bc</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Investigating the future urban climates of European cities using an ensemble of convection permitting regional climate models — https://doi.org/10.5194/egusphere-egu25-1307</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group-a6bebefbdcff910ef11b</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Revisiting the digital divide in Europe — The profile of those on the wrong side of the divide — https://doi.org/10.1016/j.telpol.2026.103206</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group-91a407856f5c2a2e8e80</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Mobility Models for a Future in Flux: Exploring Alternatives in European Teacher Education — https://doi.org/10.31244/9783818851583.10</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group-d2c5ad25b5724764a4cd</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Regional cooling potential from expansion of perennial grasses in Europe — https://doi.org/10.1038/s43247-024-01923-5</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group-08526e44f94f9117cb24</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The End of Life of PV Systems: Is Europe Ready for It? — https://doi.org/10.3390/su152316466</w:t>
      </w:r>
    </w:p>
    <w:p>
      <w:pPr/>
      <w:r>
        <w:rPr>
          <w:b/>
        </w:rPr>
        <w:t>Later source:</w:t>
      </w:r>
      <w:r>
        <w:t xml:space="preserve"> Lead contamination in raptors in Europe: A systematic review and meta-analysis — https://doi.org/10.1016/j.scitotenv.2020.141437</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group-4f7806a0ac09dfd02629</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Managing food waste in Q-commerce: insights from a European online retailer — https://doi.org/10.1108/bfj-10-2025-1366</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group-384e84b834a5cced44a9</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Quantifying the role of saltmarsh as a vulnerable carbon sink: A case study from Northern Portugal — https://doi.org/10.1016/j.scitotenv.2024.171443</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group-d1ac2a6b82002a428d3c</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The European Union's policy toward Latin America in the context of renewed strategic competition — https://doi.org/10.5281/zenodo.19131164</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Forecasting the Diffusion of Gigabit Home Networking In Europe</w:t>
      </w:r>
    </w:p>
    <w:p>
      <w:pPr>
        <w:pStyle w:val="SourceNote"/>
      </w:pPr>
      <w:r>
        <w:rPr>
          <w:b/>
        </w:rPr>
        <w:t>Group ID:</w:t>
      </w:r>
      <w:r>
        <w:t xml:space="preserve"> group-dc6b7d87e2cad1c5ef9f</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Local flexibility markets in Europe: A critical review of market designs, operational maturity and stakeholder perspectives — https://doi.org/10.1016/j.rser.2025.116434</w:t>
      </w:r>
    </w:p>
    <w:p>
      <w:pPr>
        <w:pStyle w:val="SourceNote"/>
      </w:pPr>
      <w:r>
        <w:rPr>
          <w:b/>
        </w:rPr>
        <w:t>Review status:</w:t>
      </w:r>
      <w:r>
        <w:t xml:space="preserve"> unchecked — possible relationship only</w:t>
      </w:r>
    </w:p>
    <w:p>
      <w:pPr>
        <w:pStyle w:val="Heading2"/>
      </w:pPr>
      <w:r>
        <w:t>60. Claim + two later sources: Using scenarios to assess the future supply of NHS nursing staff in England</w:t>
      </w:r>
    </w:p>
    <w:p>
      <w:pPr>
        <w:pStyle w:val="SourceNote"/>
      </w:pPr>
      <w:r>
        <w:rPr>
          <w:b/>
        </w:rPr>
        <w:t>Group ID:</w:t>
      </w:r>
      <w:r>
        <w:t xml:space="preserve"> group-bbb5de2394ceae1322ce</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Of Important — https://doi.org/10.67224/ioasdjbms.2024.v01i02.001</w:t>
      </w:r>
    </w:p>
    <w:p>
      <w:pPr/>
      <w:r>
        <w:rPr>
          <w:b/>
        </w:rPr>
        <w:t>Later source:</w:t>
      </w:r>
      <w:r>
        <w:t xml:space="preserve"> Ground Based-cloud Classification Based on Comparing Different Classification Models — https://doi.org/10.54254/2755-2721/2/20220541</w:t>
      </w:r>
    </w:p>
    <w:p>
      <w:pPr>
        <w:pStyle w:val="SourceNote"/>
      </w:pPr>
      <w:r>
        <w:rPr>
          <w:b/>
        </w:rPr>
        <w:t>Review status:</w:t>
      </w:r>
      <w:r>
        <w:t xml:space="preserve"> unchecked — possible relationship only</w:t>
      </w:r>
    </w:p>
    <w:p>
      <w:pPr>
        <w:pStyle w:val="Heading2"/>
      </w:pPr>
      <w:r>
        <w:t>61. Claim + two later sources: New system of employment forecasting in Poland</w:t>
      </w:r>
    </w:p>
    <w:p>
      <w:pPr>
        <w:pStyle w:val="SourceNote"/>
      </w:pPr>
      <w:r>
        <w:rPr>
          <w:b/>
        </w:rPr>
        <w:t>Group ID:</w:t>
      </w:r>
      <w:r>
        <w:t xml:space="preserve"> group-9718b882e3ab8727fb8b</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D5.5 Short-term ecological forecasts in support of the Bioeconomy Strategy and EU citizens — https://doi.org/10.3897/arphapreprints.e119131</w:t>
      </w:r>
    </w:p>
    <w:p>
      <w:pPr>
        <w:pStyle w:val="SourceNote"/>
      </w:pPr>
      <w:r>
        <w:rPr>
          <w:b/>
        </w:rPr>
        <w:t>Review status:</w:t>
      </w:r>
      <w:r>
        <w:t xml:space="preserve"> unchecked — possible relationship only</w:t>
      </w:r>
    </w:p>
    <w:p>
      <w:pPr>
        <w:pStyle w:val="Heading2"/>
      </w:pPr>
      <w:r>
        <w:t>62.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63. Claim + two later sources: Modeling the climatic suitability of leishmaniasis vector species in Europe</w:t>
      </w:r>
    </w:p>
    <w:p>
      <w:pPr>
        <w:pStyle w:val="SourceNote"/>
      </w:pPr>
      <w:r>
        <w:rPr>
          <w:b/>
        </w:rPr>
        <w:t>Group ID:</w:t>
      </w:r>
      <w:r>
        <w:t xml:space="preserve"> group-d06d3405aa4a0771b8c1</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Ash dieback and hydrology affect tree growth patterns under climate change in European floodplain forests — https://doi.org/10.1038/s41598-025-92079-5</w:t>
      </w:r>
    </w:p>
    <w:p>
      <w:pPr>
        <w:pStyle w:val="SourceNote"/>
      </w:pPr>
      <w:r>
        <w:rPr>
          <w:b/>
        </w:rPr>
        <w:t>Review status:</w:t>
      </w:r>
      <w:r>
        <w:t xml:space="preserve"> unchecked — possible relationship only</w:t>
      </w:r>
    </w:p>
    <w:p>
      <w:pPr>
        <w:pStyle w:val="Heading2"/>
      </w:pPr>
      <w:r>
        <w:t>64. Claim + two later sources: Beyond Futures: Designing Futures by Educating Future Designers</w:t>
      </w:r>
    </w:p>
    <w:p>
      <w:pPr>
        <w:pStyle w:val="SourceNote"/>
      </w:pPr>
      <w:r>
        <w:rPr>
          <w:b/>
        </w:rPr>
        <w:t>Group ID:</w:t>
      </w:r>
      <w:r>
        <w:t xml:space="preserve"> group-1e856a6060f6029cc997</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Creating meaningful work in the age of AI: explainable AI, explainability, and why it matters to organizational designers — https://doi.org/10.1007/s00146-023-01633-0</w:t>
      </w:r>
    </w:p>
    <w:p>
      <w:pPr/>
      <w:r>
        <w:rPr>
          <w:b/>
        </w:rPr>
        <w:t>Later source:</w:t>
      </w:r>
      <w:r>
        <w:t xml:space="preserve"> Understanding Design Collaboration Between Designers and Artificial Intelligence: A Systematic Literature Review — https://doi.org/10.1145/3610217</w:t>
      </w:r>
    </w:p>
    <w:p>
      <w:pPr>
        <w:pStyle w:val="SourceNote"/>
      </w:pPr>
      <w:r>
        <w:rPr>
          <w:b/>
        </w:rPr>
        <w:t>Review status:</w:t>
      </w:r>
      <w:r>
        <w:t xml:space="preserve"> unchecked — possible relationship only</w:t>
      </w:r>
    </w:p>
    <w:p>
      <w:pPr>
        <w:pStyle w:val="Heading2"/>
      </w:pPr>
      <w:r>
        <w:t>65. Claim + two later sources: Baltic herring for food: Shades of grey in how backcasting recommendations work across exploratory scenarios</w:t>
      </w:r>
    </w:p>
    <w:p>
      <w:pPr>
        <w:pStyle w:val="SourceNote"/>
      </w:pPr>
      <w:r>
        <w:rPr>
          <w:b/>
        </w:rPr>
        <w:t>Group ID:</w:t>
      </w:r>
      <w:r>
        <w:t xml:space="preserve"> group-099feb5ce866e41483f3</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pStyle w:val="SourceNote"/>
      </w:pPr>
      <w:r>
        <w:rPr>
          <w:b/>
        </w:rPr>
        <w:t>Review status:</w:t>
      </w:r>
      <w:r>
        <w:t xml:space="preserve"> unchecked — possible relationship only</w:t>
      </w:r>
    </w:p>
    <w:p>
      <w:pPr>
        <w:pStyle w:val="Heading2"/>
      </w:pPr>
      <w:r>
        <w:t>66. Claim + two later sources: The EU climate and energy policy: what about the new targets for 2030?</w:t>
      </w:r>
    </w:p>
    <w:p>
      <w:pPr>
        <w:pStyle w:val="SourceNote"/>
      </w:pPr>
      <w:r>
        <w:rPr>
          <w:b/>
        </w:rPr>
        <w:t>Group ID:</w:t>
      </w:r>
      <w:r>
        <w:t xml:space="preserve"> group-3187e004eccbeafe8104</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Short-term renewable energy forecast errors in Europe: Spatial dependence and smoothing potential — https://doi.org/10.1016/j.renene.2026.126047</w:t>
      </w:r>
    </w:p>
    <w:p>
      <w:pPr/>
      <w:r>
        <w:rPr>
          <w:b/>
        </w:rPr>
        <w:t>Later source:</w:t>
      </w:r>
      <w:r>
        <w:t xml:space="preserve"> European Energy Vision 2060: Charting Diverse Pathways for Europe's Energy Transition — https://doi.org/10.48550/arxiv.2501.12993</w:t>
      </w:r>
    </w:p>
    <w:p>
      <w:pPr>
        <w:pStyle w:val="SourceNote"/>
      </w:pPr>
      <w:r>
        <w:rPr>
          <w:b/>
        </w:rPr>
        <w:t>Review status:</w:t>
      </w:r>
      <w:r>
        <w:t xml:space="preserve"> unchecked — possible relationship only</w:t>
      </w:r>
    </w:p>
    <w:p>
      <w:pPr>
        <w:pStyle w:val="Heading2"/>
      </w:pPr>
      <w:r>
        <w:t>67.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68.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group-2522078dd0eec1191738</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Agrarian Structure in a Small Island Region: A Typological and Spatial Analysis of Agricultural Systems in Madeira Island — https://doi.org/10.3390/su18073545</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pStyle w:val="SourceNote"/>
      </w:pPr>
      <w:r>
        <w:rPr>
          <w:b/>
        </w:rPr>
        <w:t>Review status:</w:t>
      </w:r>
      <w:r>
        <w:t xml:space="preserve"> unchecked — possible relationship only</w:t>
      </w:r>
    </w:p>
    <w:p>
      <w:pPr>
        <w:pStyle w:val="Heading2"/>
      </w:pPr>
      <w:r>
        <w:t>69. Claim + two later sources: Ensemble flood risk assessment in Europe under high end climate scenarios</w:t>
      </w:r>
    </w:p>
    <w:p>
      <w:pPr>
        <w:pStyle w:val="SourceNote"/>
      </w:pPr>
      <w:r>
        <w:rPr>
          <w:b/>
        </w:rPr>
        <w:t>Group ID:</w:t>
      </w:r>
      <w:r>
        <w:t xml:space="preserve"> group-50109adbc07d9ac134dd</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70.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71.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72. Claim + two later sources: The implications of demographic and economic projections on public pension spending in the European Union</w:t>
      </w:r>
    </w:p>
    <w:p>
      <w:pPr>
        <w:pStyle w:val="SourceNote"/>
      </w:pPr>
      <w:r>
        <w:rPr>
          <w:b/>
        </w:rPr>
        <w:t>Group ID:</w:t>
      </w:r>
      <w:r>
        <w:t xml:space="preserve"> group-59d2813407bcf76b5f92</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Australia-European Union Free Trade Agreement negotiations conclude: implications for Australian and EU geographical indications — https://doi.org/10.1093/jiplp/jpag079</w:t>
      </w:r>
    </w:p>
    <w:p>
      <w:pPr>
        <w:pStyle w:val="SourceNote"/>
      </w:pPr>
      <w:r>
        <w:rPr>
          <w:b/>
        </w:rPr>
        <w:t>Review status:</w:t>
      </w:r>
      <w:r>
        <w:t xml:space="preserve"> unchecked — possible relationship only</w:t>
      </w:r>
    </w:p>
    <w:p>
      <w:pPr>
        <w:pStyle w:val="Heading2"/>
      </w:pPr>
      <w:r>
        <w:t>73. Claim + two later sources: Actual and potential development of consumer demand on the organic food market in Europe</w:t>
      </w:r>
    </w:p>
    <w:p>
      <w:pPr>
        <w:pStyle w:val="SourceNote"/>
      </w:pPr>
      <w:r>
        <w:rPr>
          <w:b/>
        </w:rPr>
        <w:t>Group ID:</w:t>
      </w:r>
      <w:r>
        <w:t xml:space="preserve"> group-e6a0ac42c54104490048</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Optimizing opportunities for oak woodland expansion into upland pastures — https://doi.org/10.1002/2688-8319.12126</w:t>
      </w:r>
    </w:p>
    <w:p>
      <w:pPr>
        <w:pStyle w:val="SourceNote"/>
      </w:pPr>
      <w:r>
        <w:rPr>
          <w:b/>
        </w:rPr>
        <w:t>Review status:</w:t>
      </w:r>
      <w:r>
        <w:t xml:space="preserve"> unchecked — possible relationship only</w:t>
      </w:r>
    </w:p>
    <w:p>
      <w:pPr>
        <w:pStyle w:val="Heading2"/>
      </w:pPr>
      <w:r>
        <w:t>74. Claim + two later sources: Advancing tools to promote health equity across European Union regions: the EURO-HEALTHY project</w:t>
      </w:r>
    </w:p>
    <w:p>
      <w:pPr>
        <w:pStyle w:val="SourceNote"/>
      </w:pPr>
      <w:r>
        <w:rPr>
          <w:b/>
        </w:rPr>
        <w:t>Group ID:</w:t>
      </w:r>
      <w:r>
        <w:t xml:space="preserve"> group-33e0c46886d064c0bea3</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ESAIC focused guidelines for the management of the failing epidural during labour epidural analgesia — https://doi.org/10.1097/eja.0000000000002108</w:t>
      </w:r>
    </w:p>
    <w:p>
      <w:pPr>
        <w:pStyle w:val="SourceNote"/>
      </w:pPr>
      <w:r>
        <w:rPr>
          <w:b/>
        </w:rPr>
        <w:t>Review status:</w:t>
      </w:r>
      <w:r>
        <w:t xml:space="preserve"> unchecked — possible relationship only</w:t>
      </w:r>
    </w:p>
    <w:p>
      <w:pPr>
        <w:pStyle w:val="Heading2"/>
      </w:pPr>
      <w:r>
        <w:t>75.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76. Claim + two later sources: The European Union and Africa towards 2030: perspectives from transnational civil society organisations</w:t>
      </w:r>
    </w:p>
    <w:p>
      <w:pPr>
        <w:pStyle w:val="SourceNote"/>
      </w:pPr>
      <w:r>
        <w:rPr>
          <w:b/>
        </w:rPr>
        <w:t>Group ID:</w:t>
      </w:r>
      <w:r>
        <w:t xml:space="preserve"> group-f102c1a5d4607c2675f7</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WORLD EXPERIENCE OF UNIVERSITY SUSTAINABLE DEVELOPMENT — https://doi.org/10.30525/2500-946x/2023-1-12</w:t>
      </w:r>
    </w:p>
    <w:p>
      <w:pPr>
        <w:pStyle w:val="SourceNote"/>
      </w:pPr>
      <w:r>
        <w:rPr>
          <w:b/>
        </w:rPr>
        <w:t>Review status:</w:t>
      </w:r>
      <w:r>
        <w:t xml:space="preserve"> unchecked — possible relationship only</w:t>
      </w:r>
    </w:p>
    <w:p>
      <w:pPr>
        <w:pStyle w:val="Heading2"/>
      </w:pPr>
      <w:r>
        <w:t>77. Claim + two later sources: European cephalopods distribution under climate-change scenarios</w:t>
      </w:r>
    </w:p>
    <w:p>
      <w:pPr>
        <w:pStyle w:val="SourceNote"/>
      </w:pPr>
      <w:r>
        <w:rPr>
          <w:b/>
        </w:rPr>
        <w:t>Group ID:</w:t>
      </w:r>
      <w:r>
        <w:t xml:space="preserve"> group-cd4e40a6bd2d1f14213f</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Developments in the European parasitoid community of Dryocosmus kuriphilus — https://doi.org/10.64898/2026.09.01.748543</w:t>
      </w:r>
    </w:p>
    <w:p>
      <w:pPr/>
      <w:r>
        <w:rPr>
          <w:b/>
        </w:rPr>
        <w:t>Later source:</w:t>
      </w:r>
      <w:r>
        <w:t xml:space="preserve"> Climate-driven expansion of climatic suitability for Phlebotomus mascittii at its northern distribution margin in Western Europe under future socioeconomic scenarios — https://doi.org/10.1016/j.actatropica.2026.108315</w:t>
      </w:r>
    </w:p>
    <w:p>
      <w:pPr>
        <w:pStyle w:val="SourceNote"/>
      </w:pPr>
      <w:r>
        <w:rPr>
          <w:b/>
        </w:rPr>
        <w:t>Review status:</w:t>
      </w:r>
      <w:r>
        <w:t xml:space="preserve"> unchecked — possible relationship only</w:t>
      </w:r>
    </w:p>
    <w:p>
      <w:pPr>
        <w:pStyle w:val="Heading2"/>
      </w:pPr>
      <w:r>
        <w:t>78.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79. Claim + two later sources: How much can societal turning points affect forecasts’ accuracy in Europe? Case of post-communistic transformation in Slovakia and the Czech Republic</w:t>
      </w:r>
    </w:p>
    <w:p>
      <w:pPr>
        <w:pStyle w:val="SourceNote"/>
      </w:pPr>
      <w:r>
        <w:rPr>
          <w:b/>
        </w:rPr>
        <w:t>Group ID:</w:t>
      </w:r>
      <w:r>
        <w:t xml:space="preserve"> group-b45604d9ebab7e023d7d</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From Moral Crusade to European Reality: The Rights of Nature “Solution” in Search of a Problem — https://doi.org/10.1017/aju.2026.10088</w:t>
      </w:r>
    </w:p>
    <w:p>
      <w:pPr/>
      <w:r>
        <w:rPr>
          <w:b/>
        </w:rPr>
        <w:t>Later source:</w:t>
      </w:r>
      <w:r>
        <w:t xml:space="preserve"> Population genomics and molecular epidemiology of wheat powdery mildew in Europe — https://doi.org/10.1371/journal.pbio.3003097</w:t>
      </w:r>
    </w:p>
    <w:p>
      <w:pPr>
        <w:pStyle w:val="SourceNote"/>
      </w:pPr>
      <w:r>
        <w:rPr>
          <w:b/>
        </w:rPr>
        <w:t>Review status:</w:t>
      </w:r>
      <w:r>
        <w:t xml:space="preserve"> unchecked — possible relationship only</w:t>
      </w:r>
    </w:p>
    <w:p>
      <w:pPr>
        <w:pStyle w:val="Heading2"/>
      </w:pPr>
      <w:r>
        <w:t>80. Claim + two later sources: Macro Study of Global Electric Vehicle Expansion</w:t>
      </w:r>
    </w:p>
    <w:p>
      <w:pPr>
        <w:pStyle w:val="SourceNote"/>
      </w:pPr>
      <w:r>
        <w:rPr>
          <w:b/>
        </w:rPr>
        <w:t>Group ID:</w:t>
      </w:r>
      <w:r>
        <w:t xml:space="preserve"> group-6cad5d9761e8000999fc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Understanding motivations for agroforestry maintenance and adoption: a comparative analysis in Europe — https://doi.org/10.1186/s40100-026-00506-6</w:t>
      </w:r>
    </w:p>
    <w:p>
      <w:pPr/>
      <w:r>
        <w:rPr>
          <w:b/>
        </w:rPr>
        <w:t>Later source:</w:t>
      </w:r>
      <w:r>
        <w:t xml:space="preserve"> Global trends in electric vehicle adoption and the impact of environmental awareness, user attributes, and barriers — https://doi.org/10.1016/j.egyr.2024.12.054</w:t>
      </w:r>
    </w:p>
    <w:p>
      <w:pPr>
        <w:pStyle w:val="SourceNote"/>
      </w:pPr>
      <w:r>
        <w:rPr>
          <w:b/>
        </w:rPr>
        <w:t>Review status:</w:t>
      </w:r>
      <w:r>
        <w:t xml:space="preserve"> unchecked — possible relationship only</w:t>
      </w:r>
    </w:p>
    <w:p>
      <w:pPr>
        <w:pStyle w:val="Heading2"/>
      </w:pPr>
      <w:r>
        <w:t>81. Claim + two later sources: The future of direct payments system in the EU agriculture; European Commission scenarios</w:t>
      </w:r>
    </w:p>
    <w:p>
      <w:pPr>
        <w:pStyle w:val="SourceNote"/>
      </w:pPr>
      <w:r>
        <w:rPr>
          <w:b/>
        </w:rPr>
        <w:t>Group ID:</w:t>
      </w:r>
      <w:r>
        <w:t xml:space="preserve"> group-90aaaa47d44ef8473292</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Novelties Proposed by the European Commission on Victims’ Rights Protection and its Relevance for Serbian Authorities — https://doi.org/10.47152/palic2024.2</w:t>
      </w:r>
    </w:p>
    <w:p>
      <w:pPr>
        <w:pStyle w:val="SourceNote"/>
      </w:pPr>
      <w:r>
        <w:rPr>
          <w:b/>
        </w:rPr>
        <w:t>Review status:</w:t>
      </w:r>
      <w:r>
        <w:t xml:space="preserve"> unchecked — possible relationship only</w:t>
      </w:r>
    </w:p>
    <w:p>
      <w:pPr>
        <w:pStyle w:val="Heading2"/>
      </w:pPr>
      <w:r>
        <w:t>82. Claim + two later sources: Impacts of Scaling up Agroecology on the Sustainability of European Agriculture in 2050</w:t>
      </w:r>
    </w:p>
    <w:p>
      <w:pPr>
        <w:pStyle w:val="SourceNote"/>
      </w:pPr>
      <w:r>
        <w:rPr>
          <w:b/>
        </w:rPr>
        <w:t>Group ID:</w:t>
      </w:r>
      <w:r>
        <w:t xml:space="preserve"> group-3f68a680521e29b6af21</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Climate Change and Vector-Borne Diseases in Europe: Implications for Public Health and Environmental Sanitation Strategies — https://doi.org/10.3390/ijem1030010</w:t>
      </w:r>
    </w:p>
    <w:p>
      <w:pPr>
        <w:pStyle w:val="SourceNote"/>
      </w:pPr>
      <w:r>
        <w:rPr>
          <w:b/>
        </w:rPr>
        <w:t>Review status:</w:t>
      </w:r>
      <w:r>
        <w:t xml:space="preserve"> unchecked — possible relationship only</w:t>
      </w:r>
    </w:p>
    <w:p>
      <w:pPr>
        <w:pStyle w:val="Heading2"/>
      </w:pPr>
      <w:r>
        <w:t>83. Claim + two later sources: How to Achieve a Healthier and More Sustainable Europe by 2040 According to the Public? Results of a Five-Country Questionnaire Survey</w:t>
      </w:r>
    </w:p>
    <w:p>
      <w:pPr>
        <w:pStyle w:val="SourceNote"/>
      </w:pPr>
      <w:r>
        <w:rPr>
          <w:b/>
        </w:rPr>
        <w:t>Group ID:</w:t>
      </w:r>
      <w:r>
        <w:t xml:space="preserve"> group-5c594eb35cad40d64462</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Power, inclusion and the role of SMEs in European public procurement — https://doi.org/10.1108/jpbafm-06-2025-0169</w:t>
      </w:r>
    </w:p>
    <w:p>
      <w:pPr>
        <w:pStyle w:val="SourceNote"/>
      </w:pPr>
      <w:r>
        <w:rPr>
          <w:b/>
        </w:rPr>
        <w:t>Review status:</w:t>
      </w:r>
      <w:r>
        <w:t xml:space="preserve"> unchecked — possible relationship only</w:t>
      </w:r>
    </w:p>
    <w:p>
      <w:pPr>
        <w:pStyle w:val="Heading2"/>
      </w:pPr>
      <w:r>
        <w:t>84.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85. Claim + two later sources: The geography of megatrends affecting European agriculture</w:t>
      </w:r>
    </w:p>
    <w:p>
      <w:pPr>
        <w:pStyle w:val="SourceNote"/>
      </w:pPr>
      <w:r>
        <w:rPr>
          <w:b/>
        </w:rPr>
        <w:t>Group ID:</w:t>
      </w:r>
      <w:r>
        <w:t xml:space="preserve"> group-26a0c03802b82a916526</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Foresight study for addressing megatrends in information and communication technology (ICT) — https://doi.org/10.1186/s13731-025-00466-z</w:t>
      </w:r>
    </w:p>
    <w:p>
      <w:pPr>
        <w:pStyle w:val="SourceNote"/>
      </w:pPr>
      <w:r>
        <w:rPr>
          <w:b/>
        </w:rPr>
        <w:t>Review status:</w:t>
      </w:r>
      <w:r>
        <w:t xml:space="preserve"> unchecked — possible relationship only</w:t>
      </w:r>
    </w:p>
    <w:p>
      <w:pPr>
        <w:pStyle w:val="Heading2"/>
      </w:pPr>
      <w:r>
        <w:t>86. Claim + two later sources: Towards a sustainable European energy system: Linking optimization models with multi-regional input-output analysis</w:t>
      </w:r>
    </w:p>
    <w:p>
      <w:pPr>
        <w:pStyle w:val="SourceNote"/>
      </w:pPr>
      <w:r>
        <w:rPr>
          <w:b/>
        </w:rPr>
        <w:t>Group ID:</w:t>
      </w:r>
      <w:r>
        <w:t xml:space="preserve"> group-28bc95982442d95b7c0d</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Mapping where biodiversity goals meet local values in European land use futures — https://doi.org/10.5194/wbf2026-660</w:t>
      </w:r>
    </w:p>
    <w:p>
      <w:pPr/>
      <w:r>
        <w:rPr>
          <w:b/>
        </w:rPr>
        <w:t>Later source:</w:t>
      </w:r>
      <w:r>
        <w:t xml:space="preserve"> Evaluation of European Air Quality Simulations in 2019 Using the CMAQ–WRF Modeling System — https://doi.org/10.5194/egusphere-egu26-4162</w:t>
      </w:r>
    </w:p>
    <w:p>
      <w:pPr>
        <w:pStyle w:val="SourceNote"/>
      </w:pPr>
      <w:r>
        <w:rPr>
          <w:b/>
        </w:rPr>
        <w:t>Review status:</w:t>
      </w:r>
      <w:r>
        <w:t xml:space="preserve"> unchecked — possible relationship only</w:t>
      </w:r>
    </w:p>
    <w:p>
      <w:pPr>
        <w:pStyle w:val="Heading2"/>
      </w:pPr>
      <w:r>
        <w:t>87.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88. Claim + two later sources: The feasibility of a European‐wide integrated CO 2 transport network</w:t>
      </w:r>
    </w:p>
    <w:p>
      <w:pPr>
        <w:pStyle w:val="SourceNote"/>
      </w:pPr>
      <w:r>
        <w:rPr>
          <w:b/>
        </w:rPr>
        <w:t>Group ID:</w:t>
      </w:r>
      <w:r>
        <w:t xml:space="preserve"> group-cd1b013ccb3310f5f559</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Climate at what cost? A survey experiment on trade-offs between decarbonization ambitions and socioeconomic costs — https://doi.org/10.1016/j.erss.2026.104877</w:t>
      </w:r>
    </w:p>
    <w:p>
      <w:pPr>
        <w:pStyle w:val="SourceNote"/>
      </w:pPr>
      <w:r>
        <w:rPr>
          <w:b/>
        </w:rPr>
        <w:t>Review status:</w:t>
      </w:r>
      <w:r>
        <w:t xml:space="preserve"> unchecked — possible relationship only</w:t>
      </w:r>
    </w:p>
    <w:p>
      <w:pPr>
        <w:pStyle w:val="Heading2"/>
      </w:pPr>
      <w:r>
        <w:t>89. Claim + two later sources: The future of financial markets and regulation: what strategy for Europe?</w:t>
      </w:r>
    </w:p>
    <w:p>
      <w:pPr>
        <w:pStyle w:val="SourceNote"/>
      </w:pPr>
      <w:r>
        <w:rPr>
          <w:b/>
        </w:rPr>
        <w:t>Group ID:</w:t>
      </w:r>
      <w:r>
        <w:t xml:space="preserve"> group-0d20b41634b760b49d67</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GLAM metadata in museums and university collections: a state-of-the-art (Spain and other European countries) — https://doi.org/10.1108/gkmc-06-2022-0133</w:t>
      </w:r>
    </w:p>
    <w:p>
      <w:pPr>
        <w:pStyle w:val="SourceNote"/>
      </w:pPr>
      <w:r>
        <w:rPr>
          <w:b/>
        </w:rPr>
        <w:t>Review status:</w:t>
      </w:r>
      <w:r>
        <w:t xml:space="preserve"> unchecked — possible relationship only</w:t>
      </w:r>
    </w:p>
    <w:p>
      <w:pPr>
        <w:pStyle w:val="Heading2"/>
      </w:pPr>
      <w:r>
        <w:t>90. Claim + two later sources: Will the real security foresight expert please stand up?</w:t>
      </w:r>
    </w:p>
    <w:p>
      <w:pPr>
        <w:pStyle w:val="SourceNote"/>
      </w:pPr>
      <w:r>
        <w:rPr>
          <w:b/>
        </w:rPr>
        <w:t>Group ID:</w:t>
      </w:r>
      <w:r>
        <w:t xml:space="preserve"> group-682d8cb78d526789bc1d</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Language teaching in Europe: A comparative overview of pedagogical, theoretical and decolonial approaches from the region — https://openalex.org/W7208794743</w:t>
      </w:r>
    </w:p>
    <w:p>
      <w:pPr>
        <w:pStyle w:val="SourceNote"/>
      </w:pPr>
      <w:r>
        <w:rPr>
          <w:b/>
        </w:rPr>
        <w:t>Review status:</w:t>
      </w:r>
      <w:r>
        <w:t xml:space="preserve"> unchecked — possible relationship only</w:t>
      </w:r>
    </w:p>
    <w:p>
      <w:pPr>
        <w:pStyle w:val="Heading2"/>
      </w:pPr>
      <w:r>
        <w:t>91. Claim + two later sources: The state of democracy in the European Union in scenarios: federation, empire and Europe à la carte</w:t>
      </w:r>
    </w:p>
    <w:p>
      <w:pPr>
        <w:pStyle w:val="SourceNote"/>
      </w:pPr>
      <w:r>
        <w:rPr>
          <w:b/>
        </w:rPr>
        <w:t>Group ID:</w:t>
      </w:r>
      <w:r>
        <w:t xml:space="preserve"> group-f48d174f79f484c16fc2</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Media, Populism and European Democracy — https://doi.org/10.3726/b23640</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92.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93. Claim + two later sources: Climate, Energy – and Environment? Reconciliation of EU Environmental Law with the Implementation Realities of EU Climate Law</w:t>
      </w:r>
    </w:p>
    <w:p>
      <w:pPr>
        <w:pStyle w:val="SourceNote"/>
      </w:pPr>
      <w:r>
        <w:rPr>
          <w:b/>
        </w:rPr>
        <w:t>Group ID:</w:t>
      </w:r>
      <w:r>
        <w:t xml:space="preserve"> group-044efb8abdb0c8b7d38f</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pStyle w:val="SourceNote"/>
      </w:pPr>
      <w:r>
        <w:rPr>
          <w:b/>
        </w:rPr>
        <w:t>Review status:</w:t>
      </w:r>
      <w:r>
        <w:t xml:space="preserve"> unchecked — possible relationship only</w:t>
      </w:r>
    </w:p>
    <w:p>
      <w:pPr>
        <w:pStyle w:val="Heading2"/>
      </w:pPr>
      <w:r>
        <w:t>94.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95.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96. Claim + two later sources: Understanding and enhancing future infrastructure resiliency: a socio‐ecological approach</w:t>
      </w:r>
    </w:p>
    <w:p>
      <w:pPr>
        <w:pStyle w:val="SourceNote"/>
      </w:pPr>
      <w:r>
        <w:rPr>
          <w:b/>
        </w:rPr>
        <w:t>Group ID:</w:t>
      </w:r>
      <w:r>
        <w:t xml:space="preserve"> group-947297109e1cf5b94c95</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current coaching strategies from a worldview perspective — https://doi.org/10.4102/sajip.v49i0.2034</w:t>
      </w:r>
    </w:p>
    <w:p>
      <w:pPr/>
      <w:r>
        <w:rPr>
          <w:b/>
        </w:rPr>
        <w:t>Later source:</w:t>
      </w:r>
      <w:r>
        <w:t xml:space="preserve"> Problematising philosophical assumptions in EE's Invisible College — https://doi.org/10.1108/ijebr-07-2021-0553</w:t>
      </w:r>
    </w:p>
    <w:p>
      <w:pPr>
        <w:pStyle w:val="SourceNote"/>
      </w:pPr>
      <w:r>
        <w:rPr>
          <w:b/>
        </w:rPr>
        <w:t>Review status:</w:t>
      </w:r>
      <w:r>
        <w:t xml:space="preserve"> unchecked — possible relationship only</w:t>
      </w:r>
    </w:p>
    <w:p>
      <w:pPr>
        <w:pStyle w:val="Heading2"/>
      </w:pPr>
      <w:r>
        <w:t>97.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98. Claim + two later sources: Carbon intensity of the Ukrainian industry: current state and foresight</w:t>
      </w:r>
    </w:p>
    <w:p>
      <w:pPr>
        <w:pStyle w:val="SourceNote"/>
      </w:pPr>
      <w:r>
        <w:rPr>
          <w:b/>
        </w:rPr>
        <w:t>Group ID:</w:t>
      </w:r>
      <w:r>
        <w:t xml:space="preserve"> group-a8b2291e904d1e64a7de</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DIGITIZATION AS A TOOL FOR ENSURING THE PRESERVATION OF ARCHIVAL COLLECTIONS: CURRENT STATE AND PROSPECTS — https://doi.org/10.31073/istnauka202602-22</w:t>
      </w:r>
    </w:p>
    <w:p>
      <w:pPr/>
      <w:r>
        <w:rPr>
          <w:b/>
        </w:rPr>
        <w:t>Later source:</w:t>
      </w:r>
      <w:r>
        <w:t xml:space="preserve"> Preservation and Educational Preservation of Traditional Ceramic Craft Villages in the Era of Industrialization — https://doi.org/10.59324/ejahss.2026.3(3).24</w:t>
      </w:r>
    </w:p>
    <w:p>
      <w:pPr>
        <w:pStyle w:val="SourceNote"/>
      </w:pPr>
      <w:r>
        <w:rPr>
          <w:b/>
        </w:rPr>
        <w:t>Review status:</w:t>
      </w:r>
      <w:r>
        <w:t xml:space="preserve"> unchecked — possible relationship only</w:t>
      </w:r>
    </w:p>
    <w:p>
      <w:pPr>
        <w:pStyle w:val="Heading2"/>
      </w:pPr>
      <w:r>
        <w:t>99.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100. Claim + two later sources: Polish and Ukrainian foresight into the directions for the innovation of power plants</w:t>
      </w:r>
    </w:p>
    <w:p>
      <w:pPr>
        <w:pStyle w:val="SourceNote"/>
      </w:pPr>
      <w:r>
        <w:rPr>
          <w:b/>
        </w:rPr>
        <w:t>Group ID:</w:t>
      </w:r>
      <w:r>
        <w:t xml:space="preserve"> group-7b891dfc8b52313825c5</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Establish An Advanced River Flow Prediction Model Using An Artificial Intelligence Approach — https://doi.org/10.51483/ijaiml.6.6s.2026.1293-1301</w:t>
      </w:r>
    </w:p>
    <w:p>
      <w:pPr/>
      <w:r>
        <w:rPr>
          <w:b/>
        </w:rPr>
        <w:t>Later source:</w:t>
      </w:r>
      <w:r>
        <w:t xml:space="preserve"> Feasibility Model for Establishing and Implementing Smart Insurance Using a Hybrid Approach — https://openalex.org/W7217145713</w:t>
      </w:r>
    </w:p>
    <w:p>
      <w:pPr>
        <w:pStyle w:val="SourceNote"/>
      </w:pPr>
      <w:r>
        <w:rPr>
          <w:b/>
        </w:rPr>
        <w:t>Review status:</w:t>
      </w:r>
      <w:r>
        <w:t xml:space="preserve"> unchecked — possible relationship only</w:t>
      </w:r>
    </w:p>
    <w:p>
      <w:pPr>
        <w:pStyle w:val="Heading2"/>
      </w:pPr>
      <w:r>
        <w:t>101. Claim + two later sources: European Water Footprint Scenarios for 2050</w:t>
      </w:r>
    </w:p>
    <w:p>
      <w:pPr>
        <w:pStyle w:val="SourceNote"/>
      </w:pPr>
      <w:r>
        <w:rPr>
          <w:b/>
        </w:rPr>
        <w:t>Group ID:</w:t>
      </w:r>
      <w:r>
        <w:t xml:space="preserve"> group-4201611223ca4d5bfd88</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The water–agriculture–food nexus in Europe: a governance perspective — https://openalex.org/W7205710043</w:t>
      </w:r>
    </w:p>
    <w:p>
      <w:pPr>
        <w:pStyle w:val="SourceNote"/>
      </w:pPr>
      <w:r>
        <w:rPr>
          <w:b/>
        </w:rPr>
        <w:t>Review status:</w:t>
      </w:r>
      <w:r>
        <w:t xml:space="preserve"> unchecked — possible relationship only</w:t>
      </w:r>
    </w:p>
    <w:p>
      <w:pPr>
        <w:pStyle w:val="Heading2"/>
      </w:pPr>
      <w:r>
        <w:t>102. Claim + two later sources: Nutrient criteria for surface waters under the European Water Framework Directive: Current state-of-the-art, challenges and future outlook</w:t>
      </w:r>
    </w:p>
    <w:p>
      <w:pPr>
        <w:pStyle w:val="SourceNote"/>
      </w:pPr>
      <w:r>
        <w:rPr>
          <w:b/>
        </w:rPr>
        <w:t>Group ID:</w:t>
      </w:r>
      <w:r>
        <w:t xml:space="preserve"> group-475968816173c1ead8e2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Achieve good ecological status of surface waters by 2027 and beyond - Policy brief - more4nature — https://doi.org/10.5281/zenodo.18505875</w:t>
      </w:r>
    </w:p>
    <w:p>
      <w:pPr/>
      <w:r>
        <w:rPr>
          <w:b/>
        </w:rPr>
        <w:t>Later source:</w:t>
      </w:r>
      <w:r>
        <w:t xml:space="preserve"> Agriculture Contributions to Water Pollution and Sustainable Policy Solutions in Europe — https://doi.org/10.3390/earth7040115</w:t>
      </w:r>
    </w:p>
    <w:p>
      <w:pPr>
        <w:pStyle w:val="SourceNote"/>
      </w:pPr>
      <w:r>
        <w:rPr>
          <w:b/>
        </w:rPr>
        <w:t>Review status:</w:t>
      </w:r>
      <w:r>
        <w:t xml:space="preserve"> unchecked — possible relationship only</w:t>
      </w:r>
    </w:p>
    <w:p>
      <w:pPr>
        <w:pStyle w:val="Heading2"/>
      </w:pPr>
      <w:r>
        <w:t>103. Claim + two later sources: Burden of Stroke in Europe</w:t>
      </w:r>
    </w:p>
    <w:p>
      <w:pPr>
        <w:pStyle w:val="SourceNote"/>
      </w:pPr>
      <w:r>
        <w:rPr>
          <w:b/>
        </w:rPr>
        <w:t>Group ID:</w:t>
      </w:r>
      <w:r>
        <w:t xml:space="preserve"> group-f3232a3d97dba49bc84f</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Estimating the burden of vitiligo: a systematic review and modelling study — https://doi.org/10.1016/s2468-2667(24)00026-4</w:t>
      </w:r>
    </w:p>
    <w:p>
      <w:pPr>
        <w:pStyle w:val="SourceNote"/>
      </w:pPr>
      <w:r>
        <w:rPr>
          <w:b/>
        </w:rPr>
        <w:t>Review status:</w:t>
      </w:r>
      <w:r>
        <w:t xml:space="preserve"> unchecked — possible relationship only</w:t>
      </w:r>
    </w:p>
    <w:p>
      <w:pPr>
        <w:pStyle w:val="Heading2"/>
      </w:pPr>
      <w:r>
        <w:t>104. Claim + two later sources: Ukrainian Migration Aspirations towards Germany: Analysis and Development Scenarios</w:t>
      </w:r>
    </w:p>
    <w:p>
      <w:pPr>
        <w:pStyle w:val="SourceNote"/>
      </w:pPr>
      <w:r>
        <w:rPr>
          <w:b/>
        </w:rPr>
        <w:t>Group ID:</w:t>
      </w:r>
      <w:r>
        <w:t xml:space="preserve"> group-67d4e36862707934c905</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Signal-Based Trading Strategy for SPY ETF: A Multiple Linear Regression Approach — https://doi.org/10.70693/rwsk.v1i2.552</w:t>
      </w:r>
    </w:p>
    <w:p>
      <w:pPr>
        <w:pStyle w:val="SourceNote"/>
      </w:pPr>
      <w:r>
        <w:rPr>
          <w:b/>
        </w:rPr>
        <w:t>Review status:</w:t>
      </w:r>
      <w:r>
        <w:t xml:space="preserve"> unchecked — possible relationship only</w:t>
      </w:r>
    </w:p>
    <w:p>
      <w:pPr>
        <w:pStyle w:val="Heading2"/>
      </w:pPr>
      <w:r>
        <w:t>105.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106. Claim + two later sources: From flood science to flood policy: the Foresight Future Flooding project seven years on</w:t>
      </w:r>
    </w:p>
    <w:p>
      <w:pPr>
        <w:pStyle w:val="SourceNote"/>
      </w:pPr>
      <w:r>
        <w:rPr>
          <w:b/>
        </w:rPr>
        <w:t>Group ID:</w:t>
      </w:r>
      <w:r>
        <w:t xml:space="preserve"> group-320c2890527e74cdde88</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Mission-oriented scenarios: a new method for urban foresight — https://doi.org/10.1108/fs-06-2023-0119</w:t>
      </w:r>
    </w:p>
    <w:p>
      <w:pPr>
        <w:pStyle w:val="SourceNote"/>
      </w:pPr>
      <w:r>
        <w:rPr>
          <w:b/>
        </w:rPr>
        <w:t>Review status:</w:t>
      </w:r>
      <w:r>
        <w:t xml:space="preserve"> unchecked — possible relationship only</w:t>
      </w:r>
    </w:p>
    <w:p>
      <w:pPr>
        <w:pStyle w:val="Heading2"/>
      </w:pPr>
      <w:r>
        <w:t>107.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108. Claim + two later sources: Materials for Sustainable Nuclear Energy: A European Strategic Research and Innovation Agenda for All Reactor Generations</w:t>
      </w:r>
    </w:p>
    <w:p>
      <w:pPr>
        <w:pStyle w:val="SourceNote"/>
      </w:pPr>
      <w:r>
        <w:rPr>
          <w:b/>
        </w:rPr>
        <w:t>Group ID:</w:t>
      </w:r>
      <w:r>
        <w:t xml:space="preserve"> group-902177850305d9bad9cb</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MANAGEMENT OF ENERGY TECHNOLOGY SELECTION FOR STRENGTHENING POLAND’S ENERGY SECURITY — https://doi.org/10.29119/1641-3466.2026.244.19</w:t>
      </w:r>
    </w:p>
    <w:p>
      <w:pPr/>
      <w:r>
        <w:rPr>
          <w:b/>
        </w:rPr>
        <w:t>Later source:</w:t>
      </w:r>
      <w:r>
        <w:t xml:space="preserve"> Thorium as an Advanced Nuclear Fuel: Enhancing Supply-Chain Resilience for the Energy Transition — https://doi.org/10.2118/233268-ms</w:t>
      </w:r>
    </w:p>
    <w:p>
      <w:pPr>
        <w:pStyle w:val="SourceNote"/>
      </w:pPr>
      <w:r>
        <w:rPr>
          <w:b/>
        </w:rPr>
        <w:t>Review status:</w:t>
      </w:r>
      <w:r>
        <w:t xml:space="preserve"> unchecked — possible relationship only</w:t>
      </w:r>
    </w:p>
    <w:p>
      <w:pPr>
        <w:pStyle w:val="Heading2"/>
      </w:pPr>
      <w:r>
        <w:t>109. Claim + two later sources: Microgrids: Enhancing the Resilience of the European Megagrid</w:t>
      </w:r>
    </w:p>
    <w:p>
      <w:pPr>
        <w:pStyle w:val="SourceNote"/>
      </w:pPr>
      <w:r>
        <w:rPr>
          <w:b/>
        </w:rPr>
        <w:t>Group ID:</w:t>
      </w:r>
      <w:r>
        <w:t xml:space="preserve"> group-2a87fc083df661e0a8f0</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Climate change impacts on European electricity demand and supply until 2100 — https://doi.org/10.1016/j.isci.2026.116818</w:t>
      </w:r>
    </w:p>
    <w:p>
      <w:pPr>
        <w:pStyle w:val="SourceNote"/>
      </w:pPr>
      <w:r>
        <w:rPr>
          <w:b/>
        </w:rPr>
        <w:t>Review status:</w:t>
      </w:r>
      <w:r>
        <w:t xml:space="preserve"> unchecked — possible relationship only</w:t>
      </w:r>
    </w:p>
    <w:p>
      <w:pPr>
        <w:pStyle w:val="Heading2"/>
      </w:pPr>
      <w:r>
        <w:t>110. Claim + two later sources: Argentinian Energy Landscapes - Case Study of the Neo-Carbon Energy Project</w:t>
      </w:r>
    </w:p>
    <w:p>
      <w:pPr>
        <w:pStyle w:val="SourceNote"/>
      </w:pPr>
      <w:r>
        <w:rPr>
          <w:b/>
        </w:rPr>
        <w:t>Group ID:</w:t>
      </w:r>
      <w:r>
        <w:t xml:space="preserve"> group-048d27e2f9490e5d5988</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Did We Miss Something Important? Studying and Exploring Variable-Aware Log Abstraction — https://doi.org/10.1109/icse48619.2023.00078</w:t>
      </w:r>
    </w:p>
    <w:p>
      <w:pPr>
        <w:pStyle w:val="SourceNote"/>
      </w:pPr>
      <w:r>
        <w:rPr>
          <w:b/>
        </w:rPr>
        <w:t>Review status:</w:t>
      </w:r>
      <w:r>
        <w:t xml:space="preserve"> unchecked — possible relationship only</w:t>
      </w:r>
    </w:p>
    <w:p>
      <w:pPr>
        <w:pStyle w:val="Heading2"/>
      </w:pPr>
      <w:r>
        <w:t>111. Claim + two later sources: Scenario analysis for nutrient emission reduction in the European inland waters</w:t>
      </w:r>
    </w:p>
    <w:p>
      <w:pPr>
        <w:pStyle w:val="SourceNote"/>
      </w:pPr>
      <w:r>
        <w:rPr>
          <w:b/>
        </w:rPr>
        <w:t>Group ID:</w:t>
      </w:r>
      <w:r>
        <w:t xml:space="preserve"> group-d2602d5898f63fa32876</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Chemical Profile and Bioactivity Evaluation of Salvia Species from Eastern Europe — https://doi.org/10.3390/antiox12081514</w:t>
      </w:r>
    </w:p>
    <w:p>
      <w:pPr>
        <w:pStyle w:val="SourceNote"/>
      </w:pPr>
      <w:r>
        <w:rPr>
          <w:b/>
        </w:rPr>
        <w:t>Review status:</w:t>
      </w:r>
      <w:r>
        <w:t xml:space="preserve"> unchecked — possible relationship only</w:t>
      </w:r>
    </w:p>
    <w:p>
      <w:pPr>
        <w:pStyle w:val="Heading2"/>
      </w:pPr>
      <w:r>
        <w:t>112.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group-ccf513cae442fb8eb599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113. Claim + two later sources: A Foresight Study of European East-West Agrifood Trade Options</w:t>
      </w:r>
    </w:p>
    <w:p>
      <w:pPr>
        <w:pStyle w:val="SourceNote"/>
      </w:pPr>
      <w:r>
        <w:rPr>
          <w:b/>
        </w:rPr>
        <w:t>Group ID:</w:t>
      </w:r>
      <w:r>
        <w:t xml:space="preserve"> group-41b8701851abc86f7a7e</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Immigrant Work and the Production of Italian Agrifood: The Variants of Subordinate Integration — https://doi.org/10.1080/15562948.2024.2424164</w:t>
      </w:r>
    </w:p>
    <w:p>
      <w:pPr>
        <w:pStyle w:val="SourceNote"/>
      </w:pPr>
      <w:r>
        <w:rPr>
          <w:b/>
        </w:rPr>
        <w:t>Review status:</w:t>
      </w:r>
      <w:r>
        <w:t xml:space="preserve"> unchecked — possible relationship only</w:t>
      </w:r>
    </w:p>
    <w:p>
      <w:pPr>
        <w:pStyle w:val="Heading2"/>
      </w:pPr>
      <w:r>
        <w:t>114. Claim + two later sources: Alpine Tundra Contraction under Future Warming Scenarios in Europe</w:t>
      </w:r>
    </w:p>
    <w:p>
      <w:pPr>
        <w:pStyle w:val="SourceNote"/>
      </w:pPr>
      <w:r>
        <w:rPr>
          <w:b/>
        </w:rPr>
        <w:t>Group ID:</w:t>
      </w:r>
      <w:r>
        <w:t xml:space="preserve"> group-ae4bf71fb24fe32c1d0c</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Projected changes of heatwave occurrences and characteristics in Hungary using raw and bias-corrected EURO-CORDEX simulations — https://doi.org/10.5194/egusphere-egu26-348</w:t>
      </w:r>
    </w:p>
    <w:p>
      <w:pPr/>
      <w:r>
        <w:rPr>
          <w:b/>
        </w:rPr>
        <w:t>Later source:</w:t>
      </w:r>
      <w:r>
        <w:t xml:space="preserve"> EURO-SUPREME: A large-ensemble dataset of sub-daily precipitation extremes from EURO-CORDEX — https://doi.org/10.5194/egusphere-egu26-1954</w:t>
      </w:r>
    </w:p>
    <w:p>
      <w:pPr>
        <w:pStyle w:val="SourceNote"/>
      </w:pPr>
      <w:r>
        <w:rPr>
          <w:b/>
        </w:rPr>
        <w:t>Review status:</w:t>
      </w:r>
      <w:r>
        <w:t xml:space="preserve"> unchecked — possible relationship only</w:t>
      </w:r>
    </w:p>
    <w:p>
      <w:pPr>
        <w:pStyle w:val="Heading2"/>
      </w:pPr>
      <w:r>
        <w:t>115. Claim + two later sources: Ocean energy development in Europe: Current status and future perspectives</w:t>
      </w:r>
    </w:p>
    <w:p>
      <w:pPr>
        <w:pStyle w:val="SourceNote"/>
      </w:pPr>
      <w:r>
        <w:rPr>
          <w:b/>
        </w:rPr>
        <w:t>Group ID:</w:t>
      </w:r>
      <w:r>
        <w:t xml:space="preserve"> group-84dd9833d8fcc9c40cd6</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Life cycle and economic assessment of tidal energy farms in early design phases: Application to a second-generation tidal device — https://doi.org/10.1016/j.heliyon.2024.e32515</w:t>
      </w:r>
    </w:p>
    <w:p>
      <w:pPr/>
      <w:r>
        <w:rPr>
          <w:b/>
        </w:rPr>
        <w:t>Later source:</w:t>
      </w:r>
      <w:r>
        <w:t xml:space="preserve"> Merging modelled and reported flood impacts in Europe in a combined flood event catalogue for 1950–2020 — https://doi.org/10.5194/hess-28-3983-2024</w:t>
      </w:r>
    </w:p>
    <w:p>
      <w:pPr>
        <w:pStyle w:val="SourceNote"/>
      </w:pPr>
      <w:r>
        <w:rPr>
          <w:b/>
        </w:rPr>
        <w:t>Review status:</w:t>
      </w:r>
      <w:r>
        <w:t xml:space="preserve"> unchecked — possible relationship only</w:t>
      </w:r>
    </w:p>
    <w:p>
      <w:pPr>
        <w:pStyle w:val="Heading2"/>
      </w:pPr>
      <w:r>
        <w:t>116. Claim + two later sources: Connected and Automated Transport: Research and Innovation Capacity in Europe</w:t>
      </w:r>
    </w:p>
    <w:p>
      <w:pPr>
        <w:pStyle w:val="SourceNote"/>
      </w:pPr>
      <w:r>
        <w:rPr>
          <w:b/>
        </w:rPr>
        <w:t>Group ID:</w:t>
      </w:r>
      <w:r>
        <w:t xml:space="preserve"> group-e35bdc1e8db6e630415a</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The financialisation of European Union development aid to Africa : promises, practices, and colonial continuities — https://openalex.org/W7111914425</w:t>
      </w:r>
    </w:p>
    <w:p>
      <w:pPr>
        <w:pStyle w:val="SourceNote"/>
      </w:pPr>
      <w:r>
        <w:rPr>
          <w:b/>
        </w:rPr>
        <w:t>Review status:</w:t>
      </w:r>
      <w:r>
        <w:t xml:space="preserve"> unchecked — possible relationship only</w:t>
      </w:r>
    </w:p>
    <w:p>
      <w:pPr>
        <w:pStyle w:val="Heading2"/>
      </w:pPr>
      <w:r>
        <w:t>117.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118. Claim + two later sources: Testing Scenarios to Achieve Workplace Sustainability Goals Using Backcasting and Agent-Based Modeling</w:t>
      </w:r>
    </w:p>
    <w:p>
      <w:pPr>
        <w:pStyle w:val="SourceNote"/>
      </w:pPr>
      <w:r>
        <w:rPr>
          <w:b/>
        </w:rPr>
        <w:t>Group ID:</w:t>
      </w:r>
      <w:r>
        <w:t xml:space="preserve"> group-11d78597e32c88191ed7</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Children Reimagining Mobility: A Participatory Toolbox for Schools, Cities and Policymakers — https://doi.org/10.5281/zenodo.22123052</w:t>
      </w:r>
    </w:p>
    <w:p>
      <w:pPr/>
      <w:r>
        <w:rPr>
          <w:b/>
        </w:rPr>
        <w:t>Later source:</w:t>
      </w:r>
      <w:r>
        <w:t xml:space="preserve"> Backcasting Future Human Autonomy and Ethics Protection in Smart Health Environments: A Case Study — https://doi.org/10.1109/ethics65148.2025.11098357</w:t>
      </w:r>
    </w:p>
    <w:p>
      <w:pPr>
        <w:pStyle w:val="SourceNote"/>
      </w:pPr>
      <w:r>
        <w:rPr>
          <w:b/>
        </w:rPr>
        <w:t>Review status:</w:t>
      </w:r>
      <w:r>
        <w:t xml:space="preserve"> unchecked — possible relationship only</w:t>
      </w:r>
    </w:p>
    <w:p>
      <w:pPr>
        <w:pStyle w:val="Heading2"/>
      </w:pPr>
      <w:r>
        <w:t>119. Claim + two later sources: Changing knowledge, changing technology: implications for teacher education futures</w:t>
      </w:r>
    </w:p>
    <w:p>
      <w:pPr>
        <w:pStyle w:val="SourceNote"/>
      </w:pPr>
      <w:r>
        <w:rPr>
          <w:b/>
        </w:rPr>
        <w:t>Group ID:</w:t>
      </w:r>
      <w:r>
        <w:t xml:space="preserve"> group-67cb365fc9f3128c5fd5</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Towards a harmonised data framework for design for disassembly in construction — https://doi.org/10.5281/zenodo.22679835</w:t>
      </w:r>
    </w:p>
    <w:p>
      <w:pPr>
        <w:pStyle w:val="SourceNote"/>
      </w:pPr>
      <w:r>
        <w:rPr>
          <w:b/>
        </w:rPr>
        <w:t>Review status:</w:t>
      </w:r>
      <w:r>
        <w:t xml:space="preserve"> unchecked — possible relationship only</w:t>
      </w:r>
    </w:p>
    <w:p>
      <w:pPr>
        <w:pStyle w:val="Heading2"/>
      </w:pPr>
      <w:r>
        <w:t>120. Claim + two later sources: Technopolis, shared resources or controlled mobility? A net-based Delphi-study to explore visions of future urban daily mobility in Norway</w:t>
      </w:r>
    </w:p>
    <w:p>
      <w:pPr>
        <w:pStyle w:val="SourceNote"/>
      </w:pPr>
      <w:r>
        <w:rPr>
          <w:b/>
        </w:rPr>
        <w:t>Group ID:</w:t>
      </w:r>
      <w:r>
        <w:t xml:space="preserve"> group-330e7305fafc3834ab71</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Principal Component Analysis of Economic Factors Affecting Food Consumption and Labor Market Performance in the European Union — https://doi.org/10.35219/eai15840409587</w:t>
      </w:r>
    </w:p>
    <w:p>
      <w:pPr>
        <w:pStyle w:val="SourceNote"/>
      </w:pPr>
      <w:r>
        <w:rPr>
          <w:b/>
        </w:rPr>
        <w:t>Review status:</w:t>
      </w:r>
      <w:r>
        <w:t xml:space="preserve"> unchecked — possible relationship only</w:t>
      </w:r>
    </w:p>
    <w:p>
      <w:pPr>
        <w:pStyle w:val="Heading2"/>
      </w:pPr>
      <w:r>
        <w:t>121. Claim + two later sources: Hydrogen in the Strategies of the European Union Member States</w:t>
      </w:r>
    </w:p>
    <w:p>
      <w:pPr>
        <w:pStyle w:val="SourceNote"/>
      </w:pPr>
      <w:r>
        <w:rPr>
          <w:b/>
        </w:rPr>
        <w:t>Group ID:</w:t>
      </w:r>
      <w:r>
        <w:t xml:space="preserve"> group-9b0f81351d8adbfccad5</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Availability and restrictiveness of community treatment orders across 33 European countries — https://doi.org/10.1192/bjo.2026.12015</w:t>
      </w:r>
    </w:p>
    <w:p>
      <w:pPr/>
      <w:r>
        <w:rPr>
          <w:b/>
        </w:rPr>
        <w:t>Later source:</w:t>
      </w:r>
      <w:r>
        <w:t xml:space="preserve"> A critical analysis of national dementia plans: comparison of preventive strategies in five European countries. — https://doi.org/10.7416/ai.2025.2702</w:t>
      </w:r>
    </w:p>
    <w:p>
      <w:pPr>
        <w:pStyle w:val="SourceNote"/>
      </w:pPr>
      <w:r>
        <w:rPr>
          <w:b/>
        </w:rPr>
        <w:t>Review status:</w:t>
      </w:r>
      <w:r>
        <w:t xml:space="preserve"> unchecked — possible relationship only</w:t>
      </w:r>
    </w:p>
    <w:p>
      <w:pPr>
        <w:pStyle w:val="Heading2"/>
      </w:pPr>
      <w:r>
        <w:t>122. Claim + two later sources: Demographic projections of future pharmaceutical consumption in the Netherlands</w:t>
      </w:r>
    </w:p>
    <w:p>
      <w:pPr>
        <w:pStyle w:val="SourceNote"/>
      </w:pPr>
      <w:r>
        <w:rPr>
          <w:b/>
        </w:rPr>
        <w:t>Group ID:</w:t>
      </w:r>
      <w:r>
        <w:t xml:space="preserve"> group-8aa6fdca7a1b10a3025e</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Modelling Eurasian lynx populations in Western Europe: What prospects for the next 50 years? — https://doi.org/10.24072/pcjournal.543</w:t>
      </w:r>
    </w:p>
    <w:p>
      <w:pPr/>
      <w:r>
        <w:rPr>
          <w:b/>
        </w:rPr>
        <w:t>Later source:</w:t>
      </w:r>
      <w:r>
        <w:t xml:space="preserve"> The Struggle over Law in Europe — https://doi.org/10.4324/9781003302094</w:t>
      </w:r>
    </w:p>
    <w:p>
      <w:pPr>
        <w:pStyle w:val="SourceNote"/>
      </w:pPr>
      <w:r>
        <w:rPr>
          <w:b/>
        </w:rPr>
        <w:t>Review status:</w:t>
      </w:r>
      <w:r>
        <w:t xml:space="preserve"> unchecked — possible relationship only</w:t>
      </w:r>
    </w:p>
    <w:p>
      <w:pPr>
        <w:pStyle w:val="Heading2"/>
      </w:pPr>
      <w:r>
        <w:t>123. Claim + two later sources: Assessing the Future of Renewable Energy Consumption for United Kingdom, Turkey and Nigeria</w:t>
      </w:r>
    </w:p>
    <w:p>
      <w:pPr>
        <w:pStyle w:val="SourceNote"/>
      </w:pPr>
      <w:r>
        <w:rPr>
          <w:b/>
        </w:rPr>
        <w:t>Group ID:</w:t>
      </w:r>
      <w:r>
        <w:t xml:space="preserve"> group-71bff2ce7eb830c1013b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Explainable AI-Based Clinical Decision Support System for Early Prediction of Pathological Findings in Forensic Practice — https://doi.org/10.48175/ijarsct-37846</w:t>
      </w:r>
    </w:p>
    <w:p>
      <w:pPr>
        <w:pStyle w:val="SourceNote"/>
      </w:pPr>
      <w:r>
        <w:rPr>
          <w:b/>
        </w:rPr>
        <w:t>Review status:</w:t>
      </w:r>
      <w:r>
        <w:t xml:space="preserve"> unchecked — possible relationship only</w:t>
      </w:r>
    </w:p>
    <w:p>
      <w:pPr>
        <w:pStyle w:val="Heading2"/>
      </w:pPr>
      <w:r>
        <w:t>124.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125. Claim + two later sources: A strategic energy technology policy towards 2050: no-regret strategies for European technology push</w:t>
      </w:r>
    </w:p>
    <w:p>
      <w:pPr>
        <w:pStyle w:val="SourceNote"/>
      </w:pPr>
      <w:r>
        <w:rPr>
          <w:b/>
        </w:rPr>
        <w:t>Group ID:</w:t>
      </w:r>
      <w:r>
        <w:t xml:space="preserve"> group-82d19cb0160127591e2d</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Economic and Environmental Limitations of Sustainable Energy Transition in Europe — https://doi.org/10.35784/preko.5574</w:t>
      </w:r>
    </w:p>
    <w:p>
      <w:pPr/>
      <w:r>
        <w:rPr>
          <w:b/>
        </w:rPr>
        <w:t>Later source:</w:t>
      </w:r>
      <w:r>
        <w:t xml:space="preserve"> Renewable energy transition in Europe in the context of renewable energy transition processes in the world. A review — https://doi.org/10.1016/j.heliyon.2024.e40997</w:t>
      </w:r>
    </w:p>
    <w:p>
      <w:pPr>
        <w:pStyle w:val="SourceNote"/>
      </w:pPr>
      <w:r>
        <w:rPr>
          <w:b/>
        </w:rPr>
        <w:t>Review status:</w:t>
      </w:r>
      <w:r>
        <w:t xml:space="preserve"> unchecked — possible relationship only</w:t>
      </w:r>
    </w:p>
    <w:p>
      <w:pPr>
        <w:pStyle w:val="Heading2"/>
      </w:pPr>
      <w:r>
        <w:t>126. Claim + two later sources: A Technological Scenario for a Healthier, More Equitable and Sustainable Europe in 2040: Citizen Perceptions and Policy Implications</w:t>
      </w:r>
    </w:p>
    <w:p>
      <w:pPr>
        <w:pStyle w:val="SourceNote"/>
      </w:pPr>
      <w:r>
        <w:rPr>
          <w:b/>
        </w:rPr>
        <w:t>Group ID:</w:t>
      </w:r>
      <w:r>
        <w:t xml:space="preserve"> group-817aba4c3f2fcd44499e</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The communication of science within the framework of European Union-funded research projects: Exploring practitioners’ experiences and perceptions — https://doi.org/10.1177/09636625261433895</w:t>
      </w:r>
    </w:p>
    <w:p>
      <w:pPr>
        <w:pStyle w:val="SourceNote"/>
      </w:pPr>
      <w:r>
        <w:rPr>
          <w:b/>
        </w:rPr>
        <w:t>Review status:</w:t>
      </w:r>
      <w:r>
        <w:t xml:space="preserve"> unchecked — possible relationship only</w:t>
      </w:r>
    </w:p>
    <w:p>
      <w:pPr>
        <w:pStyle w:val="Heading2"/>
      </w:pPr>
      <w:r>
        <w:t>127. Claim + two later sources: Current and Future Issues in BPM Research: A European Perspective from the ERCIS Meeting 2010</w:t>
      </w:r>
    </w:p>
    <w:p>
      <w:pPr>
        <w:pStyle w:val="SourceNote"/>
      </w:pPr>
      <w:r>
        <w:rPr>
          <w:b/>
        </w:rPr>
        <w:t>Group ID:</w:t>
      </w:r>
      <w:r>
        <w:t xml:space="preserve"> group-177c804d87606c585b96</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AI implementation and organizational ambidexterity in the context of BPM: Polish service sector experience — https://doi.org/10.33119/jmfs.2024.52.4</w:t>
      </w:r>
    </w:p>
    <w:p>
      <w:pPr>
        <w:pStyle w:val="SourceNote"/>
      </w:pPr>
      <w:r>
        <w:rPr>
          <w:b/>
        </w:rPr>
        <w:t>Review status:</w:t>
      </w:r>
      <w:r>
        <w:t xml:space="preserve"> unchecked — possible relationship only</w:t>
      </w:r>
    </w:p>
    <w:p>
      <w:pPr>
        <w:pStyle w:val="Heading2"/>
      </w:pPr>
      <w:r>
        <w:t>128. Claim + two later sources: Comparison of Water Flows in Four European Lagoon Catchments under a Set of Future Climate Scenarios</w:t>
      </w:r>
    </w:p>
    <w:p>
      <w:pPr>
        <w:pStyle w:val="SourceNote"/>
      </w:pPr>
      <w:r>
        <w:rPr>
          <w:b/>
        </w:rPr>
        <w:t>Group ID:</w:t>
      </w:r>
      <w:r>
        <w:t xml:space="preserve"> group-1607c247942cf8f7fa1c</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Energy storage and climate impacts on the future renewable European energy system — https://openalex.org/W4412222428</w:t>
      </w:r>
    </w:p>
    <w:p>
      <w:pPr>
        <w:pStyle w:val="SourceNote"/>
      </w:pPr>
      <w:r>
        <w:rPr>
          <w:b/>
        </w:rPr>
        <w:t>Review status:</w:t>
      </w:r>
      <w:r>
        <w:t xml:space="preserve"> unchecked — possible relationship only</w:t>
      </w:r>
    </w:p>
    <w:p>
      <w:pPr>
        <w:pStyle w:val="Heading2"/>
      </w:pPr>
      <w:r>
        <w:t>129. Claim + two later sources: The European pulp and paper industry in transition to a bio-economy: A Delphi study</w:t>
      </w:r>
    </w:p>
    <w:p>
      <w:pPr>
        <w:pStyle w:val="SourceNote"/>
      </w:pPr>
      <w:r>
        <w:rPr>
          <w:b/>
        </w:rPr>
        <w:t>Group ID:</w:t>
      </w:r>
      <w:r>
        <w:t xml:space="preserve"> group-0084f7ae81d85e8f8e14</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Game Changers: National Referendums and the Politicization of Europe — https://doi.org/10.17645/pag.9261</w:t>
      </w:r>
    </w:p>
    <w:p>
      <w:pPr/>
      <w:r>
        <w:rPr>
          <w:b/>
        </w:rPr>
        <w:t>Later source:</w:t>
      </w:r>
      <w:r>
        <w:t xml:space="preserve"> Arming Europe — https://doi.org/10.33540/2454</w:t>
      </w:r>
    </w:p>
    <w:p>
      <w:pPr>
        <w:pStyle w:val="SourceNote"/>
      </w:pPr>
      <w:r>
        <w:rPr>
          <w:b/>
        </w:rPr>
        <w:t>Review status:</w:t>
      </w:r>
      <w:r>
        <w:t xml:space="preserve"> unchecked — possible relationship only</w:t>
      </w:r>
    </w:p>
    <w:p>
      <w:pPr>
        <w:pStyle w:val="Heading2"/>
      </w:pPr>
      <w:r>
        <w:t>130.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131. Claim + two later sources: Projecting Drivers of Human Vulnerability under the Shared Socioeconomic Pathways</w:t>
      </w:r>
    </w:p>
    <w:p>
      <w:pPr>
        <w:pStyle w:val="SourceNote"/>
      </w:pPr>
      <w:r>
        <w:rPr>
          <w:b/>
        </w:rPr>
        <w:t>Group ID:</w:t>
      </w:r>
      <w:r>
        <w:t xml:space="preserve"> group-4da1140879d7ffdb03e4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Community Scenarios beyond the Shared Socioeconomic Pathways: The Scenario Evolution Process — https://doi.org/10.5194/egusphere-egu26-13481</w:t>
      </w:r>
    </w:p>
    <w:p>
      <w:pPr>
        <w:pStyle w:val="SourceNote"/>
      </w:pPr>
      <w:r>
        <w:rPr>
          <w:b/>
        </w:rPr>
        <w:t>Review status:</w:t>
      </w:r>
      <w:r>
        <w:t xml:space="preserve"> unchecked — possible relationship only</w:t>
      </w:r>
    </w:p>
    <w:p>
      <w:pPr>
        <w:pStyle w:val="Heading2"/>
      </w:pPr>
      <w:r>
        <w:t>132. Claim + two later sources: Modelling Soil Organic Carbon Changes Under Different Maize Cropping Scenarios for Cellulosic Ethanol in Europe</w:t>
      </w:r>
    </w:p>
    <w:p>
      <w:pPr>
        <w:pStyle w:val="SourceNote"/>
      </w:pPr>
      <w:r>
        <w:rPr>
          <w:b/>
        </w:rPr>
        <w:t>Group ID:</w:t>
      </w:r>
      <w:r>
        <w:t xml:space="preserve"> group-0e4a2559f0a7f1c17c57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Opportunity cost estimates for spatial conservation prioritisation across terrestrial Europe — https://doi.org/10.1038/s41597-025-05837-5</w:t>
      </w:r>
    </w:p>
    <w:p>
      <w:pPr/>
      <w:r>
        <w:rPr>
          <w:b/>
        </w:rPr>
        <w:t>Later source:</w:t>
      </w:r>
      <w:r>
        <w:t xml:space="preserve"> A Global Overview of Aquaculture Food Production with a Focus on the Activity’s Development in Transitional Systems—The Case Study of a South European Country (Portugal) — https://doi.org/10.3390/jmse10030417</w:t>
      </w:r>
    </w:p>
    <w:p>
      <w:pPr>
        <w:pStyle w:val="SourceNote"/>
      </w:pPr>
      <w:r>
        <w:rPr>
          <w:b/>
        </w:rPr>
        <w:t>Review status:</w:t>
      </w:r>
      <w:r>
        <w:t xml:space="preserve"> unchecked — possible relationship only</w:t>
      </w:r>
    </w:p>
    <w:p>
      <w:pPr>
        <w:pStyle w:val="Heading2"/>
      </w:pPr>
      <w:r>
        <w:t>133. Claim + two later sources: PROGNOSTIC MODEL OF THE UKRAINE SYSTEM OF GENERAL SECONDARY EDUCATION DEVELOPMENT: FORECASTING SCENARIOS OF THE DEVELOPMENT</w:t>
      </w:r>
    </w:p>
    <w:p>
      <w:pPr>
        <w:pStyle w:val="SourceNote"/>
      </w:pPr>
      <w:r>
        <w:rPr>
          <w:b/>
        </w:rPr>
        <w:t>Group ID:</w:t>
      </w:r>
      <w:r>
        <w:t xml:space="preserve"> group-32257c3def53a39b9fd2</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Comment on the Previously Published Article “Rare Masqueraders of Pure Neuritic Leprosy: A Report of Four Cases” — https://doi.org/10.4103/idoj.idoj_534_25</w:t>
      </w:r>
    </w:p>
    <w:p>
      <w:pPr/>
      <w:r>
        <w:rPr>
          <w:b/>
        </w:rPr>
        <w:t>Later source:</w:t>
      </w:r>
      <w:r>
        <w:t xml:space="preserve"> Précis to Revisionism in Four Views on Free Will, 2e — https://doi.org/10.1007/s11406-026-01043-8</w:t>
      </w:r>
    </w:p>
    <w:p>
      <w:pPr>
        <w:pStyle w:val="SourceNote"/>
      </w:pPr>
      <w:r>
        <w:rPr>
          <w:b/>
        </w:rPr>
        <w:t>Review status:</w:t>
      </w:r>
      <w:r>
        <w:t xml:space="preserve"> unchecked — possible relationship only</w:t>
      </w:r>
    </w:p>
    <w:p>
      <w:pPr>
        <w:pStyle w:val="Heading2"/>
      </w:pPr>
      <w:r>
        <w:t>134.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135. Claim + two later sources: Climate change signal of future climate projections for Aachen, Germany, in terms of temperature and precipitation</w:t>
      </w:r>
    </w:p>
    <w:p>
      <w:pPr>
        <w:pStyle w:val="SourceNote"/>
      </w:pPr>
      <w:r>
        <w:rPr>
          <w:b/>
        </w:rPr>
        <w:t>Group ID:</w:t>
      </w:r>
      <w:r>
        <w:t xml:space="preserve"> group-0268b411e28fefb82884</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The PROMES Regional Climate Model: Three Decades of Development and Contributions to Regional Climate Ensemble Research — https://doi.org/10.3390/geosciences16100423</w:t>
      </w:r>
    </w:p>
    <w:p>
      <w:pPr>
        <w:pStyle w:val="SourceNote"/>
      </w:pPr>
      <w:r>
        <w:rPr>
          <w:b/>
        </w:rPr>
        <w:t>Review status:</w:t>
      </w:r>
      <w:r>
        <w:t xml:space="preserve"> unchecked — possible relationship only</w:t>
      </w:r>
    </w:p>
    <w:p>
      <w:pPr>
        <w:pStyle w:val="Heading2"/>
      </w:pPr>
      <w:r>
        <w:t>136. Claim + two later sources: Environmental Implications of Dynamic Policies on Food Consumption and Waste Handling in the European Union</w:t>
      </w:r>
    </w:p>
    <w:p>
      <w:pPr>
        <w:pStyle w:val="SourceNote"/>
      </w:pPr>
      <w:r>
        <w:rPr>
          <w:b/>
        </w:rPr>
        <w:t>Group ID:</w:t>
      </w:r>
      <w:r>
        <w:t xml:space="preserve"> group-7b88666c3927293b2975</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Double materiality and the shift from non-financial to European sustainability reporting: review, outlook and implications — https://doi.org/10.1108/jaar-04-2021-0114</w:t>
      </w:r>
    </w:p>
    <w:p>
      <w:pPr/>
      <w:r>
        <w:rPr>
          <w:b/>
        </w:rPr>
        <w:t>Later source:</w:t>
      </w:r>
      <w:r>
        <w:t xml:space="preserve"> Review: Beef-eating quality: a European journey — https://doi.org/10.1017/s1751731118001672</w:t>
      </w:r>
    </w:p>
    <w:p>
      <w:pPr>
        <w:pStyle w:val="SourceNote"/>
      </w:pPr>
      <w:r>
        <w:rPr>
          <w:b/>
        </w:rPr>
        <w:t>Review status:</w:t>
      </w:r>
      <w:r>
        <w:t xml:space="preserve"> unchecked — possible relationship only</w:t>
      </w:r>
    </w:p>
    <w:p>
      <w:pPr>
        <w:pStyle w:val="Heading2"/>
      </w:pPr>
      <w:r>
        <w:t>137.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138. Claim + two later sources: Scenarios of water resources development in Poland up to 2030</w:t>
      </w:r>
    </w:p>
    <w:p>
      <w:pPr>
        <w:pStyle w:val="SourceNote"/>
      </w:pPr>
      <w:r>
        <w:rPr>
          <w:b/>
        </w:rPr>
        <w:t>Group ID:</w:t>
      </w:r>
      <w:r>
        <w:t xml:space="preserve"> group-15ebcb8d3b6c68f790af</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Modern Stochastic Techniques for Multifaceted Sensitivity Analysis — https://doi.org/10.3390/engproc2026150036</w:t>
      </w:r>
    </w:p>
    <w:p>
      <w:pPr/>
      <w:r>
        <w:rPr>
          <w:b/>
        </w:rPr>
        <w:t>Later source:</w:t>
      </w:r>
      <w:r>
        <w:t xml:space="preserve"> Integrated assessment of economic vulnerability in the European Union: A multi-criteria sensitivity-adaptability approach (2000-2023) — https://doi.org/10.63341/econ/3.2025.45</w:t>
      </w:r>
    </w:p>
    <w:p>
      <w:pPr>
        <w:pStyle w:val="SourceNote"/>
      </w:pPr>
      <w:r>
        <w:rPr>
          <w:b/>
        </w:rPr>
        <w:t>Review status:</w:t>
      </w:r>
      <w:r>
        <w:t xml:space="preserve"> unchecked — possible relationship only</w:t>
      </w:r>
    </w:p>
    <w:p>
      <w:pPr>
        <w:pStyle w:val="Heading2"/>
      </w:pPr>
      <w:r>
        <w:t>139.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140. Claim + two later sources: Shaping science policy in Europe</w:t>
      </w:r>
    </w:p>
    <w:p>
      <w:pPr>
        <w:pStyle w:val="SourceNote"/>
      </w:pPr>
      <w:r>
        <w:rPr>
          <w:b/>
        </w:rPr>
        <w:t>Group ID:</w:t>
      </w:r>
      <w:r>
        <w:t xml:space="preserve"> group-caf0322d2189d463d98d</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Conclusions by the Scientific Editor — https://doi.org/10.14712/23366478.2025.49</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141.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142.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143. Claim + two later sources: The CIRCE Simulations: Regional Climate Change Projections with Realistic Representation of the Mediterranean Sea</w:t>
      </w:r>
    </w:p>
    <w:p>
      <w:pPr>
        <w:pStyle w:val="SourceNote"/>
      </w:pPr>
      <w:r>
        <w:rPr>
          <w:b/>
        </w:rPr>
        <w:t>Group ID:</w:t>
      </w:r>
      <w:r>
        <w:t xml:space="preserve"> group-9f55fbcca3741afe2df7</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Development and Validation of a Novel Contact Force‐Integrated Pulsed Field Quantization Index for Pulmonary Vein Isolation in a Porcine Model — https://doi.org/10.1111/jce.70527</w:t>
      </w:r>
    </w:p>
    <w:p>
      <w:pPr/>
      <w:r>
        <w:rPr>
          <w:b/>
        </w:rPr>
        <w:t>Later source:</w:t>
      </w:r>
      <w:r>
        <w:t xml:space="preserve"> Rolling force modeling based on neural network and mechanism model — https://doi.org/10.1007/s12206-025-0118-4</w:t>
      </w:r>
    </w:p>
    <w:p>
      <w:pPr>
        <w:pStyle w:val="SourceNote"/>
      </w:pPr>
      <w:r>
        <w:rPr>
          <w:b/>
        </w:rPr>
        <w:t>Review status:</w:t>
      </w:r>
      <w:r>
        <w:t xml:space="preserve"> unchecked — possible relationship only</w:t>
      </w:r>
    </w:p>
    <w:p>
      <w:pPr>
        <w:pStyle w:val="Heading2"/>
      </w:pPr>
      <w:r>
        <w:t>144. Claim + two later sources: Scenarios for the future of the European process industry - the case of the chemical industry</w:t>
      </w:r>
    </w:p>
    <w:p>
      <w:pPr>
        <w:pStyle w:val="SourceNote"/>
      </w:pPr>
      <w:r>
        <w:rPr>
          <w:b/>
        </w:rPr>
        <w:t>Group ID:</w:t>
      </w:r>
      <w:r>
        <w:t xml:space="preserve"> group-e97594de914c7a26dccb</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The impacts of the European chemical industry on the planetary boundaries — https://doi.org/10.1016/j.spc.2023.12.006</w:t>
      </w:r>
    </w:p>
    <w:p>
      <w:pPr/>
      <w:r>
        <w:rPr>
          <w:b/>
        </w:rPr>
        <w:t>Later source:</w:t>
      </w:r>
      <w:r>
        <w:t xml:space="preserve"> Novel foods in the European Union: Scientific requirements and challenges of the risk assessment process by the European Food Safety Authority — https://doi.org/10.1016/j.foodres.2020.109515</w:t>
      </w:r>
    </w:p>
    <w:p>
      <w:pPr>
        <w:pStyle w:val="SourceNote"/>
      </w:pPr>
      <w:r>
        <w:rPr>
          <w:b/>
        </w:rPr>
        <w:t>Review status:</w:t>
      </w:r>
      <w:r>
        <w:t xml:space="preserve"> unchecked — possible relationship only</w:t>
      </w:r>
    </w:p>
    <w:p>
      <w:pPr>
        <w:pStyle w:val="Heading2"/>
      </w:pPr>
      <w:r>
        <w:t>145. Claim + two later sources: The future of global trade and the WTO</w:t>
      </w:r>
    </w:p>
    <w:p>
      <w:pPr>
        <w:pStyle w:val="SourceNote"/>
      </w:pPr>
      <w:r>
        <w:rPr>
          <w:b/>
        </w:rPr>
        <w:t>Group ID:</w:t>
      </w:r>
      <w:r>
        <w:t xml:space="preserve"> group-59770ab23c404dd54ebd</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IMPACT OF SHORT-TERM EXTERNAL SHOCKS ON THE WORLD AND EUROPEAN ECONOMIES — https://doi.org/10.35774/jee2025.04.553</w:t>
      </w:r>
    </w:p>
    <w:p>
      <w:pPr/>
      <w:r>
        <w:rPr>
          <w:b/>
        </w:rPr>
        <w:t>Later source:</w:t>
      </w:r>
      <w:r>
        <w:t xml:space="preserve"> The European Union in an illiberal world — https://openalex.org/W7134097304</w:t>
      </w:r>
    </w:p>
    <w:p>
      <w:pPr>
        <w:pStyle w:val="SourceNote"/>
      </w:pPr>
      <w:r>
        <w:rPr>
          <w:b/>
        </w:rPr>
        <w:t>Review status:</w:t>
      </w:r>
      <w:r>
        <w:t xml:space="preserve"> unchecked — possible relationship only</w:t>
      </w:r>
    </w:p>
    <w:p>
      <w:pPr>
        <w:pStyle w:val="Heading2"/>
      </w:pPr>
      <w:r>
        <w:t>146. Claim + two later sources: EU road vehicle energy consumption and CO2 emissions by 2050 – Expert-based scenarios</w:t>
      </w:r>
    </w:p>
    <w:p>
      <w:pPr>
        <w:pStyle w:val="SourceNote"/>
      </w:pPr>
      <w:r>
        <w:rPr>
          <w:b/>
        </w:rPr>
        <w:t>Group ID:</w:t>
      </w:r>
      <w:r>
        <w:t xml:space="preserve"> group-28263f7dba2a4a2f636d</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Energy Infrastructure for Road Transport Electrification — https://doi.org/10.63959/chalmers.dt/5851</w:t>
      </w:r>
    </w:p>
    <w:p>
      <w:pPr>
        <w:pStyle w:val="SourceNote"/>
      </w:pPr>
      <w:r>
        <w:rPr>
          <w:b/>
        </w:rPr>
        <w:t>Review status:</w:t>
      </w:r>
      <w:r>
        <w:t xml:space="preserve"> unchecked — possible relationship only</w:t>
      </w:r>
    </w:p>
    <w:p>
      <w:pPr>
        <w:pStyle w:val="Heading2"/>
      </w:pPr>
      <w:r>
        <w:t>147. Claim + two later sources: Foresight as a tool of public administration in the field of science, technology and innovation</w:t>
      </w:r>
    </w:p>
    <w:p>
      <w:pPr>
        <w:pStyle w:val="SourceNote"/>
      </w:pPr>
      <w:r>
        <w:rPr>
          <w:b/>
        </w:rPr>
        <w:t>Group ID:</w:t>
      </w:r>
      <w:r>
        <w:t xml:space="preserve"> group-81356f4d918389fde693</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Strategic Technology Foresight Certification Assessment — https://doi.org/10.17605/osf.io/tc796</w:t>
      </w:r>
    </w:p>
    <w:p>
      <w:pPr>
        <w:pStyle w:val="SourceNote"/>
      </w:pPr>
      <w:r>
        <w:rPr>
          <w:b/>
        </w:rPr>
        <w:t>Review status:</w:t>
      </w:r>
      <w:r>
        <w:t xml:space="preserve"> unchecked — possible relationship only</w:t>
      </w:r>
    </w:p>
    <w:p>
      <w:pPr>
        <w:pStyle w:val="Heading2"/>
      </w:pPr>
      <w:r>
        <w:t>148.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149.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150. Claim + two later sources: REMIND-D: A Hybrid Energy-Economy Model of Germany</w:t>
      </w:r>
    </w:p>
    <w:p>
      <w:pPr>
        <w:pStyle w:val="SourceNote"/>
      </w:pPr>
      <w:r>
        <w:rPr>
          <w:b/>
        </w:rPr>
        <w:t>Group ID:</w:t>
      </w:r>
      <w:r>
        <w:t xml:space="preserve"> group-d33e893f6c57e36f6c44</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Spillover and dynamic effects of energy transition and economic growth on carbon dioxide emissions for the European Union: A dynamic spatial panel model — https://doi.org/10.1002/sd.2144</w:t>
      </w:r>
    </w:p>
    <w:p>
      <w:pPr>
        <w:pStyle w:val="SourceNote"/>
      </w:pPr>
      <w:r>
        <w:rPr>
          <w:b/>
        </w:rPr>
        <w:t>Review status:</w:t>
      </w:r>
      <w:r>
        <w:t xml:space="preserve"> unchecked — possible relationship only</w:t>
      </w:r>
    </w:p>
    <w:p>
      <w:pPr>
        <w:pStyle w:val="Heading2"/>
      </w:pPr>
      <w:r>
        <w:t>151. Claim + two later sources: Pathway Analysis of a Zero-Emission Transition in the Nordic-Baltic Region</w:t>
      </w:r>
    </w:p>
    <w:p>
      <w:pPr>
        <w:pStyle w:val="SourceNote"/>
      </w:pPr>
      <w:r>
        <w:rPr>
          <w:b/>
        </w:rPr>
        <w:t>Group ID:</w:t>
      </w:r>
      <w:r>
        <w:t xml:space="preserve"> group-6502455b5b4eb01c6b70</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Accounting for economic disparity in designing net-zero European energy systems — https://doi.org/10.1088/2753-3751/ae6b8f</w:t>
      </w:r>
    </w:p>
    <w:p>
      <w:pPr>
        <w:pStyle w:val="SourceNote"/>
      </w:pPr>
      <w:r>
        <w:rPr>
          <w:b/>
        </w:rPr>
        <w:t>Review status:</w:t>
      </w:r>
      <w:r>
        <w:t xml:space="preserve"> unchecked — possible relationship only</w:t>
      </w:r>
    </w:p>
    <w:p>
      <w:pPr>
        <w:pStyle w:val="Heading2"/>
      </w:pPr>
      <w:r>
        <w:t>152. Claim + two later sources: Bioenergy futures in Sweden – Modeling integration scenarios for biofuel production</w:t>
      </w:r>
    </w:p>
    <w:p>
      <w:pPr>
        <w:pStyle w:val="SourceNote"/>
      </w:pPr>
      <w:r>
        <w:rPr>
          <w:b/>
        </w:rPr>
        <w:t>Group ID:</w:t>
      </w:r>
      <w:r>
        <w:t xml:space="preserve"> group-09f07f40744cc65e050a</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Increased Holocene Diversity in Europe Linked to Human‐Associated Vegetation Change — https://doi.org/10.1111/geb.70166</w:t>
      </w:r>
    </w:p>
    <w:p>
      <w:pPr/>
      <w:r>
        <w:rPr>
          <w:b/>
        </w:rPr>
        <w:t>Later source:</w:t>
      </w:r>
      <w:r>
        <w:t xml:space="preserve"> Evolution of the European offshore renewable energy resource under multiple climate change scenarios and forecasting horizons via CMIP6 — https://doi.org/10.1016/j.enconman.2023.118058</w:t>
      </w:r>
    </w:p>
    <w:p>
      <w:pPr>
        <w:pStyle w:val="SourceNote"/>
      </w:pPr>
      <w:r>
        <w:rPr>
          <w:b/>
        </w:rPr>
        <w:t>Review status:</w:t>
      </w:r>
      <w:r>
        <w:t xml:space="preserve"> unchecked — possible relationship only</w:t>
      </w:r>
    </w:p>
    <w:p>
      <w:pPr>
        <w:pStyle w:val="Heading2"/>
      </w:pPr>
      <w:r>
        <w:t>153.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154. Claim + two later sources: Fiscal foresighting: analysis of researches</w:t>
      </w:r>
    </w:p>
    <w:p>
      <w:pPr>
        <w:pStyle w:val="SourceNote"/>
      </w:pPr>
      <w:r>
        <w:rPr>
          <w:b/>
        </w:rPr>
        <w:t>Group ID:</w:t>
      </w:r>
      <w:r>
        <w:t xml:space="preserve"> group-5538827055949821448f</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Unveiling the Theoretical Framework — https://doi.org/10.4324/9781003727927-2</w:t>
      </w:r>
    </w:p>
    <w:p>
      <w:pPr>
        <w:pStyle w:val="SourceNote"/>
      </w:pPr>
      <w:r>
        <w:rPr>
          <w:b/>
        </w:rPr>
        <w:t>Review status:</w:t>
      </w:r>
      <w:r>
        <w:t xml:space="preserve"> unchecked — possible relationship only</w:t>
      </w:r>
    </w:p>
    <w:p>
      <w:pPr>
        <w:pStyle w:val="Heading2"/>
      </w:pPr>
      <w:r>
        <w:t>155.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156. Claim + two later sources: Are Carbon Prices Redundant in the 2030 EU Climate and Energy Policy Package?</w:t>
      </w:r>
    </w:p>
    <w:p>
      <w:pPr>
        <w:pStyle w:val="SourceNote"/>
      </w:pPr>
      <w:r>
        <w:rPr>
          <w:b/>
        </w:rPr>
        <w:t>Group ID:</w:t>
      </w:r>
      <w:r>
        <w:t xml:space="preserve"> group-d7f9ce362ae4dc28220d</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From Policy to Practice: European Funding and the Development of Energy-Efficient Buildings in Romania’s Mountain Regions — https://doi.org/10.3390/buildings16061161</w:t>
      </w:r>
    </w:p>
    <w:p>
      <w:pPr/>
      <w:r>
        <w:rPr>
          <w:b/>
        </w:rPr>
        <w:t>Later source:</w:t>
      </w:r>
      <w:r>
        <w:t xml:space="preserve"> Feasible Carbon Sequestration Potential in European Agricultural Mineral Soils Through Improved Management — https://doi.org/10.1111/ejss.70357</w:t>
      </w:r>
    </w:p>
    <w:p>
      <w:pPr>
        <w:pStyle w:val="SourceNote"/>
      </w:pPr>
      <w:r>
        <w:rPr>
          <w:b/>
        </w:rPr>
        <w:t>Review status:</w:t>
      </w:r>
      <w:r>
        <w:t xml:space="preserve"> unchecked — possible relationship only</w:t>
      </w:r>
    </w:p>
    <w:p>
      <w:pPr>
        <w:pStyle w:val="Heading2"/>
      </w:pPr>
      <w:r>
        <w:t>157. Claim + two later sources: Institutional issues in planning for more uncertain futures</w:t>
      </w:r>
    </w:p>
    <w:p>
      <w:pPr>
        <w:pStyle w:val="SourceNote"/>
      </w:pPr>
      <w:r>
        <w:rPr>
          <w:b/>
        </w:rPr>
        <w:t>Group ID:</w:t>
      </w:r>
      <w:r>
        <w:t xml:space="preserve"> group-c6169f9fa50f52e7b857</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Mobility in a globalised world: How countries regulate mobility with passports and visas — https://doi.org/10.1002/pa.2932</w:t>
      </w:r>
    </w:p>
    <w:p>
      <w:pPr>
        <w:pStyle w:val="SourceNote"/>
      </w:pPr>
      <w:r>
        <w:rPr>
          <w:b/>
        </w:rPr>
        <w:t>Review status:</w:t>
      </w:r>
      <w:r>
        <w:t xml:space="preserve"> unchecked — possible relationship only</w:t>
      </w:r>
    </w:p>
    <w:p>
      <w:pPr>
        <w:pStyle w:val="Heading2"/>
      </w:pPr>
      <w:r>
        <w:t>158. Claim + two later sources: La aplicación estratégica por escenarios en el medio natural. El caso del Nature Outlook 2050 del PBL.</w:t>
      </w:r>
    </w:p>
    <w:p>
      <w:pPr>
        <w:pStyle w:val="SourceNote"/>
      </w:pPr>
      <w:r>
        <w:rPr>
          <w:b/>
        </w:rPr>
        <w:t>Group ID:</w:t>
      </w:r>
      <w:r>
        <w:t xml:space="preserve"> group-35c6234311462ebf6e96</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Theoretical Explanation of Triguna and Emotional Intelligence — https://doi.org/10.1922/pjs.16.4s.2026.954</w:t>
      </w:r>
    </w:p>
    <w:p>
      <w:pPr/>
      <w:r>
        <w:rPr>
          <w:b/>
        </w:rPr>
        <w:t>Later source:</w:t>
      </w:r>
      <w:r>
        <w:t xml:space="preserve"> The consequences and theoretical explanation of workplace AI on employees: a systematic literature review — https://doi.org/10.1007/s44362-025-00016-3</w:t>
      </w:r>
    </w:p>
    <w:p>
      <w:pPr>
        <w:pStyle w:val="SourceNote"/>
      </w:pPr>
      <w:r>
        <w:rPr>
          <w:b/>
        </w:rPr>
        <w:t>Review status:</w:t>
      </w:r>
      <w:r>
        <w:t xml:space="preserve"> unchecked — possible relationship only</w:t>
      </w:r>
    </w:p>
    <w:p>
      <w:pPr>
        <w:pStyle w:val="Heading2"/>
      </w:pPr>
      <w:r>
        <w:t>159. Claim + two later sources: Backcasting for desirable futures in Finnish forest-based firms</w:t>
      </w:r>
    </w:p>
    <w:p>
      <w:pPr>
        <w:pStyle w:val="SourceNote"/>
      </w:pPr>
      <w:r>
        <w:rPr>
          <w:b/>
        </w:rPr>
        <w:t>Group ID:</w:t>
      </w:r>
      <w:r>
        <w:t xml:space="preserve"> group-862712170d0969a36354</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Knowledge and Prizes — https://doi.org/10.1093/9780191976766.003.0012</w:t>
      </w:r>
    </w:p>
    <w:p>
      <w:pPr/>
      <w:r>
        <w:rPr>
          <w:b/>
        </w:rPr>
        <w:t>Later source:</w:t>
      </w:r>
      <w:r>
        <w:t xml:space="preserve"> Technology‐Driven Business Ethics — https://doi.org/10.1002/9781394234028.ch20</w:t>
      </w:r>
    </w:p>
    <w:p>
      <w:pPr>
        <w:pStyle w:val="SourceNote"/>
      </w:pPr>
      <w:r>
        <w:rPr>
          <w:b/>
        </w:rPr>
        <w:t>Review status:</w:t>
      </w:r>
      <w:r>
        <w:t xml:space="preserve"> unchecked — possible relationship only</w:t>
      </w:r>
    </w:p>
    <w:p>
      <w:pPr>
        <w:pStyle w:val="Heading2"/>
      </w:pPr>
      <w:r>
        <w:t>160. Claim + two later sources: Climate, competition and connectivity affect future migration and ranges of European trees</w:t>
      </w:r>
    </w:p>
    <w:p>
      <w:pPr>
        <w:pStyle w:val="SourceNote"/>
      </w:pPr>
      <w:r>
        <w:rPr>
          <w:b/>
        </w:rPr>
        <w:t>Group ID:</w:t>
      </w:r>
      <w:r>
        <w:t xml:space="preserve"> group-7a26092f92932b34dab0</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Lessons learned in institutional preparedness and response during the 2022 European drought — https://doi.org/10.5194/nhess-26-955-2026</w:t>
      </w:r>
    </w:p>
    <w:p>
      <w:pPr/>
      <w:r>
        <w:rPr>
          <w:b/>
        </w:rPr>
        <w:t>Later source:</w:t>
      </w:r>
      <w:r>
        <w:t xml:space="preserve"> Abstracts of the 19th European Congress of Psychology — https://doi.org/10.1024/2673-8627/a000085</w:t>
      </w:r>
    </w:p>
    <w:p>
      <w:pPr>
        <w:pStyle w:val="SourceNote"/>
      </w:pPr>
      <w:r>
        <w:rPr>
          <w:b/>
        </w:rPr>
        <w:t>Review status:</w:t>
      </w:r>
      <w:r>
        <w:t xml:space="preserve"> unchecked — possible relationship only</w:t>
      </w:r>
    </w:p>
    <w:p>
      <w:pPr>
        <w:pStyle w:val="Heading2"/>
      </w:pPr>
      <w:r>
        <w:t>161. Claim + two later sources: The July 2019 European Heat Wave in a Warmer Climate: Storyline Scenarios with a Coupled Model Using Spectral Nudging</w:t>
      </w:r>
    </w:p>
    <w:p>
      <w:pPr>
        <w:pStyle w:val="SourceNote"/>
      </w:pPr>
      <w:r>
        <w:rPr>
          <w:b/>
        </w:rPr>
        <w:t>Group ID:</w:t>
      </w:r>
      <w:r>
        <w:t xml:space="preserve"> group-47182beb163055fc5dbf</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Biodiversity Integration in the European Banking: Theoretical Background &amp; Empirical Evidence — https://openalex.org/W7197300685</w:t>
      </w:r>
    </w:p>
    <w:p>
      <w:pPr>
        <w:pStyle w:val="SourceNote"/>
      </w:pPr>
      <w:r>
        <w:rPr>
          <w:b/>
        </w:rPr>
        <w:t>Review status:</w:t>
      </w:r>
      <w:r>
        <w:t xml:space="preserve"> unchecked — possible relationship only</w:t>
      </w:r>
    </w:p>
    <w:p>
      <w:pPr>
        <w:pStyle w:val="Heading2"/>
      </w:pPr>
      <w:r>
        <w:t>162. Claim + two later sources: Futures of science with and for society: towards transformative policy orientations</w:t>
      </w:r>
    </w:p>
    <w:p>
      <w:pPr>
        <w:pStyle w:val="SourceNote"/>
      </w:pPr>
      <w:r>
        <w:rPr>
          <w:b/>
        </w:rPr>
        <w:t>Group ID:</w:t>
      </w:r>
      <w:r>
        <w:t xml:space="preserve"> group-5340fe4fccd71aeb4c78</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Innovations in Methodology for Analyzing Automotive Engine Vibration Signals Based on Wavelet Transform Techniques to Determine Maintenance Needs — https://doi.org/10.70917/ijcisim-2026-0063</w:t>
      </w:r>
    </w:p>
    <w:p>
      <w:pPr/>
      <w:r>
        <w:rPr>
          <w:b/>
        </w:rPr>
        <w:t>Later source:</w:t>
      </w:r>
      <w:r>
        <w:t xml:space="preserve"> Beyond the "black box": Neil Postman's concept as a methodological basis for analyzing the ethical issues of artificial intelligence — https://doi.org/10.18287/2782-2966-2026-6-1-8-15</w:t>
      </w:r>
    </w:p>
    <w:p>
      <w:pPr>
        <w:pStyle w:val="SourceNote"/>
      </w:pPr>
      <w:r>
        <w:rPr>
          <w:b/>
        </w:rPr>
        <w:t>Review status:</w:t>
      </w:r>
      <w:r>
        <w:t xml:space="preserve"> unchecked — possible relationship only</w:t>
      </w:r>
    </w:p>
    <w:p>
      <w:pPr>
        <w:pStyle w:val="Heading2"/>
      </w:pPr>
      <w:r>
        <w:t>163.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164.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165. Claim + two later sources: Where is the EU headed given its current climate policy? A stakeholder-driven model inter-comparison</w:t>
      </w:r>
    </w:p>
    <w:p>
      <w:pPr>
        <w:pStyle w:val="SourceNote"/>
      </w:pPr>
      <w:r>
        <w:rPr>
          <w:b/>
        </w:rPr>
        <w:t>Group ID:</w:t>
      </w:r>
      <w:r>
        <w:t xml:space="preserve"> group-03c6cef0ab96c3038fee</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The Rise of Social Science Infrastructures in Europe and Italy — https://doi.org/10.1007/978-3-032-07005-0_5</w:t>
      </w:r>
    </w:p>
    <w:p>
      <w:pPr>
        <w:pStyle w:val="SourceNote"/>
      </w:pPr>
      <w:r>
        <w:rPr>
          <w:b/>
        </w:rPr>
        <w:t>Review status:</w:t>
      </w:r>
      <w:r>
        <w:t xml:space="preserve"> unchecked — possible relationship only</w:t>
      </w:r>
    </w:p>
    <w:p>
      <w:pPr>
        <w:pStyle w:val="Heading2"/>
      </w:pPr>
      <w:r>
        <w:t>166.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167. Claim + two later sources: Animal health aspects of adaptation to climate change: beating the heat and parasites in a warming Europe</w:t>
      </w:r>
    </w:p>
    <w:p>
      <w:pPr>
        <w:pStyle w:val="SourceNote"/>
      </w:pPr>
      <w:r>
        <w:rPr>
          <w:b/>
        </w:rPr>
        <w:t>Group ID:</w:t>
      </w:r>
      <w:r>
        <w:t xml:space="preserve"> group-e953a0591ad9c440e9c0</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Epidemiology and Economic Burden of Sleep Disorders in Europe — https://doi.org/10.1111/ene.70463</w:t>
      </w:r>
    </w:p>
    <w:p>
      <w:pPr/>
      <w:r>
        <w:rPr>
          <w:b/>
        </w:rPr>
        <w:t>Later source:</w:t>
      </w:r>
      <w:r>
        <w:t xml:space="preserve"> Direct and Indirect Regulations for Medical Devices in Europe and Germany — https://doi.org/10.1007/978-3-032-03577-6_14</w:t>
      </w:r>
    </w:p>
    <w:p>
      <w:pPr>
        <w:pStyle w:val="SourceNote"/>
      </w:pPr>
      <w:r>
        <w:rPr>
          <w:b/>
        </w:rPr>
        <w:t>Review status:</w:t>
      </w:r>
      <w:r>
        <w:t xml:space="preserve"> unchecked — possible relationship only</w:t>
      </w:r>
    </w:p>
    <w:p>
      <w:pPr>
        <w:pStyle w:val="Heading2"/>
      </w:pPr>
      <w:r>
        <w:t>168.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169.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170.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171.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172. Claim + two later sources: Are the EU climate ambitions reflected on member-state level for greenhouse gas reductions and renewable energy consumption shares?</w:t>
      </w:r>
    </w:p>
    <w:p>
      <w:pPr>
        <w:pStyle w:val="SourceNote"/>
      </w:pPr>
      <w:r>
        <w:rPr>
          <w:b/>
        </w:rPr>
        <w:t>Group ID:</w:t>
      </w:r>
      <w:r>
        <w:t xml:space="preserve"> group-62bf9a3d274fcf3acc9b</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173. Claim + two later sources: How climate, migration ability and habitat fragmentation affect the projected future distribution of European beech</w:t>
      </w:r>
    </w:p>
    <w:p>
      <w:pPr>
        <w:pStyle w:val="SourceNote"/>
      </w:pPr>
      <w:r>
        <w:rPr>
          <w:b/>
        </w:rPr>
        <w:t>Group ID:</w:t>
      </w:r>
      <w:r>
        <w:t xml:space="preserve"> group-fe1ae2033a33c46a494b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Marine fish ranges are expanding and shifting deeper across the European continental shelf — https://doi.org/10.1038/s41467-026-74371-8</w:t>
      </w:r>
    </w:p>
    <w:p>
      <w:pPr>
        <w:pStyle w:val="SourceNote"/>
      </w:pPr>
      <w:r>
        <w:rPr>
          <w:b/>
        </w:rPr>
        <w:t>Review status:</w:t>
      </w:r>
      <w:r>
        <w:t xml:space="preserve"> unchecked — possible relationship only</w:t>
      </w:r>
    </w:p>
    <w:p>
      <w:pPr>
        <w:pStyle w:val="Heading2"/>
      </w:pPr>
      <w:r>
        <w:t>174.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175. Claim + two later sources: The Deliberative Practice of Vision Mobility 2050: Vision-making for Sustainable Mobility in the Region of Munich?</w:t>
      </w:r>
    </w:p>
    <w:p>
      <w:pPr>
        <w:pStyle w:val="SourceNote"/>
      </w:pPr>
      <w:r>
        <w:rPr>
          <w:b/>
        </w:rPr>
        <w:t>Group ID:</w:t>
      </w:r>
      <w:r>
        <w:t xml:space="preserve"> group-4dcd4be8530d067fe90e</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Monitoring the Screens: Current Challenges of Minority Language Media in the Context of the Council of Europe — https://doi.org/10.1163/15718115-bja10260</w:t>
      </w:r>
    </w:p>
    <w:p>
      <w:pPr/>
      <w:r>
        <w:rPr>
          <w:b/>
        </w:rPr>
        <w:t>Later source:</w:t>
      </w:r>
      <w:r>
        <w:t xml:space="preserve"> Health networking on cancer in the European Union: a ‘green paper’ by the EU Joint Action on Networks of Expertise (JANE) — https://doi.org/10.1016/j.esmoop.2024.104126</w:t>
      </w:r>
    </w:p>
    <w:p>
      <w:pPr>
        <w:pStyle w:val="SourceNote"/>
      </w:pPr>
      <w:r>
        <w:rPr>
          <w:b/>
        </w:rPr>
        <w:t>Review status:</w:t>
      </w:r>
      <w:r>
        <w:t xml:space="preserve"> unchecked — possible relationship only</w:t>
      </w:r>
    </w:p>
    <w:p>
      <w:pPr>
        <w:pStyle w:val="Heading2"/>
      </w:pPr>
      <w:r>
        <w:t>176. Claim + two later sources: The role of district heating systems to provide balancing services in the European Union</w:t>
      </w:r>
    </w:p>
    <w:p>
      <w:pPr>
        <w:pStyle w:val="SourceNote"/>
      </w:pPr>
      <w:r>
        <w:rPr>
          <w:b/>
        </w:rPr>
        <w:t>Group ID:</w:t>
      </w:r>
      <w:r>
        <w:t xml:space="preserve"> group-504cb671ad565400bd02</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Smart Energy and Energy Communities: A Review of Innovation Proposals for Global and Local Sustainability — https://doi.org/10.15446/sicel.v12.121196</w:t>
      </w:r>
    </w:p>
    <w:p>
      <w:pPr>
        <w:pStyle w:val="SourceNote"/>
      </w:pPr>
      <w:r>
        <w:rPr>
          <w:b/>
        </w:rPr>
        <w:t>Review status:</w:t>
      </w:r>
      <w:r>
        <w:t xml:space="preserve"> unchecked — possible relationship only</w:t>
      </w:r>
    </w:p>
    <w:p>
      <w:pPr>
        <w:pStyle w:val="Heading2"/>
      </w:pPr>
      <w:r>
        <w:t>177. Claim + two later sources: Scenario‐based fertility projections incorporating impacts of COVID‐19</w:t>
      </w:r>
    </w:p>
    <w:p>
      <w:pPr>
        <w:pStyle w:val="SourceNote"/>
      </w:pPr>
      <w:r>
        <w:rPr>
          <w:b/>
        </w:rPr>
        <w:t>Group ID:</w:t>
      </w:r>
      <w:r>
        <w:t xml:space="preserve"> group-19b9ed186cd6d03d66ec</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Geometry, Sound, and Time as Three Projections of One Contact Band — https://doi.org/10.5281/zenodo.19593317</w:t>
      </w:r>
    </w:p>
    <w:p>
      <w:pPr>
        <w:pStyle w:val="SourceNote"/>
      </w:pPr>
      <w:r>
        <w:rPr>
          <w:b/>
        </w:rPr>
        <w:t>Review status:</w:t>
      </w:r>
      <w:r>
        <w:t xml:space="preserve"> unchecked — possible relationship only</w:t>
      </w:r>
    </w:p>
    <w:p>
      <w:pPr>
        <w:pStyle w:val="Heading2"/>
      </w:pPr>
      <w:r>
        <w:t>178. Claim + two later sources: Scenarios for selected maritime economic functions</w:t>
      </w:r>
    </w:p>
    <w:p>
      <w:pPr>
        <w:pStyle w:val="SourceNote"/>
      </w:pPr>
      <w:r>
        <w:rPr>
          <w:b/>
        </w:rPr>
        <w:t>Group ID:</w:t>
      </w:r>
      <w:r>
        <w:t xml:space="preserve"> group-dbcd8e98ccc61f31433c</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European Union project SAFE-CITIES. More effective monitoring of threats in public spaces — https://doi.org/10.4467/20801335pbw.25.016.22182</w:t>
      </w:r>
    </w:p>
    <w:p>
      <w:pPr>
        <w:pStyle w:val="SourceNote"/>
      </w:pPr>
      <w:r>
        <w:rPr>
          <w:b/>
        </w:rPr>
        <w:t>Review status:</w:t>
      </w:r>
      <w:r>
        <w:t xml:space="preserve"> unchecked — possible relationship only</w:t>
      </w:r>
    </w:p>
    <w:p>
      <w:pPr>
        <w:pStyle w:val="Heading2"/>
      </w:pPr>
      <w:r>
        <w:t>179. Claim + two later sources: Towards Europe 2035 - In Search of the Archimedean Screw: FOCUS in Perspective</w:t>
      </w:r>
    </w:p>
    <w:p>
      <w:pPr>
        <w:pStyle w:val="SourceNote"/>
      </w:pPr>
      <w:r>
        <w:rPr>
          <w:b/>
        </w:rPr>
        <w:t>Group ID:</w:t>
      </w:r>
      <w:r>
        <w:t xml:space="preserve"> group-77a7721aa449a175fd30</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EUROPEAN STRATEGIES FOR CROSS-SECTORAL COOPERATION THROUGH A PROJECT-BASED APPROACH IN PUBLIC ADMINISTRATION — https://doi.org/10.30838/ep.197.187-192</w:t>
      </w:r>
    </w:p>
    <w:p>
      <w:pPr/>
      <w:r>
        <w:rPr>
          <w:b/>
        </w:rPr>
        <w:t>Later source:</w:t>
      </w:r>
      <w:r>
        <w:t xml:space="preserve"> Safe and Sound: Governance for Planning Public Space in a Security-by-Design Paradigm — https://doi.org/10.3390/urbansci9070241</w:t>
      </w:r>
    </w:p>
    <w:p>
      <w:pPr>
        <w:pStyle w:val="SourceNote"/>
      </w:pPr>
      <w:r>
        <w:rPr>
          <w:b/>
        </w:rPr>
        <w:t>Review status:</w:t>
      </w:r>
      <w:r>
        <w:t xml:space="preserve"> unchecked — possible relationship only</w:t>
      </w:r>
    </w:p>
    <w:p>
      <w:pPr>
        <w:pStyle w:val="Heading2"/>
      </w:pPr>
      <w:r>
        <w:t>180. Claim + two later sources: Towards an assessment of adaptive capacity of the European agricultural sector to droughts</w:t>
      </w:r>
    </w:p>
    <w:p>
      <w:pPr>
        <w:pStyle w:val="SourceNote"/>
      </w:pPr>
      <w:r>
        <w:rPr>
          <w:b/>
        </w:rPr>
        <w:t>Group ID:</w:t>
      </w:r>
      <w:r>
        <w:t xml:space="preserve"> group-26503cf10387e0eaa652</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EMULATION OF A NUMERICAL URBAN MODEL TO CREATE HIGH-RESOLUTION NEAR SURFACE AIR TEMPERATURE OVER EUROPEAN CITIES — https://doi.org/10.22541/essoar.173671231.11835703/v1</w:t>
      </w:r>
    </w:p>
    <w:p>
      <w:pPr/>
      <w:r>
        <w:rPr>
          <w:b/>
        </w:rPr>
        <w:t>Later source:</w:t>
      </w:r>
      <w:r>
        <w:t xml:space="preserve"> High resolution maps of European agricultural indicators — https://doi.org/10.5194/egusphere-egu25-16510</w:t>
      </w:r>
    </w:p>
    <w:p>
      <w:pPr>
        <w:pStyle w:val="SourceNote"/>
      </w:pPr>
      <w:r>
        <w:rPr>
          <w:b/>
        </w:rPr>
        <w:t>Review status:</w:t>
      </w:r>
      <w:r>
        <w:t xml:space="preserve"> unchecked — possible relationship only</w:t>
      </w:r>
    </w:p>
    <w:p>
      <w:pPr>
        <w:pStyle w:val="Heading2"/>
      </w:pPr>
      <w:r>
        <w:t>181.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group-911b95d9d7cb41b170f6</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Predictive divergence in machine learning models for clinical mortality risk: A multicohort study of covid-19 patients — https://doi.org/10.1371/journal.pone.0344354</w:t>
      </w:r>
    </w:p>
    <w:p>
      <w:pPr/>
      <w:r>
        <w:rPr>
          <w:b/>
        </w:rPr>
        <w:t>Later source:</w:t>
      </w:r>
      <w:r>
        <w:t xml:space="preserve"> Precise Editing of Indolines at Different Positions via SET and CMD Pathways — https://doi.org/10.1021/jacsau.6c00050</w:t>
      </w:r>
    </w:p>
    <w:p>
      <w:pPr>
        <w:pStyle w:val="SourceNote"/>
      </w:pPr>
      <w:r>
        <w:rPr>
          <w:b/>
        </w:rPr>
        <w:t>Review status:</w:t>
      </w:r>
      <w:r>
        <w:t xml:space="preserve"> unchecked — possible relationship only</w:t>
      </w:r>
    </w:p>
    <w:p>
      <w:pPr>
        <w:pStyle w:val="Heading2"/>
      </w:pPr>
      <w:r>
        <w:t>182. Claim + two later sources: One step ahead? The use of foresight by Czech and Slovak non-governmental organizations</w:t>
      </w:r>
    </w:p>
    <w:p>
      <w:pPr>
        <w:pStyle w:val="SourceNote"/>
      </w:pPr>
      <w:r>
        <w:rPr>
          <w:b/>
        </w:rPr>
        <w:t>Group ID:</w:t>
      </w:r>
      <w:r>
        <w:t xml:space="preserve"> group-8ca4931de1f206ceb505</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Exploring the Nature of Programming Work — https://doi.org/10.4018/ijkss.407408</w:t>
      </w:r>
    </w:p>
    <w:p>
      <w:pPr/>
      <w:r>
        <w:rPr>
          <w:b/>
        </w:rPr>
        <w:t>Later source:</w:t>
      </w:r>
      <w:r>
        <w:t xml:space="preserve"> The End of Bourgeois Humanism and the Mindfulness of Nature in Adorno’s Writings of the 1950s and 1960s — https://doi.org/10.65272/978-88-6977-570-3_5</w:t>
      </w:r>
    </w:p>
    <w:p>
      <w:pPr>
        <w:pStyle w:val="SourceNote"/>
      </w:pPr>
      <w:r>
        <w:rPr>
          <w:b/>
        </w:rPr>
        <w:t>Review status:</w:t>
      </w:r>
      <w:r>
        <w:t xml:space="preserve"> unchecked — possible relationship only</w:t>
      </w:r>
    </w:p>
    <w:p>
      <w:pPr>
        <w:pStyle w:val="Heading2"/>
      </w:pPr>
      <w:r>
        <w:t>183.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184.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185.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186.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187. Claim + two later sources: European Road Safety Policy 2016-2020: A Forecast on Topics and Activities</w:t>
      </w:r>
    </w:p>
    <w:p>
      <w:pPr>
        <w:pStyle w:val="SourceNote"/>
      </w:pPr>
      <w:r>
        <w:rPr>
          <w:b/>
        </w:rPr>
        <w:t>Group ID:</w:t>
      </w:r>
      <w:r>
        <w:t xml:space="preserve"> group-713123bb39a7918977dc</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Germany's Path to a National Kidney Exchange Program: An Assessment of the 2024 Legislative Proposal — https://doi.org/10.1016/j.healthpol.2026.105578</w:t>
      </w:r>
    </w:p>
    <w:p>
      <w:pPr>
        <w:pStyle w:val="SourceNote"/>
      </w:pPr>
      <w:r>
        <w:rPr>
          <w:b/>
        </w:rPr>
        <w:t>Review status:</w:t>
      </w:r>
      <w:r>
        <w:t xml:space="preserve"> unchecked — possible relationship only</w:t>
      </w:r>
    </w:p>
    <w:p>
      <w:pPr>
        <w:pStyle w:val="Heading2"/>
      </w:pPr>
      <w:r>
        <w:t>188. Claim + two later sources: ECONOMIC GROWTH PROJECTION FOR EUROPEAN UNION BY 2030</w:t>
      </w:r>
    </w:p>
    <w:p>
      <w:pPr>
        <w:pStyle w:val="SourceNote"/>
      </w:pPr>
      <w:r>
        <w:rPr>
          <w:b/>
        </w:rPr>
        <w:t>Group ID:</w:t>
      </w:r>
      <w:r>
        <w:t xml:space="preserve"> group-d6004cabe04014265d09</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Comparative Analysis of the Innovation Level of European Union Member States — https://doi.org/10.17951/h.2025.59.2.161-181</w:t>
      </w:r>
    </w:p>
    <w:p>
      <w:pPr>
        <w:pStyle w:val="SourceNote"/>
      </w:pPr>
      <w:r>
        <w:rPr>
          <w:b/>
        </w:rPr>
        <w:t>Review status:</w:t>
      </w:r>
      <w:r>
        <w:t xml:space="preserve"> unchecked — possible relationship only</w:t>
      </w:r>
    </w:p>
    <w:p>
      <w:pPr>
        <w:pStyle w:val="Heading2"/>
      </w:pPr>
      <w:r>
        <w:t>189. Claim + two later sources: Which way to net zero? a comparative analysis of seven UK 2050 decarbonisation pathways</w:t>
      </w:r>
    </w:p>
    <w:p>
      <w:pPr>
        <w:pStyle w:val="SourceNote"/>
      </w:pPr>
      <w:r>
        <w:rPr>
          <w:b/>
        </w:rPr>
        <w:t>Group ID:</w:t>
      </w:r>
      <w:r>
        <w:t xml:space="preserve"> group-56b28cc4e01bf4fdf5da</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Persistent Identifiers in Germany: Key Findings of a Nationwide Survey — https://doi.org/10.5334/dsj-2026-028</w:t>
      </w:r>
    </w:p>
    <w:p>
      <w:pPr/>
      <w:r>
        <w:rPr>
          <w:b/>
        </w:rPr>
        <w:t>Later source:</w:t>
      </w:r>
      <w:r>
        <w:t xml:space="preserve"> A Literature Review on The Technical Efficiency of Islamic Banks: Classification and Key Findings — https://doi.org/10.56734/ijbms.v6n4a5</w:t>
      </w:r>
    </w:p>
    <w:p>
      <w:pPr>
        <w:pStyle w:val="SourceNote"/>
      </w:pPr>
      <w:r>
        <w:rPr>
          <w:b/>
        </w:rPr>
        <w:t>Review status:</w:t>
      </w:r>
      <w:r>
        <w:t xml:space="preserve"> unchecked — possible relationship only</w:t>
      </w:r>
    </w:p>
    <w:p>
      <w:pPr>
        <w:pStyle w:val="Heading2"/>
      </w:pPr>
      <w:r>
        <w:t>190. Claim + two later sources: Interpreting long-term energy scenarios and the role of bioenergy in Germany</w:t>
      </w:r>
    </w:p>
    <w:p>
      <w:pPr>
        <w:pStyle w:val="SourceNote"/>
      </w:pPr>
      <w:r>
        <w:rPr>
          <w:b/>
        </w:rPr>
        <w:t>Group ID:</w:t>
      </w:r>
      <w:r>
        <w:t xml:space="preserve"> group-25a8456f8acbc97cf77a</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Conceptual-theoretical approaches to the process of europeanization — https://doi.org/10.59295/ierm2025.01</w:t>
      </w:r>
    </w:p>
    <w:p>
      <w:pPr/>
      <w:r>
        <w:rPr>
          <w:b/>
        </w:rPr>
        <w:t>Later source:</w:t>
      </w:r>
      <w:r>
        <w:t xml:space="preserve"> The Securitization of Islam in the Context of European Identityand the Attitudes of Europeans Towards Muslim Immigrants and Refugees — https://doi.org/10.34739/dsd.2024.02.02</w:t>
      </w:r>
    </w:p>
    <w:p>
      <w:pPr>
        <w:pStyle w:val="SourceNote"/>
      </w:pPr>
      <w:r>
        <w:rPr>
          <w:b/>
        </w:rPr>
        <w:t>Review status:</w:t>
      </w:r>
      <w:r>
        <w:t xml:space="preserve"> unchecked — possible relationship only</w:t>
      </w:r>
    </w:p>
    <w:p>
      <w:pPr>
        <w:pStyle w:val="Heading2"/>
      </w:pPr>
      <w:r>
        <w:t>191.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192. Claim + two later sources: Potential stocks and increments of woody biomass in the European Union under different management and climate scenarios</w:t>
      </w:r>
    </w:p>
    <w:p>
      <w:pPr>
        <w:pStyle w:val="SourceNote"/>
      </w:pPr>
      <w:r>
        <w:rPr>
          <w:b/>
        </w:rPr>
        <w:t>Group ID:</w:t>
      </w:r>
      <w:r>
        <w:t xml:space="preserve"> group-63be788b5ac1d8cf7666</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Improved large-area forest increment information in Europe through harmonisation of National Forest Inventories — https://doi.org/10.1016/j.foreco.2024.121913</w:t>
      </w:r>
    </w:p>
    <w:p>
      <w:pPr/>
      <w:r>
        <w:rPr>
          <w:b/>
        </w:rPr>
        <w:t>Later source:</w:t>
      </w:r>
      <w:r>
        <w:t xml:space="preserve"> Effect of forest stand thinning on tree biomass carbon stock — https://doi.org/10.22616/erdev.2024.23.tf009</w:t>
      </w:r>
    </w:p>
    <w:p>
      <w:pPr>
        <w:pStyle w:val="SourceNote"/>
      </w:pPr>
      <w:r>
        <w:rPr>
          <w:b/>
        </w:rPr>
        <w:t>Review status:</w:t>
      </w:r>
      <w:r>
        <w:t xml:space="preserve"> unchecked — possible relationship only</w:t>
      </w:r>
    </w:p>
    <w:p>
      <w:pPr>
        <w:pStyle w:val="Heading2"/>
      </w:pPr>
      <w:r>
        <w:t>193.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194. Claim + two later sources: Crisis futures: The affects and temporalities of economic collapse in Iceland</w:t>
      </w:r>
    </w:p>
    <w:p>
      <w:pPr>
        <w:pStyle w:val="SourceNote"/>
      </w:pPr>
      <w:r>
        <w:rPr>
          <w:b/>
        </w:rPr>
        <w:t>Group ID:</w:t>
      </w:r>
      <w:r>
        <w:t xml:space="preserve"> group-71e72457727705a24c85</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"Happy those for whom the fold of ...": Intention and interpretation in the unfinished Romantic poetic text — https://openalex.org/W7135642000</w:t>
      </w:r>
    </w:p>
    <w:p>
      <w:pPr>
        <w:pStyle w:val="SourceNote"/>
      </w:pPr>
      <w:r>
        <w:rPr>
          <w:b/>
        </w:rPr>
        <w:t>Review status:</w:t>
      </w:r>
      <w:r>
        <w:t xml:space="preserve"> unchecked — possible relationship only</w:t>
      </w:r>
    </w:p>
    <w:p>
      <w:pPr>
        <w:pStyle w:val="Heading2"/>
      </w:pPr>
      <w:r>
        <w:t>195.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196. Claim + two later sources: Long-term vision of rural areas in Hungary, focusing on foresights</w:t>
      </w:r>
    </w:p>
    <w:p>
      <w:pPr>
        <w:pStyle w:val="SourceNote"/>
      </w:pPr>
      <w:r>
        <w:rPr>
          <w:b/>
        </w:rPr>
        <w:t>Group ID:</w:t>
      </w:r>
      <w:r>
        <w:t xml:space="preserve"> group-a9263254fe676d98c8a9</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Banking Union membership and the quality of democracy in Central and Eastern Europe – the case of Hungary — https://doi.org/10.1080/23745118.2026.2706762</w:t>
      </w:r>
    </w:p>
    <w:p>
      <w:pPr>
        <w:pStyle w:val="SourceNote"/>
      </w:pPr>
      <w:r>
        <w:rPr>
          <w:b/>
        </w:rPr>
        <w:t>Review status:</w:t>
      </w:r>
      <w:r>
        <w:t xml:space="preserve"> unchecked — possible relationship only</w:t>
      </w:r>
    </w:p>
    <w:p>
      <w:pPr>
        <w:pStyle w:val="Heading2"/>
      </w:pPr>
      <w:r>
        <w:t>197. Claim + two later sources: European human‐dominated landscapes provide ample space for the recolonization of large carnivore populations under future land change scenarios</w:t>
      </w:r>
    </w:p>
    <w:p>
      <w:pPr>
        <w:pStyle w:val="SourceNote"/>
      </w:pPr>
      <w:r>
        <w:rPr>
          <w:b/>
        </w:rPr>
        <w:t>Group ID:</w:t>
      </w:r>
      <w:r>
        <w:t xml:space="preserve"> group-0dac7897f4de455cd40a</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Regional land use and land-use intensity effects on vertebrate biodiversity across Europe identified using species distribution models — https://doi.org/10.1007/s10980-026-02379-y</w:t>
      </w:r>
    </w:p>
    <w:p>
      <w:pPr/>
      <w:r>
        <w:rPr>
          <w:b/>
        </w:rPr>
        <w:t>Later source:</w:t>
      </w:r>
      <w:r>
        <w:t xml:space="preserve"> Continuing recovery of wolves in Europe — https://doi.org/10.1371/journal.pstr.0000158</w:t>
      </w:r>
    </w:p>
    <w:p>
      <w:pPr>
        <w:pStyle w:val="SourceNote"/>
      </w:pPr>
      <w:r>
        <w:rPr>
          <w:b/>
        </w:rPr>
        <w:t>Review status:</w:t>
      </w:r>
      <w:r>
        <w:t xml:space="preserve"> unchecked — possible relationship only</w:t>
      </w:r>
    </w:p>
    <w:p>
      <w:pPr>
        <w:pStyle w:val="Heading2"/>
      </w:pPr>
      <w:r>
        <w:t>198.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199. Claim + two later sources: After-crisis Scenarios for the European Regions</w:t>
      </w:r>
    </w:p>
    <w:p>
      <w:pPr>
        <w:pStyle w:val="SourceNote"/>
      </w:pPr>
      <w:r>
        <w:rPr>
          <w:b/>
        </w:rPr>
        <w:t>Group ID:</w:t>
      </w:r>
      <w:r>
        <w:t xml:space="preserve"> group-61b0e6bf761f9752e8cb</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The New European Bauhaus Academy: a novel skills, knowledge and innovation platform to boost sustainable construction within the built environment — https://doi.org/10.5281/zenodo.20586709</w:t>
      </w:r>
    </w:p>
    <w:p>
      <w:pPr>
        <w:pStyle w:val="SourceNote"/>
      </w:pPr>
      <w:r>
        <w:rPr>
          <w:b/>
        </w:rPr>
        <w:t>Review status:</w:t>
      </w:r>
      <w:r>
        <w:t xml:space="preserve"> unchecked — possible relationship only</w:t>
      </w:r>
    </w:p>
    <w:p>
      <w:pPr>
        <w:pStyle w:val="Heading2"/>
      </w:pPr>
      <w:r>
        <w:t>200. Claim + two later sources: Proposals of European Citizens for Reviving the Future of Shrinking Areas</w:t>
      </w:r>
    </w:p>
    <w:p>
      <w:pPr>
        <w:pStyle w:val="SourceNote"/>
      </w:pPr>
      <w:r>
        <w:rPr>
          <w:b/>
        </w:rPr>
        <w:t>Group ID:</w:t>
      </w:r>
      <w:r>
        <w:t xml:space="preserve"> group-c1a5108ff84447ffa0f5</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Tourism in Depopulation Contexts: A Hybrid Bibliometric and Narrative Systematic Review — https://doi.org/10.3390/world7030040</w:t>
      </w:r>
    </w:p>
    <w:p>
      <w:pPr/>
      <w:r>
        <w:rPr>
          <w:b/>
        </w:rPr>
        <w:t>Later source:</w:t>
      </w:r>
      <w:r>
        <w:t xml:space="preserve"> Analysis of housing in depopulated rural areas: a transnational comparison — https://doi.org/10.4995/vlc.2026.25269</w:t>
      </w:r>
    </w:p>
    <w:p>
      <w:pPr>
        <w:pStyle w:val="SourceNote"/>
      </w:pPr>
      <w:r>
        <w:rPr>
          <w:b/>
        </w:rPr>
        <w:t>Review status:</w:t>
      </w:r>
      <w:r>
        <w:t xml:space="preserve"> unchecked — possible relationship only</w:t>
      </w:r>
    </w:p>
    <w:p>
      <w:pPr>
        <w:pStyle w:val="Heading2"/>
      </w:pPr>
      <w:r>
        <w:t>201. Claim + two later sources: Analytical support to foresighting EU roles as a Global Security Actor</w:t>
      </w:r>
    </w:p>
    <w:p>
      <w:pPr>
        <w:pStyle w:val="SourceNote"/>
      </w:pPr>
      <w:r>
        <w:rPr>
          <w:b/>
        </w:rPr>
        <w:t>Group ID:</w:t>
      </w:r>
      <w:r>
        <w:t xml:space="preserve"> group-0b336c41a06ad6fe26cb</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Biomarkers for neurodegenerative diseases in regulatory decision‐making by the European Medicines Agency — https://doi.org/10.1002/trc2.70072</w:t>
      </w:r>
    </w:p>
    <w:p>
      <w:pPr>
        <w:pStyle w:val="SourceNote"/>
      </w:pPr>
      <w:r>
        <w:rPr>
          <w:b/>
        </w:rPr>
        <w:t>Review status:</w:t>
      </w:r>
      <w:r>
        <w:t xml:space="preserve"> unchecked — possible relationship only</w:t>
      </w:r>
    </w:p>
    <w:p>
      <w:pPr>
        <w:pStyle w:val="Heading2"/>
      </w:pPr>
      <w:r>
        <w:t>202. Claim + two later sources: Scenarios for European agricultural policymaking in the era of digitalisation</w:t>
      </w:r>
    </w:p>
    <w:p>
      <w:pPr>
        <w:pStyle w:val="SourceNote"/>
      </w:pPr>
      <w:r>
        <w:rPr>
          <w:b/>
        </w:rPr>
        <w:t>Group ID:</w:t>
      </w:r>
      <w:r>
        <w:t xml:space="preserve"> group-07ec5ec97c351affaf84</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Lifecycle of Inequality : Childhood Neighborhoods, Redistribution, and Lifetime Pensions in Finland and Europe — https://openalex.org/W7197944645</w:t>
      </w:r>
    </w:p>
    <w:p>
      <w:pPr>
        <w:pStyle w:val="SourceNote"/>
      </w:pPr>
      <w:r>
        <w:rPr>
          <w:b/>
        </w:rPr>
        <w:t>Review status:</w:t>
      </w:r>
      <w:r>
        <w:t xml:space="preserve"> unchecked — possible relationship only</w:t>
      </w:r>
    </w:p>
    <w:p>
      <w:pPr>
        <w:pStyle w:val="Heading2"/>
      </w:pPr>
      <w:r>
        <w:t>203. Claim + two later sources: STRATEGIC DIRECTIONS OF DEVELOPMENT OF THE POLISH POWER SECTOR IN THE LIGHT OF CLIMATE AND ENERGY POLICY OF THE EUROPEAN UNION</w:t>
      </w:r>
    </w:p>
    <w:p>
      <w:pPr>
        <w:pStyle w:val="SourceNote"/>
      </w:pPr>
      <w:r>
        <w:rPr>
          <w:b/>
        </w:rPr>
        <w:t>Group ID:</w:t>
      </w:r>
      <w:r>
        <w:t xml:space="preserve"> group-bdd335acd105b496ce33</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Analysis of Demand-Driven Operation in an Existing Biogas Plant Under Polish Electricity Market Conditions — https://doi.org/10.3390/en19133119</w:t>
      </w:r>
    </w:p>
    <w:p>
      <w:pPr>
        <w:pStyle w:val="SourceNote"/>
      </w:pPr>
      <w:r>
        <w:rPr>
          <w:b/>
        </w:rPr>
        <w:t>Review status:</w:t>
      </w:r>
      <w:r>
        <w:t xml:space="preserve"> unchecked — possible relationship only</w:t>
      </w:r>
    </w:p>
    <w:p>
      <w:pPr>
        <w:pStyle w:val="Heading2"/>
      </w:pPr>
      <w:r>
        <w:t>204. Claim + two later sources: MARKET DRIVEN POWER PLANT INVESTMENT PERSPECTIVES IN EUROPE: CLIMATE POLICY AND TECHNOLOGY SCENARIOS UNTIL 2050 IN THE MODEL EMELIE-ESY</w:t>
      </w:r>
    </w:p>
    <w:p>
      <w:pPr>
        <w:pStyle w:val="SourceNote"/>
      </w:pPr>
      <w:r>
        <w:rPr>
          <w:b/>
        </w:rPr>
        <w:t>Group ID:</w:t>
      </w:r>
      <w:r>
        <w:t xml:space="preserve"> group-93d9c2b3190b2dacf5f7</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Stochastic Models of Electricity Consumption — https://doi.org/10.17150/2713-1734.2024.6(1).31-46</w:t>
      </w:r>
    </w:p>
    <w:p>
      <w:pPr>
        <w:pStyle w:val="SourceNote"/>
      </w:pPr>
      <w:r>
        <w:rPr>
          <w:b/>
        </w:rPr>
        <w:t>Review status:</w:t>
      </w:r>
      <w:r>
        <w:t xml:space="preserve"> unchecked — possible relationship only</w:t>
      </w:r>
    </w:p>
    <w:p>
      <w:pPr>
        <w:pStyle w:val="Heading2"/>
      </w:pPr>
      <w:r>
        <w:t>205.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group-6e6166d1f67bffefcf6e</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Empowering energy consumers in the EU : legal pathways for promoting renewable electricity through demand-side management — https://openalex.org/W7125460656</w:t>
      </w:r>
    </w:p>
    <w:p>
      <w:pPr/>
      <w:r>
        <w:rPr>
          <w:b/>
        </w:rPr>
        <w:t>Later source:</w:t>
      </w:r>
      <w:r>
        <w:t xml:space="preserve"> Cooling the Kingdom: Long-Term Impacts of Climate Change on Electricity Demand and Household Expenditure in Saudi Arabia — https://doi.org/10.30573/ks--2026-dp03</w:t>
      </w:r>
    </w:p>
    <w:p>
      <w:pPr>
        <w:pStyle w:val="SourceNote"/>
      </w:pPr>
      <w:r>
        <w:rPr>
          <w:b/>
        </w:rPr>
        <w:t>Review status:</w:t>
      </w:r>
      <w:r>
        <w:t xml:space="preserve"> unchecked — possible relationship only</w:t>
      </w:r>
    </w:p>
    <w:p>
      <w:pPr>
        <w:pStyle w:val="Heading2"/>
      </w:pPr>
      <w:r>
        <w:t>206. Claim + two later sources: Policy Modelling for Ambitious Energy Efficiency Investment in the EU Residential Buildings</w:t>
      </w:r>
    </w:p>
    <w:p>
      <w:pPr>
        <w:pStyle w:val="SourceNote"/>
      </w:pPr>
      <w:r>
        <w:rPr>
          <w:b/>
        </w:rPr>
        <w:t>Group ID:</w:t>
      </w:r>
      <w:r>
        <w:t xml:space="preserve"> group-dae865c6550900b77f2f</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Geopolitical Shift and the Challenge to European Integration — https://doi.org/10.1007/978-3-032-18648-5_1</w:t>
      </w:r>
    </w:p>
    <w:p>
      <w:pPr/>
      <w:r>
        <w:rPr>
          <w:b/>
        </w:rPr>
        <w:t>Later source:</w:t>
      </w:r>
      <w:r>
        <w:t xml:space="preserve"> The Future of European Integration : Challenges and Opportunities — https://openalex.org/W7221381007</w:t>
      </w:r>
    </w:p>
    <w:p>
      <w:pPr>
        <w:pStyle w:val="SourceNote"/>
      </w:pPr>
      <w:r>
        <w:rPr>
          <w:b/>
        </w:rPr>
        <w:t>Review status:</w:t>
      </w:r>
      <w:r>
        <w:t xml:space="preserve"> unchecked — possible relationship only</w:t>
      </w:r>
    </w:p>
    <w:p>
      <w:pPr>
        <w:pStyle w:val="Heading2"/>
      </w:pPr>
      <w:r>
        <w:t>207. Claim + two later sources: A New Climate for Europe: 2030 Climate Targets Must Be More Ambitious</w:t>
      </w:r>
    </w:p>
    <w:p>
      <w:pPr>
        <w:pStyle w:val="SourceNote"/>
      </w:pPr>
      <w:r>
        <w:rPr>
          <w:b/>
        </w:rPr>
        <w:t>Group ID:</w:t>
      </w:r>
      <w:r>
        <w:t xml:space="preserve"> group-c1261bcdc234a2b3cd6d</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The 2026 Europe report of the Lancet Countdown on health and climate change: narrowing window for decisive health action — https://doi.org/10.1016/s2468-2667(26)00025-3</w:t>
      </w:r>
    </w:p>
    <w:p>
      <w:pPr>
        <w:pStyle w:val="SourceNote"/>
      </w:pPr>
      <w:r>
        <w:rPr>
          <w:b/>
        </w:rPr>
        <w:t>Review status:</w:t>
      </w:r>
      <w:r>
        <w:t xml:space="preserve"> unchecked — possible relationship only</w:t>
      </w:r>
    </w:p>
    <w:p>
      <w:pPr>
        <w:pStyle w:val="Heading2"/>
      </w:pPr>
      <w:r>
        <w:t>208. Claim + two later sources: Dutch Public health Foresight study 2018/20</w:t>
      </w:r>
    </w:p>
    <w:p>
      <w:pPr>
        <w:pStyle w:val="SourceNote"/>
      </w:pPr>
      <w:r>
        <w:rPr>
          <w:b/>
        </w:rPr>
        <w:t>Group ID:</w:t>
      </w:r>
      <w:r>
        <w:t xml:space="preserve"> group-9fdc4a8c5981653a93ab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https://doi.org/10.1080/13696998.2026.2646088</w:t>
      </w:r>
    </w:p>
    <w:p>
      <w:pPr>
        <w:pStyle w:val="SourceNote"/>
      </w:pPr>
      <w:r>
        <w:rPr>
          <w:b/>
        </w:rPr>
        <w:t>Review status:</w:t>
      </w:r>
      <w:r>
        <w:t xml:space="preserve"> unchecked — possible relationship only</w:t>
      </w:r>
    </w:p>
    <w:p>
      <w:pPr>
        <w:pStyle w:val="Heading2"/>
      </w:pPr>
      <w:r>
        <w:t>209. Claim + two later sources: Constructing Resilient Futures: Integrating UK multi-stakeholder transport and energy resilience for 2050</w:t>
      </w:r>
    </w:p>
    <w:p>
      <w:pPr>
        <w:pStyle w:val="SourceNote"/>
      </w:pPr>
      <w:r>
        <w:rPr>
          <w:b/>
        </w:rPr>
        <w:t>Group ID:</w:t>
      </w:r>
      <w:r>
        <w:t xml:space="preserve"> group-2bc2e9e8c6b36bb604c5</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Online Interest in Radical Islam and Terrorist Attacks — https://doi.org/10.1515/peps-2024-0054</w:t>
      </w:r>
    </w:p>
    <w:p>
      <w:pPr>
        <w:pStyle w:val="SourceNote"/>
      </w:pPr>
      <w:r>
        <w:rPr>
          <w:b/>
        </w:rPr>
        <w:t>Review status:</w:t>
      </w:r>
      <w:r>
        <w:t xml:space="preserve"> unchecked — possible relationship only</w:t>
      </w:r>
    </w:p>
    <w:p>
      <w:pPr>
        <w:pStyle w:val="Heading2"/>
      </w:pPr>
      <w:r>
        <w:t>210. Claim + two later sources: An Agent-Based Assessment of Land Use and Ecosystem Changes in Traditional Agricultural Landscape of Portugal</w:t>
      </w:r>
    </w:p>
    <w:p>
      <w:pPr>
        <w:pStyle w:val="SourceNote"/>
      </w:pPr>
      <w:r>
        <w:rPr>
          <w:b/>
        </w:rPr>
        <w:t>Group ID:</w:t>
      </w:r>
      <w:r>
        <w:t xml:space="preserve"> group-d03c5a9787b14893d8ce</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MAPPING SOIL MOISTURE AND CARBON HOTSPOTS IN A MONTADO ECOSYSTEM: A CASE STUDY IN COMPANHIA DAS LEZÍRIAS, PORTUGAL — https://doi.org/10.26471/cjees/2026/021/382</w:t>
      </w:r>
    </w:p>
    <w:p>
      <w:pPr>
        <w:pStyle w:val="SourceNote"/>
      </w:pPr>
      <w:r>
        <w:rPr>
          <w:b/>
        </w:rPr>
        <w:t>Review status:</w:t>
      </w:r>
      <w:r>
        <w:t xml:space="preserve"> unchecked — possible relationship only</w:t>
      </w:r>
    </w:p>
    <w:p>
      <w:pPr>
        <w:pStyle w:val="Heading2"/>
      </w:pPr>
      <w:r>
        <w:t>211.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212. Claim + two later sources: Anticipatory governance for newcomers: lessons learned from the UK, the Netherlands, Finland, and Korea</w:t>
      </w:r>
    </w:p>
    <w:p>
      <w:pPr>
        <w:pStyle w:val="SourceNote"/>
      </w:pPr>
      <w:r>
        <w:rPr>
          <w:b/>
        </w:rPr>
        <w:t>Group ID:</w:t>
      </w:r>
      <w:r>
        <w:t xml:space="preserve"> group-ac51c1013583a14d1393</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Educating and raising public awareness about floods with uniformed high-water marks — https://doi.org/10.5194/ems2025-48</w:t>
      </w:r>
    </w:p>
    <w:p>
      <w:pPr/>
      <w:r>
        <w:rPr>
          <w:b/>
        </w:rPr>
        <w:t>Later source:</w:t>
      </w:r>
      <w:r>
        <w:t xml:space="preserve"> ANTI-CORRUPTION RESTRICTIONS ON RECEIVING GIFTS FROM OFFICIALS OF STATE BODIES IN CONDITIONS OF CONFLICT OF INTEREST: EU EXPERIENCE — https://doi.org/10.52058/2786-6300-2023-9(15)-333-344</w:t>
      </w:r>
    </w:p>
    <w:p>
      <w:pPr>
        <w:pStyle w:val="SourceNote"/>
      </w:pPr>
      <w:r>
        <w:rPr>
          <w:b/>
        </w:rPr>
        <w:t>Review status:</w:t>
      </w:r>
      <w:r>
        <w:t xml:space="preserve"> unchecked — possible relationship only</w:t>
      </w:r>
    </w:p>
    <w:p>
      <w:pPr>
        <w:pStyle w:val="Heading2"/>
      </w:pPr>
      <w:r>
        <w:t>213. Claim + two later sources: Foresight and “grand challenges” within research and innovation policies</w:t>
      </w:r>
    </w:p>
    <w:p>
      <w:pPr>
        <w:pStyle w:val="SourceNote"/>
      </w:pPr>
      <w:r>
        <w:rPr>
          <w:b/>
        </w:rPr>
        <w:t>Group ID:</w:t>
      </w:r>
      <w:r>
        <w:t xml:space="preserve"> group-b79aa7e1225ef33b95d5</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The Authenticity of Purpose Claims: Firm Capacity and Job Seeker Responses to Recruitment Efforts — https://doi.org/10.1287/mnsc.2023.03931</w:t>
      </w:r>
    </w:p>
    <w:p>
      <w:pPr>
        <w:pStyle w:val="SourceNote"/>
      </w:pPr>
      <w:r>
        <w:rPr>
          <w:b/>
        </w:rPr>
        <w:t>Review status:</w:t>
      </w:r>
      <w:r>
        <w:t xml:space="preserve"> unchecked — possible relationship only</w:t>
      </w:r>
    </w:p>
    <w:p>
      <w:pPr>
        <w:pStyle w:val="Heading2"/>
      </w:pPr>
      <w:r>
        <w:t>214. Claim + two later sources: Governance barriers to sustainable energy transitions – Assessing Ireland's capacity towards marine energy futures</w:t>
      </w:r>
    </w:p>
    <w:p>
      <w:pPr>
        <w:pStyle w:val="SourceNote"/>
      </w:pPr>
      <w:r>
        <w:rPr>
          <w:b/>
        </w:rPr>
        <w:t>Group ID:</w:t>
      </w:r>
      <w:r>
        <w:t xml:space="preserve"> group-cb1fd8d4156e0c96b7ae</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Practices within the European Union’s Governance — https://doi.org/10.38158/apjeus.22.1.1</w:t>
      </w:r>
    </w:p>
    <w:p>
      <w:pPr/>
      <w:r>
        <w:rPr>
          <w:b/>
        </w:rPr>
        <w:t>Later source:</w:t>
      </w:r>
      <w:r>
        <w:t xml:space="preserve"> Sustainability conflicts in the blue economy: planning for offshore aquaculture and offshore wind energy development in Norway — https://doi.org/10.1007/s40152-023-00335-z</w:t>
      </w:r>
    </w:p>
    <w:p>
      <w:pPr>
        <w:pStyle w:val="SourceNote"/>
      </w:pPr>
      <w:r>
        <w:rPr>
          <w:b/>
        </w:rPr>
        <w:t>Review status:</w:t>
      </w:r>
      <w:r>
        <w:t xml:space="preserve"> unchecked — possible relationship only</w:t>
      </w:r>
    </w:p>
    <w:p>
      <w:pPr>
        <w:pStyle w:val="Heading2"/>
      </w:pPr>
      <w:r>
        <w:t>215. Claim + two later sources: Developments in Energy use for Transport in 27 European Union Countries through 2030</w:t>
      </w:r>
    </w:p>
    <w:p>
      <w:pPr>
        <w:pStyle w:val="SourceNote"/>
      </w:pPr>
      <w:r>
        <w:rPr>
          <w:b/>
        </w:rPr>
        <w:t>Group ID:</w:t>
      </w:r>
      <w:r>
        <w:t xml:space="preserve"> group-cbb1f22acf7fcc8804af</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Global value chains and the redistribution of GHG emissions: The case of Czechia — https://doi.org/10.1016/j.rspp.2026.100338</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216. Claim + two later sources: Impact of Quasi‐Idealized Future Land Cover Scenarios at High Latitudes in Complex Terrain</w:t>
      </w:r>
    </w:p>
    <w:p>
      <w:pPr>
        <w:pStyle w:val="SourceNote"/>
      </w:pPr>
      <w:r>
        <w:rPr>
          <w:b/>
        </w:rPr>
        <w:t>Group ID:</w:t>
      </w:r>
      <w:r>
        <w:t xml:space="preserve"> group-10139bfdaf76bce2273a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Linking European droughts to year-round weather regimes — https://doi.org/10.5194/wcd-7-223-2026</w:t>
      </w:r>
    </w:p>
    <w:p>
      <w:pPr>
        <w:pStyle w:val="SourceNote"/>
      </w:pPr>
      <w:r>
        <w:rPr>
          <w:b/>
        </w:rPr>
        <w:t>Review status:</w:t>
      </w:r>
      <w:r>
        <w:t xml:space="preserve"> unchecked — possible relationship only</w:t>
      </w:r>
    </w:p>
    <w:p>
      <w:pPr>
        <w:pStyle w:val="Heading2"/>
      </w:pPr>
      <w:r>
        <w:t>217. Claim + two later sources: International migration by 2030: impact of immigration policies scenarios on growth and employment</w:t>
      </w:r>
    </w:p>
    <w:p>
      <w:pPr>
        <w:pStyle w:val="SourceNote"/>
      </w:pPr>
      <w:r>
        <w:rPr>
          <w:b/>
        </w:rPr>
        <w:t>Group ID:</w:t>
      </w:r>
      <w:r>
        <w:t xml:space="preserve"> group-bb8f3ee8f49ffe0d8b14</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Listening, Learning, and Letting Go: History and Impact of Fund for Shared Insight, 2014-2026 — https://openalex.org/W7220885628</w:t>
      </w:r>
    </w:p>
    <w:p>
      <w:pPr>
        <w:pStyle w:val="SourceNote"/>
      </w:pPr>
      <w:r>
        <w:rPr>
          <w:b/>
        </w:rPr>
        <w:t>Review status:</w:t>
      </w:r>
      <w:r>
        <w:t xml:space="preserve"> unchecked — possible relationship only</w:t>
      </w:r>
    </w:p>
    <w:p>
      <w:pPr>
        <w:pStyle w:val="Heading2"/>
      </w:pPr>
      <w:r>
        <w:t>218. Claim + two later sources: Will climate change affect the electricity production sector? A European study</w:t>
      </w:r>
    </w:p>
    <w:p>
      <w:pPr>
        <w:pStyle w:val="SourceNote"/>
      </w:pPr>
      <w:r>
        <w:rPr>
          <w:b/>
        </w:rPr>
        <w:t>Group ID:</w:t>
      </w:r>
      <w:r>
        <w:t xml:space="preserve"> group-749b9b53ddf220f697e3</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Hydrogen production from grid electricity in Europe: A temporal analysis combining economic and climate dimensions — https://doi.org/10.1016/j.ecmx.2026.101922</w:t>
      </w:r>
    </w:p>
    <w:p>
      <w:pPr/>
      <w:r>
        <w:rPr>
          <w:b/>
        </w:rPr>
        <w:t>Later source:</w:t>
      </w:r>
      <w:r>
        <w:t xml:space="preserve"> Analysis of electricity production and prosumers in Romania — https://doi.org/10.1051/epjconf/202637207005</w:t>
      </w:r>
    </w:p>
    <w:p>
      <w:pPr>
        <w:pStyle w:val="SourceNote"/>
      </w:pPr>
      <w:r>
        <w:rPr>
          <w:b/>
        </w:rPr>
        <w:t>Review status:</w:t>
      </w:r>
      <w:r>
        <w:t xml:space="preserve"> unchecked — possible relationship only</w:t>
      </w:r>
    </w:p>
    <w:p>
      <w:pPr>
        <w:pStyle w:val="Heading2"/>
      </w:pPr>
      <w:r>
        <w:t>219.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220. Claim + two later sources: Superconductivity and the environment: a Roadmap</w:t>
      </w:r>
    </w:p>
    <w:p>
      <w:pPr>
        <w:pStyle w:val="SourceNote"/>
      </w:pPr>
      <w:r>
        <w:rPr>
          <w:b/>
        </w:rPr>
        <w:t>Group ID:</w:t>
      </w:r>
      <w:r>
        <w:t xml:space="preserve"> group-f805ac064e4b865abea3</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Dynamic MIPS Rate Stabilization for Complex Processors — https://doi.org/10.1145/2714575</w:t>
      </w:r>
    </w:p>
    <w:p>
      <w:pPr/>
      <w:r>
        <w:rPr>
          <w:b/>
        </w:rPr>
        <w:t>Later source:</w:t>
      </w:r>
      <w:r>
        <w:t xml:space="preserve"> Diabetic retinopathy stabilization after renal transplantation — https://doi.org/10.4103/0301-4738.136303</w:t>
      </w:r>
    </w:p>
    <w:p>
      <w:pPr>
        <w:pStyle w:val="SourceNote"/>
      </w:pPr>
      <w:r>
        <w:rPr>
          <w:b/>
        </w:rPr>
        <w:t>Review status:</w:t>
      </w:r>
      <w:r>
        <w:t xml:space="preserve"> unchecked — possible relationship only</w:t>
      </w:r>
    </w:p>
    <w:p>
      <w:pPr>
        <w:pStyle w:val="Heading2"/>
      </w:pPr>
      <w:r>
        <w:t>221. Claim + two later sources: Foresight in Public Administration: Methods and Perspectives of Implementation in Ukraine</w:t>
      </w:r>
    </w:p>
    <w:p>
      <w:pPr>
        <w:pStyle w:val="SourceNote"/>
      </w:pPr>
      <w:r>
        <w:rPr>
          <w:b/>
        </w:rPr>
        <w:t>Group ID:</w:t>
      </w:r>
      <w:r>
        <w:t xml:space="preserve"> group-32c88f083c1e05d509ff</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Choosing Exploratory, Predictive, or Causal Multivariable Models in Biomedical Research: A Practical Methodological Guide — https://doi.org/10.6000/1929-6029.2026.15.16</w:t>
      </w:r>
    </w:p>
    <w:p>
      <w:pPr>
        <w:pStyle w:val="SourceNote"/>
      </w:pPr>
      <w:r>
        <w:rPr>
          <w:b/>
        </w:rPr>
        <w:t>Review status:</w:t>
      </w:r>
      <w:r>
        <w:t xml:space="preserve"> unchecked — possible relationship only</w:t>
      </w:r>
    </w:p>
    <w:p>
      <w:pPr>
        <w:pStyle w:val="Heading2"/>
      </w:pPr>
      <w:r>
        <w:t>222. Claim + two later sources: Energy Efficiency Vision 2050: How will new societal trends influence future energy demand in the European countries?</w:t>
      </w:r>
    </w:p>
    <w:p>
      <w:pPr>
        <w:pStyle w:val="SourceNote"/>
      </w:pPr>
      <w:r>
        <w:rPr>
          <w:b/>
        </w:rPr>
        <w:t>Group ID:</w:t>
      </w:r>
      <w:r>
        <w:t xml:space="preserve"> group-1f732be89b7153e4c410</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Quality of Consumed Energy as a Key Element in the Development of Processes of Energy Transformation in the European Union Countries — https://doi.org/10.3390/en18030460</w:t>
      </w:r>
    </w:p>
    <w:p>
      <w:pPr/>
      <w:r>
        <w:rPr>
          <w:b/>
        </w:rPr>
        <w:t>Later source:</w:t>
      </w:r>
      <w:r>
        <w:t xml:space="preserve"> The (worst) laws of the land: the concept of legislative basket cases, legislative backsliding and public administration in Central-Eastern Europe — https://doi.org/10.1080/01442872.2025.2501741</w:t>
      </w:r>
    </w:p>
    <w:p>
      <w:pPr>
        <w:pStyle w:val="SourceNote"/>
      </w:pPr>
      <w:r>
        <w:rPr>
          <w:b/>
        </w:rPr>
        <w:t>Review status:</w:t>
      </w:r>
      <w:r>
        <w:t xml:space="preserve"> unchecked — possible relationship only</w:t>
      </w:r>
    </w:p>
    <w:p>
      <w:pPr>
        <w:pStyle w:val="Heading2"/>
      </w:pPr>
      <w:r>
        <w:t>223. Claim + two later sources: Energy system transition and macroeconomic impacts of a European decarbonization action towards a below 2 °C climate stabilization</w:t>
      </w:r>
    </w:p>
    <w:p>
      <w:pPr>
        <w:pStyle w:val="SourceNote"/>
      </w:pPr>
      <w:r>
        <w:rPr>
          <w:b/>
        </w:rPr>
        <w:t>Group ID:</w:t>
      </w:r>
      <w:r>
        <w:t xml:space="preserve"> group-5bf8475b92b76e1df209</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Can a wealth tax reduce CO2 emissions in Europe? — https://doi.org/10.1016/j.ecolecon.2026.109231</w:t>
      </w:r>
    </w:p>
    <w:p>
      <w:pPr/>
      <w:r>
        <w:rPr>
          <w:b/>
        </w:rPr>
        <w:t>Later source:</w:t>
      </w:r>
      <w:r>
        <w:t xml:space="preserve"> Research and innovation towards zero-emission road transport and European automotive sector competitiveness — https://doi.org/10.2760/4220161</w:t>
      </w:r>
    </w:p>
    <w:p>
      <w:pPr>
        <w:pStyle w:val="SourceNote"/>
      </w:pPr>
      <w:r>
        <w:rPr>
          <w:b/>
        </w:rPr>
        <w:t>Review status:</w:t>
      </w:r>
      <w:r>
        <w:t xml:space="preserve"> unchecked — possible relationship only</w:t>
      </w:r>
    </w:p>
    <w:p>
      <w:pPr>
        <w:pStyle w:val="Heading2"/>
      </w:pPr>
      <w:r>
        <w:t>224. Claim + two later sources: Burden of pancreatic cancer along with attributable risk factors in Europe between 1990 and 2019, and projections until 2039</w:t>
      </w:r>
    </w:p>
    <w:p>
      <w:pPr>
        <w:pStyle w:val="SourceNote"/>
      </w:pPr>
      <w:r>
        <w:rPr>
          <w:b/>
        </w:rPr>
        <w:t>Group ID:</w:t>
      </w:r>
      <w:r>
        <w:t xml:space="preserve"> group-400db2014c449fee03e6</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Data on the uptake of Integrated Pest Management (IPM) practices in European agriculture — https://doi.org/10.1016/j.dib.2026.113075</w:t>
      </w:r>
    </w:p>
    <w:p>
      <w:pPr/>
      <w:r>
        <w:rPr>
          <w:b/>
        </w:rPr>
        <w:t>Later source:</w:t>
      </w:r>
      <w:r>
        <w:t xml:space="preserve"> Biological data derived from European weather radars — https://doi.org/10.1038/s41597-025-04641-5</w:t>
      </w:r>
    </w:p>
    <w:p>
      <w:pPr>
        <w:pStyle w:val="SourceNote"/>
      </w:pPr>
      <w:r>
        <w:rPr>
          <w:b/>
        </w:rPr>
        <w:t>Review status:</w:t>
      </w:r>
      <w:r>
        <w:t xml:space="preserve"> unchecked — possible relationship only</w:t>
      </w:r>
    </w:p>
    <w:p>
      <w:pPr>
        <w:pStyle w:val="Heading2"/>
      </w:pPr>
      <w:r>
        <w:t>225. Claim + two later sources: Securing a bioenergy future without imports</w:t>
      </w:r>
    </w:p>
    <w:p>
      <w:pPr>
        <w:pStyle w:val="SourceNote"/>
      </w:pPr>
      <w:r>
        <w:rPr>
          <w:b/>
        </w:rPr>
        <w:t>Group ID:</w:t>
      </w:r>
      <w:r>
        <w:t xml:space="preserve"> group-24a0cc84bee1f2ff54ef</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Modeling of distributed energy resources (DERs) in a distribution grid — https://doi.org/10.1051/epjconf/202637206007</w:t>
      </w:r>
    </w:p>
    <w:p>
      <w:pPr/>
      <w:r>
        <w:rPr>
          <w:b/>
        </w:rPr>
        <w:t>Later source:</w:t>
      </w:r>
      <w:r>
        <w:t xml:space="preserve"> Modeling of distributed energy resources (DERs) in a distribution grid — https://doi.org/10.1051/epjconf/202637206007/pdf</w:t>
      </w:r>
    </w:p>
    <w:p>
      <w:pPr>
        <w:pStyle w:val="SourceNote"/>
      </w:pPr>
      <w:r>
        <w:rPr>
          <w:b/>
        </w:rPr>
        <w:t>Review status:</w:t>
      </w:r>
      <w:r>
        <w:t xml:space="preserve"> unchecked — possible relationship only</w:t>
      </w:r>
    </w:p>
    <w:p>
      <w:pPr>
        <w:pStyle w:val="Heading2"/>
      </w:pPr>
      <w:r>
        <w:t>226. Claim + two later sources: Shifts, turning points and inertia exploring long-term industry trends in European transport</w:t>
      </w:r>
    </w:p>
    <w:p>
      <w:pPr>
        <w:pStyle w:val="SourceNote"/>
      </w:pPr>
      <w:r>
        <w:rPr>
          <w:b/>
        </w:rPr>
        <w:t>Group ID:</w:t>
      </w:r>
      <w:r>
        <w:t xml:space="preserve"> group-14d340874eef4e6c231c</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The European Union and Strategic Autonomy: Political, Economic and Technological Challenges — https://doi.org/10.47459/cndcgs.2026.42</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227. Claim + two later sources: Electricity Spot Market Design 2030-2050</w:t>
      </w:r>
    </w:p>
    <w:p>
      <w:pPr>
        <w:pStyle w:val="SourceNote"/>
      </w:pPr>
      <w:r>
        <w:rPr>
          <w:b/>
        </w:rPr>
        <w:t>Group ID:</w:t>
      </w:r>
      <w:r>
        <w:t xml:space="preserve"> group-3a87c1d429653814ea2e</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German Election Study, 1994 (Politbarometer East) — https://doi.org/10.3886/icpsr34722</w:t>
      </w:r>
    </w:p>
    <w:p>
      <w:pPr/>
      <w:r>
        <w:rPr>
          <w:b/>
        </w:rPr>
        <w:t>Later source:</w:t>
      </w:r>
      <w:r>
        <w:t xml:space="preserve"> German response to the pandemic crisis — https://doi.org/10.4324/9781003634003-23</w:t>
      </w:r>
    </w:p>
    <w:p>
      <w:pPr>
        <w:pStyle w:val="SourceNote"/>
      </w:pPr>
      <w:r>
        <w:rPr>
          <w:b/>
        </w:rPr>
        <w:t>Review status:</w:t>
      </w:r>
      <w:r>
        <w:t xml:space="preserve"> unchecked — possible relationship only</w:t>
      </w:r>
    </w:p>
    <w:p>
      <w:pPr>
        <w:pStyle w:val="Heading2"/>
      </w:pPr>
      <w:r>
        <w:t>228. Claim + two later sources: Centre-Periphery Relations in Europe: Demographic Aspect</w:t>
      </w:r>
    </w:p>
    <w:p>
      <w:pPr>
        <w:pStyle w:val="SourceNote"/>
      </w:pPr>
      <w:r>
        <w:rPr>
          <w:b/>
        </w:rPr>
        <w:t>Group ID:</w:t>
      </w:r>
      <w:r>
        <w:t xml:space="preserve"> group-f42d2736fe85ed90f6a2</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Sustainability and Competition Policy in Europe: Recent Developments — https://doi.org/10.1093/jeclap/lpad032</w:t>
      </w:r>
    </w:p>
    <w:p>
      <w:pPr/>
      <w:r>
        <w:rPr>
          <w:b/>
        </w:rPr>
        <w:t>Later source:</w:t>
      </w:r>
      <w:r>
        <w:t xml:space="preserve"> Osteoporosis in Europe: a compendium of country-specific reports — https://doi.org/10.1007/s11657-021-00969-8</w:t>
      </w:r>
    </w:p>
    <w:p>
      <w:pPr>
        <w:pStyle w:val="SourceNote"/>
      </w:pPr>
      <w:r>
        <w:rPr>
          <w:b/>
        </w:rPr>
        <w:t>Review status:</w:t>
      </w:r>
      <w:r>
        <w:t xml:space="preserve"> unchecked — possible relationship only</w:t>
      </w:r>
    </w:p>
    <w:p>
      <w:pPr>
        <w:pStyle w:val="Heading2"/>
      </w:pPr>
      <w:r>
        <w:t>229.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230.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231. Claim + two later sources: FRESHER: Challenges and opportunities for building Health/Healthy futures</w:t>
      </w:r>
    </w:p>
    <w:p>
      <w:pPr>
        <w:pStyle w:val="SourceNote"/>
      </w:pPr>
      <w:r>
        <w:rPr>
          <w:b/>
        </w:rPr>
        <w:t>Group ID:</w:t>
      </w:r>
      <w:r>
        <w:t xml:space="preserve"> group-6c5a7315ecd769c44e17</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Evolution of the School Building Network in Portugal in the First Decade of the New Millennium — https://doi.org/10.31637/epsir-2026-2713</w:t>
      </w:r>
    </w:p>
    <w:p>
      <w:pPr/>
      <w:r>
        <w:rPr>
          <w:b/>
        </w:rPr>
        <w:t>Later source:</w:t>
      </w:r>
      <w:r>
        <w:t xml:space="preserve"> Techno-economic evaluation of an elastic composite phase change material for building envelopes — https://doi.org/10.1016/j.tsep.2026.104727</w:t>
      </w:r>
    </w:p>
    <w:p>
      <w:pPr>
        <w:pStyle w:val="SourceNote"/>
      </w:pPr>
      <w:r>
        <w:rPr>
          <w:b/>
        </w:rPr>
        <w:t>Review status:</w:t>
      </w:r>
      <w:r>
        <w:t xml:space="preserve"> unchecked — possible relationship only</w:t>
      </w:r>
    </w:p>
    <w:p>
      <w:pPr>
        <w:pStyle w:val="Heading2"/>
      </w:pPr>
      <w:r>
        <w:t>232.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233.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234. Claim + two later sources: The northern hemisphere circumglobal teleconnection in a seasonal forecast model and its relationship to European summer forecast skill</w:t>
      </w:r>
    </w:p>
    <w:p>
      <w:pPr>
        <w:pStyle w:val="SourceNote"/>
      </w:pPr>
      <w:r>
        <w:rPr>
          <w:b/>
        </w:rPr>
        <w:t>Group ID:</w:t>
      </w:r>
      <w:r>
        <w:t xml:space="preserve"> group-a6c56e8d590bd4fc6613</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The role of capitalism and colonialism in the deforestation of early modern Europe: Notes for historical land use models — https://doi.org/10.1016/j.ancene.2026.100566</w:t>
      </w:r>
    </w:p>
    <w:p>
      <w:pPr/>
      <w:r>
        <w:rPr>
          <w:b/>
        </w:rPr>
        <w:t>Later source:</w:t>
      </w:r>
      <w:r>
        <w:t xml:space="preserve"> The Link between Gulf Stream Precipitation Extremes and European Blocking in General Circulation Models and the Role of Horizontal Resolution — https://doi.org/10.1175/jcli-d-24-0311.1</w:t>
      </w:r>
    </w:p>
    <w:p>
      <w:pPr>
        <w:pStyle w:val="SourceNote"/>
      </w:pPr>
      <w:r>
        <w:rPr>
          <w:b/>
        </w:rPr>
        <w:t>Review status:</w:t>
      </w:r>
      <w:r>
        <w:t xml:space="preserve"> unchecked — possible relationship only</w:t>
      </w:r>
    </w:p>
    <w:p>
      <w:pPr>
        <w:pStyle w:val="Heading2"/>
      </w:pPr>
      <w:r>
        <w:t>235.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236. Claim + two later sources: Integrating foresight into government. Is it possible? Is it likely?</w:t>
      </w:r>
    </w:p>
    <w:p>
      <w:pPr>
        <w:pStyle w:val="SourceNote"/>
      </w:pPr>
      <w:r>
        <w:rPr>
          <w:b/>
        </w:rPr>
        <w:t>Group ID:</w:t>
      </w:r>
      <w:r>
        <w:t xml:space="preserve"> group-f38cb540b141b5164658</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An Informative Review of Radiomics Studies on Cancer Imaging: The Main Findings, Challenges and Limitations of the Methodologies — https://doi.org/10.3390/curroncol31010027</w:t>
      </w:r>
    </w:p>
    <w:p>
      <w:pPr/>
      <w:r>
        <w:rPr>
          <w:b/>
        </w:rPr>
        <w:t>Later source:</w:t>
      </w:r>
      <w:r>
        <w:t xml:space="preserve"> Genome-wide analyses of ADHD identify 27 risk loci, refine the genetic architecture and implicate several cognitive domains — https://doi.org/10.1038/s41588-022-01285-8</w:t>
      </w:r>
    </w:p>
    <w:p>
      <w:pPr>
        <w:pStyle w:val="SourceNote"/>
      </w:pPr>
      <w:r>
        <w:rPr>
          <w:b/>
        </w:rPr>
        <w:t>Review status:</w:t>
      </w:r>
      <w:r>
        <w:t xml:space="preserve"> unchecked — possible relationship only</w:t>
      </w:r>
    </w:p>
    <w:p>
      <w:pPr>
        <w:pStyle w:val="Heading2"/>
      </w:pPr>
      <w:r>
        <w:t>237. Claim + two later sources: An exploratory policy analysis of electric vehicle sales competition and sensitivity to infrastructure in Europe</w:t>
      </w:r>
    </w:p>
    <w:p>
      <w:pPr>
        <w:pStyle w:val="SourceNote"/>
      </w:pPr>
      <w:r>
        <w:rPr>
          <w:b/>
        </w:rPr>
        <w:t>Group ID:</w:t>
      </w:r>
      <w:r>
        <w:t xml:space="preserve"> group-6c2d3d12893afec01e27</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Public Charging Infrastructure and Electrification Dynamics in Europe: A Descriptive Assessment of Infrastructure Strain — https://doi.org/10.3390/en19092063</w:t>
      </w:r>
    </w:p>
    <w:p>
      <w:pPr>
        <w:pStyle w:val="SourceNote"/>
      </w:pPr>
      <w:r>
        <w:rPr>
          <w:b/>
        </w:rPr>
        <w:t>Review status:</w:t>
      </w:r>
      <w:r>
        <w:t xml:space="preserve"> unchecked — possible relationship only</w:t>
      </w:r>
    </w:p>
    <w:p>
      <w:pPr>
        <w:pStyle w:val="Heading2"/>
      </w:pPr>
      <w:r>
        <w:t>238. Claim + two later sources: CORPORATE FORESIGHT AND ASSESSMENT OF INNOVATIVE ACTIVITY OF INDUSTRIAL ENTERPRISES</w:t>
      </w:r>
    </w:p>
    <w:p>
      <w:pPr>
        <w:pStyle w:val="SourceNote"/>
      </w:pPr>
      <w:r>
        <w:rPr>
          <w:b/>
        </w:rPr>
        <w:t>Group ID:</w:t>
      </w:r>
      <w:r>
        <w:t xml:space="preserve"> group-13b45bad2d930701bc80</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Strategic foresight and management of energy security in Jordan : The mediating role of strategic agility — https://openalex.org/W7166258236</w:t>
      </w:r>
    </w:p>
    <w:p>
      <w:pPr>
        <w:pStyle w:val="SourceNote"/>
      </w:pPr>
      <w:r>
        <w:rPr>
          <w:b/>
        </w:rPr>
        <w:t>Review status:</w:t>
      </w:r>
      <w:r>
        <w:t xml:space="preserve"> unchecked — possible relationship only</w:t>
      </w:r>
    </w:p>
    <w:p>
      <w:pPr>
        <w:pStyle w:val="Heading2"/>
      </w:pPr>
      <w:r>
        <w:t>239. Claim + two later sources: Varying soil moisture–atmosphere feedbacks explain divergent temperature extremes and precipitation projections in central Europe</w:t>
      </w:r>
    </w:p>
    <w:p>
      <w:pPr>
        <w:pStyle w:val="SourceNote"/>
      </w:pPr>
      <w:r>
        <w:rPr>
          <w:b/>
        </w:rPr>
        <w:t>Group ID:</w:t>
      </w:r>
      <w:r>
        <w:t xml:space="preserve"> group-965ffb2974f292766085</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Civilizational Temperature: A CRTI-Based Heuristic Exploration of Long-Term System Dynamics (1000 BCE–2025 CE) — https://doi.org/10.5281/zenodo.19058865</w:t>
      </w:r>
    </w:p>
    <w:p>
      <w:pPr>
        <w:pStyle w:val="SourceNote"/>
      </w:pPr>
      <w:r>
        <w:rPr>
          <w:b/>
        </w:rPr>
        <w:t>Review status:</w:t>
      </w:r>
      <w:r>
        <w:t xml:space="preserve"> unchecked — possible relationship only</w:t>
      </w:r>
    </w:p>
    <w:p>
      <w:pPr>
        <w:pStyle w:val="Heading2"/>
      </w:pPr>
      <w:r>
        <w:t>240.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241. Claim + two later sources: Long-term outlook for wood construction in Europe</w:t>
      </w:r>
    </w:p>
    <w:p>
      <w:pPr>
        <w:pStyle w:val="SourceNote"/>
      </w:pPr>
      <w:r>
        <w:rPr>
          <w:b/>
        </w:rPr>
        <w:t>Group ID:</w:t>
      </w:r>
      <w:r>
        <w:t xml:space="preserve"> group-3fd9dede55e8e0598c03</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Value creation and competitiveness in small European markets — https://doi.org/10.5281/zenodo.19133639</w:t>
      </w:r>
    </w:p>
    <w:p>
      <w:pPr/>
      <w:r>
        <w:rPr>
          <w:b/>
        </w:rPr>
        <w:t>Later source:</w:t>
      </w:r>
      <w:r>
        <w:t xml:space="preserve"> Sharia compliance and investment efficiency in European secular markets — https://doi.org/10.1108/jiabr-07-2025-0396</w:t>
      </w:r>
    </w:p>
    <w:p>
      <w:pPr>
        <w:pStyle w:val="SourceNote"/>
      </w:pPr>
      <w:r>
        <w:rPr>
          <w:b/>
        </w:rPr>
        <w:t>Review status:</w:t>
      </w:r>
      <w:r>
        <w:t xml:space="preserve"> unchecked — possible relationship only</w:t>
      </w:r>
    </w:p>
    <w:p>
      <w:pPr>
        <w:pStyle w:val="Heading2"/>
      </w:pPr>
      <w:r>
        <w:t>242. Claim + two later sources: Innovation policy and international relations: directions for EU diplomacy</w:t>
      </w:r>
    </w:p>
    <w:p>
      <w:pPr>
        <w:pStyle w:val="SourceNote"/>
      </w:pPr>
      <w:r>
        <w:rPr>
          <w:b/>
        </w:rPr>
        <w:t>Group ID:</w:t>
      </w:r>
      <w:r>
        <w:t xml:space="preserve"> group-9949c3d12bbaaf668afc</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An Exploration of Bachelor Level Learners' Experiences in Writing Paragraphs — https://doi.org/10.36948/ijfmr.2024.v06i02.15034</w:t>
      </w:r>
    </w:p>
    <w:p>
      <w:pPr>
        <w:pStyle w:val="SourceNote"/>
      </w:pPr>
      <w:r>
        <w:rPr>
          <w:b/>
        </w:rPr>
        <w:t>Review status:</w:t>
      </w:r>
      <w:r>
        <w:t xml:space="preserve"> unchecked — possible relationship only</w:t>
      </w:r>
    </w:p>
    <w:p>
      <w:pPr>
        <w:pStyle w:val="Heading2"/>
      </w:pPr>
      <w:r>
        <w:t>243. Claim + two later sources: A ‘futures’ approach towards the wellbeing of future generations in Wales and beyond</w:t>
      </w:r>
    </w:p>
    <w:p>
      <w:pPr>
        <w:pStyle w:val="SourceNote"/>
      </w:pPr>
      <w:r>
        <w:rPr>
          <w:b/>
        </w:rPr>
        <w:t>Group ID:</w:t>
      </w:r>
      <w:r>
        <w:t xml:space="preserve"> group-3baed121b1e2ad5057ea</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Developing an alternative medium for in-space biomanufacturing — https://doi.org/10.1038/s41467-025-56088-2</w:t>
      </w:r>
    </w:p>
    <w:p>
      <w:pPr>
        <w:pStyle w:val="SourceNote"/>
      </w:pPr>
      <w:r>
        <w:rPr>
          <w:b/>
        </w:rPr>
        <w:t>Review status:</w:t>
      </w:r>
      <w:r>
        <w:t xml:space="preserve"> unchecked — possible relationship only</w:t>
      </w:r>
    </w:p>
    <w:p>
      <w:pPr>
        <w:pStyle w:val="Heading2"/>
      </w:pPr>
      <w:r>
        <w:t>244.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245. Claim + two later sources: The Future of Visitor Attractions in The Netherlands</w:t>
      </w:r>
    </w:p>
    <w:p>
      <w:pPr>
        <w:pStyle w:val="SourceNote"/>
      </w:pPr>
      <w:r>
        <w:rPr>
          <w:b/>
        </w:rPr>
        <w:t>Group ID:</w:t>
      </w:r>
      <w:r>
        <w:t xml:space="preserve"> group-bfc9c18f0bf45439a289</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Four Risks for Europe — https://doi.org/10.1007/978-3-032-29056-4_6</w:t>
      </w:r>
    </w:p>
    <w:p>
      <w:pPr>
        <w:pStyle w:val="SourceNote"/>
      </w:pPr>
      <w:r>
        <w:rPr>
          <w:b/>
        </w:rPr>
        <w:t>Review status:</w:t>
      </w:r>
      <w:r>
        <w:t xml:space="preserve"> unchecked — possible relationship only</w:t>
      </w:r>
    </w:p>
    <w:p>
      <w:pPr>
        <w:pStyle w:val="Heading2"/>
      </w:pPr>
      <w:r>
        <w:t>246.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247. Claim + two later sources: Spatial Simulation of Codesigned Land Cover Change Scenarios in New England: Alternative Futures and Their Consequences for Conservation Priorities</w:t>
      </w:r>
    </w:p>
    <w:p>
      <w:pPr>
        <w:pStyle w:val="SourceNote"/>
      </w:pPr>
      <w:r>
        <w:rPr>
          <w:b/>
        </w:rPr>
        <w:t>Group ID:</w:t>
      </w:r>
      <w:r>
        <w:t xml:space="preserve"> group-b860682d74ba9082f796</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The Left Needs Bureaucrats — https://doi.org/10.1353/dss.2026.a980268</w:t>
      </w:r>
    </w:p>
    <w:p>
      <w:pPr/>
      <w:r>
        <w:rPr>
          <w:b/>
        </w:rPr>
        <w:t>Later source:</w:t>
      </w:r>
      <w:r>
        <w:t xml:space="preserve"> Preparing to Prepare a Manuscript — https://doi.org/10.1097/nur.0000000000000973</w:t>
      </w:r>
    </w:p>
    <w:p>
      <w:pPr>
        <w:pStyle w:val="SourceNote"/>
      </w:pPr>
      <w:r>
        <w:rPr>
          <w:b/>
        </w:rPr>
        <w:t>Review status:</w:t>
      </w:r>
      <w:r>
        <w:t xml:space="preserve"> unchecked — possible relationship only</w:t>
      </w:r>
    </w:p>
    <w:p>
      <w:pPr>
        <w:pStyle w:val="Heading2"/>
      </w:pPr>
      <w:r>
        <w:t>248. Claim + two later sources: Futuring European industry: assessing the ManuFuture road towards EU re-industrialization</w:t>
      </w:r>
    </w:p>
    <w:p>
      <w:pPr>
        <w:pStyle w:val="SourceNote"/>
      </w:pPr>
      <w:r>
        <w:rPr>
          <w:b/>
        </w:rPr>
        <w:t>Group ID:</w:t>
      </w:r>
      <w:r>
        <w:t xml:space="preserve"> group-90f9015787930b387e2e</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Industrial energy transformation and multi-level governance: evidence from Germany — https://doi.org/10.32846/2306-9716/2026.eco.3-66.30</w:t>
      </w:r>
    </w:p>
    <w:p>
      <w:pPr/>
      <w:r>
        <w:rPr>
          <w:b/>
        </w:rPr>
        <w:t>Later source:</w:t>
      </w:r>
      <w:r>
        <w:t xml:space="preserve"> Systemic Failure of Judicial Protection in Latvian Enforcement Proceedings: A Legal Assessment — https://doi.org/10.5281/zenodo.21709610</w:t>
      </w:r>
    </w:p>
    <w:p>
      <w:pPr>
        <w:pStyle w:val="SourceNote"/>
      </w:pPr>
      <w:r>
        <w:rPr>
          <w:b/>
        </w:rPr>
        <w:t>Review status:</w:t>
      </w:r>
      <w:r>
        <w:t xml:space="preserve"> unchecked — possible relationship only</w:t>
      </w:r>
    </w:p>
    <w:p>
      <w:pPr>
        <w:pStyle w:val="Heading2"/>
      </w:pPr>
      <w:r>
        <w:t>249. Claim + two later sources: THREE INVESTMENT SCENARIOS FOR  FUTURE NUCLEAR REACTORS IN EUROPE</w:t>
      </w:r>
    </w:p>
    <w:p>
      <w:pPr>
        <w:pStyle w:val="SourceNote"/>
      </w:pPr>
      <w:r>
        <w:rPr>
          <w:b/>
        </w:rPr>
        <w:t>Group ID:</w:t>
      </w:r>
      <w:r>
        <w:t xml:space="preserve"> group-18b56483ca6fa296e36c</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Geopolitics and uncertainty for power generation in the context of the energy transition — https://openalex.org/W7157515688</w:t>
      </w:r>
    </w:p>
    <w:p>
      <w:pPr>
        <w:pStyle w:val="SourceNote"/>
      </w:pPr>
      <w:r>
        <w:rPr>
          <w:b/>
        </w:rPr>
        <w:t>Review status:</w:t>
      </w:r>
      <w:r>
        <w:t xml:space="preserve"> unchecked — possible relationship only</w:t>
      </w:r>
    </w:p>
    <w:p>
      <w:pPr>
        <w:pStyle w:val="Heading2"/>
      </w:pPr>
      <w:r>
        <w:t>250. Claim + two later sources: A road map for explorative scenario creation on Belgian rail freight transport development</w:t>
      </w:r>
    </w:p>
    <w:p>
      <w:pPr>
        <w:pStyle w:val="SourceNote"/>
      </w:pPr>
      <w:r>
        <w:rPr>
          <w:b/>
        </w:rPr>
        <w:t>Group ID:</w:t>
      </w:r>
      <w:r>
        <w:t xml:space="preserve"> group-14b1656ca8b7fcbf508f</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Undisciplined Learning Spaces: An Environmental Model for Interdisciplinary Education — https://doi.org/10.1007/s42438-026-00645-5</w:t>
      </w:r>
    </w:p>
    <w:p>
      <w:pPr>
        <w:pStyle w:val="SourceNote"/>
      </w:pPr>
      <w:r>
        <w:rPr>
          <w:b/>
        </w:rPr>
        <w:t>Review status:</w:t>
      </w:r>
      <w:r>
        <w:t xml:space="preserve"> unchecked — possible relationship only</w:t>
      </w:r>
    </w:p>
    <w:p>
      <w:pPr>
        <w:pStyle w:val="Heading2"/>
      </w:pPr>
      <w:r>
        <w:t>251. Claim + two later sources: Three scenarios for industrial relations in Europe</w:t>
      </w:r>
    </w:p>
    <w:p>
      <w:pPr>
        <w:pStyle w:val="SourceNote"/>
      </w:pPr>
      <w:r>
        <w:rPr>
          <w:b/>
        </w:rPr>
        <w:t>Group ID:</w:t>
      </w:r>
      <w:r>
        <w:t xml:space="preserve"> group-7706f521e72e8d9b6e67</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Digital Currencies in Context: A Cross-Regional Study of Blockchain Adoption in the U.S. and Europe — https://doi.org/10.33423/jabe.v27i6.7943</w:t>
      </w:r>
    </w:p>
    <w:p>
      <w:pPr>
        <w:pStyle w:val="SourceNote"/>
      </w:pPr>
      <w:r>
        <w:rPr>
          <w:b/>
        </w:rPr>
        <w:t>Review status:</w:t>
      </w:r>
      <w:r>
        <w:t xml:space="preserve"> unchecked — possible relationship only</w:t>
      </w:r>
    </w:p>
    <w:p>
      <w:pPr>
        <w:pStyle w:val="Heading2"/>
      </w:pPr>
      <w:r>
        <w:t>252.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possible relationship only</w:t>
      </w:r>
    </w:p>
    <w:p>
      <w:pPr>
        <w:pStyle w:val="Heading2"/>
      </w:pPr>
      <w:r>
        <w:t>253.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254.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255.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256. Claim + two later sources: Consequences of Enduring Low Fertility – A German Case Study. Demographic Projections and Implications for Different Policy Fields</w:t>
      </w:r>
    </w:p>
    <w:p>
      <w:pPr>
        <w:pStyle w:val="SourceNote"/>
      </w:pPr>
      <w:r>
        <w:rPr>
          <w:b/>
        </w:rPr>
        <w:t>Group ID:</w:t>
      </w:r>
      <w:r>
        <w:t xml:space="preserve"> group-9d3fd92b6755a102f5cf</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Democracy, Ageing, Disability — https://doi.org/10.17454/pam-2811</w:t>
      </w:r>
    </w:p>
    <w:p>
      <w:pPr>
        <w:pStyle w:val="SourceNote"/>
      </w:pPr>
      <w:r>
        <w:rPr>
          <w:b/>
        </w:rPr>
        <w:t>Review status:</w:t>
      </w:r>
      <w:r>
        <w:t xml:space="preserve"> unchecked — possible relationship only</w:t>
      </w:r>
    </w:p>
    <w:p>
      <w:pPr>
        <w:pStyle w:val="Heading2"/>
      </w:pPr>
      <w:r>
        <w:t>257.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258.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group-8f1b651812cf71d10d78</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Developing context-specific frameworks for integrated sustainability assessment of agricultural intensity change: An application for Europe — https://doi.org/10.1016/j.envsci.2022.08.014</w:t>
      </w:r>
    </w:p>
    <w:p>
      <w:pPr>
        <w:pStyle w:val="SourceNote"/>
      </w:pPr>
      <w:r>
        <w:rPr>
          <w:b/>
        </w:rPr>
        <w:t>Review status:</w:t>
      </w:r>
      <w:r>
        <w:t xml:space="preserve"> unchecked — possible relationship only</w:t>
      </w:r>
    </w:p>
    <w:p>
      <w:pPr>
        <w:pStyle w:val="Heading2"/>
      </w:pPr>
      <w:r>
        <w:t>259.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260. Claim + two later sources: Shaping the ‘Energy Union': between national positions and governance innovation in EU energy and climate policy</w:t>
      </w:r>
    </w:p>
    <w:p>
      <w:pPr>
        <w:pStyle w:val="SourceNote"/>
      </w:pPr>
      <w:r>
        <w:rPr>
          <w:b/>
        </w:rPr>
        <w:t>Group ID:</w:t>
      </w:r>
      <w:r>
        <w:t xml:space="preserve"> group-bab83db281f101aeae83</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Germany's cannabis act: a catalyst for European drug policy reform? — https://doi.org/10.1016/j.lanepe.2024.100929</w:t>
      </w:r>
    </w:p>
    <w:p>
      <w:pPr>
        <w:pStyle w:val="SourceNote"/>
      </w:pPr>
      <w:r>
        <w:rPr>
          <w:b/>
        </w:rPr>
        <w:t>Review status:</w:t>
      </w:r>
      <w:r>
        <w:t xml:space="preserve"> unchecked — possible relationship only</w:t>
      </w:r>
    </w:p>
    <w:p>
      <w:pPr>
        <w:pStyle w:val="Heading2"/>
      </w:pPr>
      <w:r>
        <w:t>261. Claim + two later sources: Trends and Possible Future Developments in Global Forest-Product Markets—Implications for the Swedish Forest Sector</w:t>
      </w:r>
    </w:p>
    <w:p>
      <w:pPr>
        <w:pStyle w:val="SourceNote"/>
      </w:pPr>
      <w:r>
        <w:rPr>
          <w:b/>
        </w:rPr>
        <w:t>Group ID:</w:t>
      </w:r>
      <w:r>
        <w:t xml:space="preserve"> group-dbaea23fcf4cd0c1eddc</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Artificial Intelligence-Empowered Radiology—Current Status and Critical Review — https://doi.org/10.3390/diagnostics15030282</w:t>
      </w:r>
    </w:p>
    <w:p>
      <w:pPr/>
      <w:r>
        <w:rPr>
          <w:b/>
        </w:rPr>
        <w:t>Later source:</w:t>
      </w:r>
      <w:r>
        <w:t xml:space="preserve"> Uncertainty quantification for overshoots of tipping thresholds — https://doi.org/10.5194/esd-16-1153-2025</w:t>
      </w:r>
    </w:p>
    <w:p>
      <w:pPr>
        <w:pStyle w:val="SourceNote"/>
      </w:pPr>
      <w:r>
        <w:rPr>
          <w:b/>
        </w:rPr>
        <w:t>Review status:</w:t>
      </w:r>
      <w:r>
        <w:t xml:space="preserve"> unchecked — possible relationship only</w:t>
      </w:r>
    </w:p>
    <w:p>
      <w:pPr>
        <w:pStyle w:val="Heading2"/>
      </w:pPr>
      <w:r>
        <w:t>262.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263. Claim + two later sources: Future air quality in Europe: a multi-model assessment of projected exposure to ozone</w:t>
      </w:r>
    </w:p>
    <w:p>
      <w:pPr>
        <w:pStyle w:val="SourceNote"/>
      </w:pPr>
      <w:r>
        <w:rPr>
          <w:b/>
        </w:rPr>
        <w:t>Group ID:</w:t>
      </w:r>
      <w:r>
        <w:t xml:space="preserve"> group-f4529bc25db4fc4431ec</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Clean air in Europe for all — https://doi.org/10.1097/ee9.0000000000000245</w:t>
      </w:r>
    </w:p>
    <w:p>
      <w:pPr/>
      <w:r>
        <w:rPr>
          <w:b/>
        </w:rPr>
        <w:t>Later source:</w:t>
      </w:r>
      <w:r>
        <w:t xml:space="preserve"> Spatial heterogeneity of air pollution statistics in Europe — https://doi.org/10.1038/s41598-022-16109-2</w:t>
      </w:r>
    </w:p>
    <w:p>
      <w:pPr>
        <w:pStyle w:val="SourceNote"/>
      </w:pPr>
      <w:r>
        <w:rPr>
          <w:b/>
        </w:rPr>
        <w:t>Review status:</w:t>
      </w:r>
      <w:r>
        <w:t xml:space="preserve"> unchecked — possible relationship only</w:t>
      </w:r>
    </w:p>
    <w:p>
      <w:pPr>
        <w:pStyle w:val="Heading2"/>
      </w:pPr>
      <w:r>
        <w:t>264. Claim + two later sources: The future of trade unions in Croatia – various stakeholders’ perspectives</w:t>
      </w:r>
    </w:p>
    <w:p>
      <w:pPr>
        <w:pStyle w:val="SourceNote"/>
      </w:pPr>
      <w:r>
        <w:rPr>
          <w:b/>
        </w:rPr>
        <w:t>Group ID:</w:t>
      </w:r>
      <w:r>
        <w:t xml:space="preserve"> group-22979c36a34ddb4e56f0</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The communication of science within the framework of European Union-funded research projects: Exploring practitioners’ experiences and perceptions — https://doi.org/10.1177/09636625261433895</w:t>
      </w:r>
    </w:p>
    <w:p>
      <w:pPr>
        <w:pStyle w:val="SourceNote"/>
      </w:pPr>
      <w:r>
        <w:rPr>
          <w:b/>
        </w:rPr>
        <w:t>Review status:</w:t>
      </w:r>
      <w:r>
        <w:t xml:space="preserve"> unchecked — possible relationship only</w:t>
      </w:r>
    </w:p>
    <w:p>
      <w:pPr>
        <w:pStyle w:val="Heading2"/>
      </w:pPr>
      <w:r>
        <w:t>265.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266. Claim + two later sources: Toward a Diagnostic Tool for Organizational Ethical Culture With Futures Thinking and Scenario Planning</w:t>
      </w:r>
    </w:p>
    <w:p>
      <w:pPr>
        <w:pStyle w:val="SourceNote"/>
      </w:pPr>
      <w:r>
        <w:rPr>
          <w:b/>
        </w:rPr>
        <w:t>Group ID:</w:t>
      </w:r>
      <w:r>
        <w:t xml:space="preserve"> group-80c4e58e17fc2bcd9dab</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Mapping the Evidence on Antimicrobial Resistance Transmission in Mass Gatherings: A Scoping Review — https://doi.org/10.17605/osf.io/9hq5t</w:t>
      </w:r>
    </w:p>
    <w:p>
      <w:pPr>
        <w:pStyle w:val="SourceNote"/>
      </w:pPr>
      <w:r>
        <w:rPr>
          <w:b/>
        </w:rPr>
        <w:t>Review status:</w:t>
      </w:r>
      <w:r>
        <w:t xml:space="preserve"> unchecked — possible relationship only</w:t>
      </w:r>
    </w:p>
    <w:p>
      <w:pPr>
        <w:pStyle w:val="Heading2"/>
      </w:pPr>
      <w:r>
        <w:t>267. Claim + two later sources: Scenarios for the Development of Multimodal Transport in the TRITIA Cross-Border Area</w:t>
      </w:r>
    </w:p>
    <w:p>
      <w:pPr>
        <w:pStyle w:val="SourceNote"/>
      </w:pPr>
      <w:r>
        <w:rPr>
          <w:b/>
        </w:rPr>
        <w:t>Group ID:</w:t>
      </w:r>
      <w:r>
        <w:t xml:space="preserve"> group-4b1b570bf30cc99a7954</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Evaluating the factors affecting dairy commodity returns: the case of European dairy markets — https://doi.org/10.3846/bmee.2025.21568</w:t>
      </w:r>
    </w:p>
    <w:p>
      <w:pPr>
        <w:pStyle w:val="SourceNote"/>
      </w:pPr>
      <w:r>
        <w:rPr>
          <w:b/>
        </w:rPr>
        <w:t>Review status:</w:t>
      </w:r>
      <w:r>
        <w:t xml:space="preserve"> unchecked — possible relationship only</w:t>
      </w:r>
    </w:p>
    <w:p>
      <w:pPr>
        <w:pStyle w:val="Heading2"/>
      </w:pPr>
      <w:r>
        <w:t>268. Claim + two later sources: Central Europe: Possible Scenarios</w:t>
      </w:r>
    </w:p>
    <w:p>
      <w:pPr>
        <w:pStyle w:val="SourceNote"/>
      </w:pPr>
      <w:r>
        <w:rPr>
          <w:b/>
        </w:rPr>
        <w:t>Group ID:</w:t>
      </w:r>
      <w:r>
        <w:t xml:space="preserve"> group-511a87e7f8675fe00c14</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SPES Explorer European Pressing Issues Dashboard — https://doi.org/10.5281/zenodo.18479791</w:t>
      </w:r>
    </w:p>
    <w:p>
      <w:pPr/>
      <w:r>
        <w:rPr>
          <w:b/>
        </w:rPr>
        <w:t>Later source:</w:t>
      </w:r>
      <w:r>
        <w:t xml:space="preserve"> Feeling responsible, feeling better? The climate-happiness link across European Union — https://doi.org/10.71014/sieds.v80i2.563</w:t>
      </w:r>
    </w:p>
    <w:p>
      <w:pPr>
        <w:pStyle w:val="SourceNote"/>
      </w:pPr>
      <w:r>
        <w:rPr>
          <w:b/>
        </w:rPr>
        <w:t>Review status:</w:t>
      </w:r>
      <w:r>
        <w:t xml:space="preserve"> unchecked — possible relationship only</w:t>
      </w:r>
    </w:p>
    <w:p>
      <w:pPr>
        <w:pStyle w:val="Heading2"/>
      </w:pPr>
      <w:r>
        <w:t>269.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270.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271.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272. Claim + two later sources: Five transition pathways to renewable energy futures—scenarios from a Delphi study on key drivers and policy options</w:t>
      </w:r>
    </w:p>
    <w:p>
      <w:pPr>
        <w:pStyle w:val="SourceNote"/>
      </w:pPr>
      <w:r>
        <w:rPr>
          <w:b/>
        </w:rPr>
        <w:t>Group ID:</w:t>
      </w:r>
      <w:r>
        <w:t xml:space="preserve"> group-25f98c219b79659dbcc2</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Framing the Climate Crisis in European Media: A Comparative Study of Five Major News Outlets — https://doi.org/10.5281/zenodo.22795894</w:t>
      </w:r>
    </w:p>
    <w:p>
      <w:pPr/>
      <w:r>
        <w:rPr>
          <w:b/>
        </w:rPr>
        <w:t>Later source:</w:t>
      </w:r>
      <w:r>
        <w:t xml:space="preserve"> A computational analysis of the media coverage of the European Parliament's ‘green' Designation on sustainable energy and climate change — https://doi.org/10.1016/j.enpol.2025.114592</w:t>
      </w:r>
    </w:p>
    <w:p>
      <w:pPr>
        <w:pStyle w:val="SourceNote"/>
      </w:pPr>
      <w:r>
        <w:rPr>
          <w:b/>
        </w:rPr>
        <w:t>Review status:</w:t>
      </w:r>
      <w:r>
        <w:t xml:space="preserve"> unchecked — possible relationship only</w:t>
      </w:r>
    </w:p>
    <w:p>
      <w:pPr>
        <w:pStyle w:val="Heading2"/>
      </w:pPr>
      <w:r>
        <w:t>273. Claim + two later sources: European Union, transnational terrorism and the strategic choice of counterterrorism policies in democratic countries</w:t>
      </w:r>
    </w:p>
    <w:p>
      <w:pPr>
        <w:pStyle w:val="SourceNote"/>
      </w:pPr>
      <w:r>
        <w:rPr>
          <w:b/>
        </w:rPr>
        <w:t>Group ID:</w:t>
      </w:r>
      <w:r>
        <w:t xml:space="preserve"> group-d4de4893c500d527a2cf</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Resilience in Post-Truth and Post-Digital European Union: Youth-Led Civil Society Organisations in the 2024 European Elections — https://doi.org/10.1285/i20356609v19i1p94</w:t>
      </w:r>
    </w:p>
    <w:p>
      <w:pPr/>
      <w:r>
        <w:rPr>
          <w:b/>
        </w:rPr>
        <w:t>Later source:</w:t>
      </w:r>
      <w:r>
        <w:t xml:space="preserve"> The Role of the European Union and the Council of Europe in Promoting Democracy: The Case of the South Caucasus States — https://doi.org/10.54503/2579-2903-2026.1-183</w:t>
      </w:r>
    </w:p>
    <w:p>
      <w:pPr>
        <w:pStyle w:val="SourceNote"/>
      </w:pPr>
      <w:r>
        <w:rPr>
          <w:b/>
        </w:rPr>
        <w:t>Review status:</w:t>
      </w:r>
      <w:r>
        <w:t xml:space="preserve"> unchecked — possible relationship only</w:t>
      </w:r>
    </w:p>
    <w:p>
      <w:pPr>
        <w:pStyle w:val="Heading2"/>
      </w:pPr>
      <w:r>
        <w:t>274. Claim + two later sources: Biotechnology versus agroecology: Entrenchments and surprise at a 2030 forecast scenario workshop</w:t>
      </w:r>
    </w:p>
    <w:p>
      <w:pPr>
        <w:pStyle w:val="SourceNote"/>
      </w:pPr>
      <w:r>
        <w:rPr>
          <w:b/>
        </w:rPr>
        <w:t>Group ID:</w:t>
      </w:r>
      <w:r>
        <w:t xml:space="preserve"> group-d2b3466245cf95b2f024</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Experience on Training among the Participants of Teaching Methodology and Assessment — https://doi.org/10.3329/cmoshmcj.v23i1.78514</w:t>
      </w:r>
    </w:p>
    <w:p>
      <w:pPr>
        <w:pStyle w:val="SourceNote"/>
      </w:pPr>
      <w:r>
        <w:rPr>
          <w:b/>
        </w:rPr>
        <w:t>Review status:</w:t>
      </w:r>
      <w:r>
        <w:t xml:space="preserve"> unchecked — possible relationship only</w:t>
      </w:r>
    </w:p>
    <w:p>
      <w:pPr>
        <w:pStyle w:val="Heading2"/>
      </w:pPr>
      <w:r>
        <w:t>275. Claim + two later sources: Occupational Structure in European Countries: What do Forecasts Predict?</w:t>
      </w:r>
    </w:p>
    <w:p>
      <w:pPr>
        <w:pStyle w:val="SourceNote"/>
      </w:pPr>
      <w:r>
        <w:rPr>
          <w:b/>
        </w:rPr>
        <w:t>Group ID:</w:t>
      </w:r>
      <w:r>
        <w:t xml:space="preserve"> group-35d8d812fbe3c670ad8a</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A survey on occupational medicine residency programs across european countries — https://doi.org/10.1186/s12909-026-09587-9</w:t>
      </w:r>
    </w:p>
    <w:p>
      <w:pPr>
        <w:pStyle w:val="SourceNote"/>
      </w:pPr>
      <w:r>
        <w:rPr>
          <w:b/>
        </w:rPr>
        <w:t>Review status:</w:t>
      </w:r>
      <w:r>
        <w:t xml:space="preserve"> unchecked — possible relationship only</w:t>
      </w:r>
    </w:p>
    <w:p>
      <w:pPr>
        <w:pStyle w:val="Heading2"/>
      </w:pPr>
      <w:r>
        <w:t>276.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277. Claim + two later sources: About global forecast of European Parliament TO 2035</w:t>
      </w:r>
    </w:p>
    <w:p>
      <w:pPr>
        <w:pStyle w:val="SourceNote"/>
      </w:pPr>
      <w:r>
        <w:rPr>
          <w:b/>
        </w:rPr>
        <w:t>Group ID:</w:t>
      </w:r>
      <w:r>
        <w:t xml:space="preserve"> group-47bc9abc9c43fab419a1</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STUDYING THE APPROACHES OF EUROPEAN COUNTRIES IN FORESIGHT STUDIES OF THE DEVELOPMENT OF SCIENCE AND GREEN TECHNOLOGIES FOR ADOPTING THEIR EXPERIENCE IN THE CONTEXT OF KAZAKHSTAN — https://doi.org/10.52676/1729-7885-2024-1-4-12</w:t>
      </w:r>
    </w:p>
    <w:p>
      <w:pPr/>
      <w:r>
        <w:rPr>
          <w:b/>
        </w:rPr>
        <w:t>Later source:</w:t>
      </w:r>
      <w:r>
        <w:t xml:space="preserve"> Parabolic Modeling Forecasts of Space and Time European Hydropower Production — https://doi.org/10.3390/pr12061098</w:t>
      </w:r>
    </w:p>
    <w:p>
      <w:pPr>
        <w:pStyle w:val="SourceNote"/>
      </w:pPr>
      <w:r>
        <w:rPr>
          <w:b/>
        </w:rPr>
        <w:t>Review status:</w:t>
      </w:r>
      <w:r>
        <w:t xml:space="preserve"> unchecked — possible relationship only</w:t>
      </w:r>
    </w:p>
    <w:p>
      <w:pPr>
        <w:pStyle w:val="Heading2"/>
      </w:pPr>
      <w:r>
        <w:t>278. Claim + two later sources: Above the Fog and the Fury: EU Strategic Policy Planning and the EU’s Future in Times of Global Uncertainty</w:t>
      </w:r>
    </w:p>
    <w:p>
      <w:pPr>
        <w:pStyle w:val="SourceNote"/>
      </w:pPr>
      <w:r>
        <w:rPr>
          <w:b/>
        </w:rPr>
        <w:t>Group ID:</w:t>
      </w:r>
      <w:r>
        <w:t xml:space="preserve"> group-6e7848818facffd98641</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New Anticipatory Governance Culture for Innovation: Regulatory Foresight, Regulatory Experimentation and Regulatory Learning — https://doi.org/10.48550/arxiv.2501.05921</w:t>
      </w:r>
    </w:p>
    <w:p>
      <w:pPr>
        <w:pStyle w:val="SourceNote"/>
      </w:pPr>
      <w:r>
        <w:rPr>
          <w:b/>
        </w:rPr>
        <w:t>Review status:</w:t>
      </w:r>
      <w:r>
        <w:t xml:space="preserve"> unchecked — possible relationship only</w:t>
      </w:r>
    </w:p>
    <w:p>
      <w:pPr>
        <w:pStyle w:val="Heading2"/>
      </w:pPr>
      <w:r>
        <w:t>279. Claim + two later sources: Assessing the impacts of technology improvements on the deployment of marine energy in Europe with an energy system perspective</w:t>
      </w:r>
    </w:p>
    <w:p>
      <w:pPr>
        <w:pStyle w:val="SourceNote"/>
      </w:pPr>
      <w:r>
        <w:rPr>
          <w:b/>
        </w:rPr>
        <w:t>Group ID:</w:t>
      </w:r>
      <w:r>
        <w:t xml:space="preserve"> group-f6828d20071be7553f4d</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Understanding the role of biodiversity in the climate, food, water, energy, transport and health nexus in Europe — https://doi.org/10.1016/j.scitotenv.2024.171692</w:t>
      </w:r>
    </w:p>
    <w:p>
      <w:pPr/>
      <w:r>
        <w:rPr>
          <w:b/>
        </w:rPr>
        <w:t>Later source:</w:t>
      </w:r>
      <w:r>
        <w:t xml:space="preserve"> Long‐term changes in taxonomic and functional composition of European marine fish communities — https://doi.org/10.1111/ecog.07234</w:t>
      </w:r>
    </w:p>
    <w:p>
      <w:pPr>
        <w:pStyle w:val="SourceNote"/>
      </w:pPr>
      <w:r>
        <w:rPr>
          <w:b/>
        </w:rPr>
        <w:t>Review status:</w:t>
      </w:r>
      <w:r>
        <w:t xml:space="preserve"> unchecked — possible relationship only</w:t>
      </w:r>
    </w:p>
    <w:p>
      <w:pPr>
        <w:pStyle w:val="Heading2"/>
      </w:pPr>
      <w:r>
        <w:t>280.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281. Claim + two later sources: Dynamics of the land use, land use change, and forestry sink in the European Union: the impacts of energy and climate targets for 2030</w:t>
      </w:r>
    </w:p>
    <w:p>
      <w:pPr>
        <w:pStyle w:val="SourceNote"/>
      </w:pPr>
      <w:r>
        <w:rPr>
          <w:b/>
        </w:rPr>
        <w:t>Group ID:</w:t>
      </w:r>
      <w:r>
        <w:t xml:space="preserve"> group-12263a9c8fdb221a6594</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Decarbonizing European refineries: GHG accounting framework and potential assessment for co-processed biofuels — https://doi.org/10.1016/j.enconman.2026.122090</w:t>
      </w:r>
    </w:p>
    <w:p>
      <w:pPr>
        <w:pStyle w:val="SourceNote"/>
      </w:pPr>
      <w:r>
        <w:rPr>
          <w:b/>
        </w:rPr>
        <w:t>Review status:</w:t>
      </w:r>
      <w:r>
        <w:t xml:space="preserve"> unchecked — possible relationship only</w:t>
      </w:r>
    </w:p>
    <w:p>
      <w:pPr>
        <w:pStyle w:val="Heading2"/>
      </w:pPr>
      <w:r>
        <w:t>282.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283.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284. Claim + two later sources: Future Precipitation Scenarios over Italy</w:t>
      </w:r>
    </w:p>
    <w:p>
      <w:pPr>
        <w:pStyle w:val="SourceNote"/>
      </w:pPr>
      <w:r>
        <w:rPr>
          <w:b/>
        </w:rPr>
        <w:t>Group ID:</w:t>
      </w:r>
      <w:r>
        <w:t xml:space="preserve"> group-cdeabc6efecb91799b1c</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High-resolution modelling of organic aerosol over Europe: exploring spatial and temporal variability and drivers — https://doi.org/10.1016/j.envint.2026.110143</w:t>
      </w:r>
    </w:p>
    <w:p>
      <w:pPr/>
      <w:r>
        <w:rPr>
          <w:b/>
        </w:rPr>
        <w:t>Later source:</w:t>
      </w:r>
      <w:r>
        <w:t xml:space="preserve"> Early establishment acts as a selective filter shaping climate-associated genomic variation in European beech — https://doi.org/10.64898/2026.09.02.748467</w:t>
      </w:r>
    </w:p>
    <w:p>
      <w:pPr>
        <w:pStyle w:val="SourceNote"/>
      </w:pPr>
      <w:r>
        <w:rPr>
          <w:b/>
        </w:rPr>
        <w:t>Review status:</w:t>
      </w:r>
      <w:r>
        <w:t xml:space="preserve"> unchecked — possible relationship only</w:t>
      </w:r>
    </w:p>
    <w:p>
      <w:pPr>
        <w:pStyle w:val="Heading2"/>
      </w:pPr>
      <w:r>
        <w:t>285.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286. Claim + two later sources: Backcasting scenarios for Finland 2050 of low emissions</w:t>
      </w:r>
    </w:p>
    <w:p>
      <w:pPr>
        <w:pStyle w:val="SourceNote"/>
      </w:pPr>
      <w:r>
        <w:rPr>
          <w:b/>
        </w:rPr>
        <w:t>Group ID:</w:t>
      </w:r>
      <w:r>
        <w:t xml:space="preserve"> group-6bf7580dd849c69efef5</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Regulatory scoping exercise for the future adoption of autonomous inland ships in Europe — https://doi.org/10.1186/s41072-023-00160-x</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287.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288. Claim + two later sources: Towards net zero CO2 in 2050: An emission reduction pathway for organic soils in Germany</w:t>
      </w:r>
    </w:p>
    <w:p>
      <w:pPr>
        <w:pStyle w:val="SourceNote"/>
      </w:pPr>
      <w:r>
        <w:rPr>
          <w:b/>
        </w:rPr>
        <w:t>Group ID:</w:t>
      </w:r>
      <w:r>
        <w:t xml:space="preserve"> group-0d06f0c8fe9c7c70615a</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BUILDING A COMPULSORY MEDIATION PATHWAY: BULGARIA AS A LIVE EXPERIMENT IN DISPUTE SYSTEM DESIGN ? — https://doi.org/10.33327/ajee-18-9.2-a000194</w:t>
      </w:r>
    </w:p>
    <w:p>
      <w:pPr/>
      <w:r>
        <w:rPr>
          <w:b/>
        </w:rPr>
        <w:t>Later source:</w:t>
      </w:r>
      <w:r>
        <w:t xml:space="preserve"> Energy pathway variety and the progress of the energy transition in European countries — https://doi.org/10.48550/arxiv.2609.09607</w:t>
      </w:r>
    </w:p>
    <w:p>
      <w:pPr>
        <w:pStyle w:val="SourceNote"/>
      </w:pPr>
      <w:r>
        <w:rPr>
          <w:b/>
        </w:rPr>
        <w:t>Review status:</w:t>
      </w:r>
      <w:r>
        <w:t xml:space="preserve"> unchecked — possible relationship only</w:t>
      </w:r>
    </w:p>
    <w:p>
      <w:pPr>
        <w:pStyle w:val="Heading2"/>
      </w:pPr>
      <w:r>
        <w:t>289. Claim + two later sources: Conservation biology research priorities for 2050: A Central-Eastern European perspective</w:t>
      </w:r>
    </w:p>
    <w:p>
      <w:pPr>
        <w:pStyle w:val="SourceNote"/>
      </w:pPr>
      <w:r>
        <w:rPr>
          <w:b/>
        </w:rPr>
        <w:t>Group ID:</w:t>
      </w:r>
      <w:r>
        <w:t xml:space="preserve"> group-ef117100028fa2943c65</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290. Claim + two later sources: Financing Innovations for the Renewable Energy Transition in Europe</w:t>
      </w:r>
    </w:p>
    <w:p>
      <w:pPr>
        <w:pStyle w:val="SourceNote"/>
      </w:pPr>
      <w:r>
        <w:rPr>
          <w:b/>
        </w:rPr>
        <w:t>Group ID:</w:t>
      </w:r>
      <w:r>
        <w:t xml:space="preserve"> group-1d3ac342fd1ae41a02a7</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The Budgetary and Economic Impact of Taxation in the Member States of the European Union — https://openalex.org/W7169690466</w:t>
      </w:r>
    </w:p>
    <w:p>
      <w:pPr/>
      <w:r>
        <w:rPr>
          <w:b/>
        </w:rPr>
        <w:t>Later source:</w:t>
      </w:r>
      <w:r>
        <w:t xml:space="preserve"> Maritime Passenger Mobility in the European Union: Trends, Recovery and a Typology of Member States — https://doi.org/10.35808/ersj/4439</w:t>
      </w:r>
    </w:p>
    <w:p>
      <w:pPr>
        <w:pStyle w:val="SourceNote"/>
      </w:pPr>
      <w:r>
        <w:rPr>
          <w:b/>
        </w:rPr>
        <w:t>Review status:</w:t>
      </w:r>
      <w:r>
        <w:t xml:space="preserve"> unchecked — possible relationship only</w:t>
      </w:r>
    </w:p>
    <w:p>
      <w:pPr>
        <w:pStyle w:val="Heading2"/>
      </w:pPr>
      <w:r>
        <w:t>291. Claim + two later sources: The Selection of Intermodal Transport System Scenarios in the Function of Southeastern Europe Regional Development</w:t>
      </w:r>
    </w:p>
    <w:p>
      <w:pPr>
        <w:pStyle w:val="SourceNote"/>
      </w:pPr>
      <w:r>
        <w:rPr>
          <w:b/>
        </w:rPr>
        <w:t>Group ID:</w:t>
      </w:r>
      <w:r>
        <w:t xml:space="preserve"> group-8e8831112d89c0baf201</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Assessing the effects of restoration and conservation on gaseous carbon fluxes and climate mitigation potential across six European coastal wetlands — https://doi.org/10.1016/j.ecoleng.2026.108080</w:t>
      </w:r>
    </w:p>
    <w:p>
      <w:pPr>
        <w:pStyle w:val="SourceNote"/>
      </w:pPr>
      <w:r>
        <w:rPr>
          <w:b/>
        </w:rPr>
        <w:t>Review status:</w:t>
      </w:r>
      <w:r>
        <w:t xml:space="preserve"> unchecked — possible relationship only</w:t>
      </w:r>
    </w:p>
    <w:p>
      <w:pPr>
        <w:pStyle w:val="Heading2"/>
      </w:pPr>
      <w:r>
        <w:t>292. Claim + two later sources: Medium-term forecast of European economic sustainable growth using Markov chains</w:t>
      </w:r>
    </w:p>
    <w:p>
      <w:pPr>
        <w:pStyle w:val="SourceNote"/>
      </w:pPr>
      <w:r>
        <w:rPr>
          <w:b/>
        </w:rPr>
        <w:t>Group ID:</w:t>
      </w:r>
      <w:r>
        <w:t xml:space="preserve"> group-15654d9b495445cd97c2</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POLAND AS A FULL MEMBER IN THE ECONOMIC SYSTEM OF THE EUROPEAN UNION — https://doi.org/10.32782/2413-9971/2025-57-17</w:t>
      </w:r>
    </w:p>
    <w:p>
      <w:pPr/>
      <w:r>
        <w:rPr>
          <w:b/>
        </w:rPr>
        <w:t>Later source:</w:t>
      </w:r>
      <w:r>
        <w:t xml:space="preserve"> The relationship between digital development and economic growth in the European Union — https://doi.org/10.1556/1848.2024.00797</w:t>
      </w:r>
    </w:p>
    <w:p>
      <w:pPr>
        <w:pStyle w:val="SourceNote"/>
      </w:pPr>
      <w:r>
        <w:rPr>
          <w:b/>
        </w:rPr>
        <w:t>Review status:</w:t>
      </w:r>
      <w:r>
        <w:t xml:space="preserve"> unchecked — possible relationship only</w:t>
      </w:r>
    </w:p>
    <w:p>
      <w:pPr>
        <w:pStyle w:val="Heading2"/>
      </w:pPr>
      <w:r>
        <w:t>293. Claim + two later sources: What We Hope, What We Fear, What We Expect: Possible Scenarios for the Future of the Eurozone</w:t>
      </w:r>
    </w:p>
    <w:p>
      <w:pPr>
        <w:pStyle w:val="SourceNote"/>
      </w:pPr>
      <w:r>
        <w:rPr>
          <w:b/>
        </w:rPr>
        <w:t>Group ID:</w:t>
      </w:r>
      <w:r>
        <w:t xml:space="preserve"> group-5bfe953d29b97db1ae61</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The reform of the European Stability Mechanism — https://doi.org/10.1093/cmlj/kmaa001</w:t>
      </w:r>
    </w:p>
    <w:p>
      <w:pPr/>
      <w:r>
        <w:rPr>
          <w:b/>
        </w:rPr>
        <w:t>Later source:</w:t>
      </w:r>
      <w:r>
        <w:t xml:space="preserve"> European Reform Movements and the Making of the International Congress, 1840–1860 — https://doi.org/10.1080/07075332.2020.1808506</w:t>
      </w:r>
    </w:p>
    <w:p>
      <w:pPr>
        <w:pStyle w:val="SourceNote"/>
      </w:pPr>
      <w:r>
        <w:rPr>
          <w:b/>
        </w:rPr>
        <w:t>Review status:</w:t>
      </w:r>
      <w:r>
        <w:t xml:space="preserve"> unchecked — possible relationship only</w:t>
      </w:r>
    </w:p>
    <w:p>
      <w:pPr>
        <w:pStyle w:val="Heading2"/>
      </w:pPr>
      <w:r>
        <w:t>294.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295. Claim + two later sources: Transport demand evolution in Europe – factors of change, scenarios and challenges</w:t>
      </w:r>
    </w:p>
    <w:p>
      <w:pPr>
        <w:pStyle w:val="SourceNote"/>
      </w:pPr>
      <w:r>
        <w:rPr>
          <w:b/>
        </w:rPr>
        <w:t>Group ID:</w:t>
      </w:r>
      <w:r>
        <w:t xml:space="preserve"> group-4e30184c594219f4f38e</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Evaluating the European transportation sector via energy and climate change mitigation perspectives — https://doi.org/10.1016/j.sftr.2025.100652</w:t>
      </w:r>
    </w:p>
    <w:p>
      <w:pPr>
        <w:pStyle w:val="SourceNote"/>
      </w:pPr>
      <w:r>
        <w:rPr>
          <w:b/>
        </w:rPr>
        <w:t>Review status:</w:t>
      </w:r>
      <w:r>
        <w:t xml:space="preserve"> unchecked — possible relationship only</w:t>
      </w:r>
    </w:p>
    <w:p>
      <w:pPr>
        <w:pStyle w:val="Heading2"/>
      </w:pPr>
      <w:r>
        <w:t>296. Claim + two later sources: Integrated scenarios of sustainable food production and consumption in Germany</w:t>
      </w:r>
    </w:p>
    <w:p>
      <w:pPr>
        <w:pStyle w:val="SourceNote"/>
      </w:pPr>
      <w:r>
        <w:rPr>
          <w:b/>
        </w:rPr>
        <w:t>Group ID:</w:t>
      </w:r>
      <w:r>
        <w:t xml:space="preserve"> group-2c275425a6c347fe4cb7</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Changing the Context of Business Management Theory. The So and So Management between Eclecticism and Wishful Thinking — https://doi.org/10.30958/ajl.11-3-2</w:t>
      </w:r>
    </w:p>
    <w:p>
      <w:pPr>
        <w:pStyle w:val="SourceNote"/>
      </w:pPr>
      <w:r>
        <w:rPr>
          <w:b/>
        </w:rPr>
        <w:t>Review status:</w:t>
      </w:r>
      <w:r>
        <w:t xml:space="preserve"> unchecked — possible relationship only</w:t>
      </w:r>
    </w:p>
    <w:p>
      <w:pPr>
        <w:pStyle w:val="Heading2"/>
      </w:pPr>
      <w:r>
        <w:t>297.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298. Claim + two later sources: Exploring the Future of Universities Through Experimental Foresight</w:t>
      </w:r>
    </w:p>
    <w:p>
      <w:pPr>
        <w:pStyle w:val="SourceNote"/>
      </w:pPr>
      <w:r>
        <w:rPr>
          <w:b/>
        </w:rPr>
        <w:t>Group ID:</w:t>
      </w:r>
      <w:r>
        <w:t xml:space="preserve"> group-9b3e4aaeb2e60f02551e</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DEVELOPMENT SCENARIOS OF COLLABORATION IN THE FIELD OF INCLUSIVE HIGHER EDUCATION BETWEEN RUSSIA AND CIS COUNTRIES: PROJECT-FORESIGHT — https://doi.org/10.36315/2026v2end012</w:t>
      </w:r>
    </w:p>
    <w:p>
      <w:pPr>
        <w:pStyle w:val="SourceNote"/>
      </w:pPr>
      <w:r>
        <w:rPr>
          <w:b/>
        </w:rPr>
        <w:t>Review status:</w:t>
      </w:r>
      <w:r>
        <w:t xml:space="preserve"> unchecked — possible relationship only</w:t>
      </w:r>
    </w:p>
    <w:p>
      <w:pPr>
        <w:pStyle w:val="Heading2"/>
      </w:pPr>
      <w:r>
        <w:t>299. Claim + two later sources: Modelling the European Union Sustainability Transition: A Soft-Linking Approach</w:t>
      </w:r>
    </w:p>
    <w:p>
      <w:pPr>
        <w:pStyle w:val="SourceNote"/>
      </w:pPr>
      <w:r>
        <w:rPr>
          <w:b/>
        </w:rPr>
        <w:t>Group ID:</w:t>
      </w:r>
      <w:r>
        <w:t xml:space="preserve"> group-46265428f5a2f2897f4e</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IMPLEMENTASI EUROPEAN GREEN DEAL (EGD) TERKAIT KEBIJAKAN GREEN ECONOMY DI UNI EROPA TAHUN 2020-2024 — https://openalex.org/W7153397118</w:t>
      </w:r>
    </w:p>
    <w:p>
      <w:pPr/>
      <w:r>
        <w:rPr>
          <w:b/>
        </w:rPr>
        <w:t>Later source:</w:t>
      </w:r>
      <w:r>
        <w:t xml:space="preserve"> The European Green Deal (EGD) in the public opinion – assessment of awareness of environmental pollution and threats to health and life — https://doi.org/10.34659/eis.2026.97.2.1157</w:t>
      </w:r>
    </w:p>
    <w:p>
      <w:pPr>
        <w:pStyle w:val="SourceNote"/>
      </w:pPr>
      <w:r>
        <w:rPr>
          <w:b/>
        </w:rPr>
        <w:t>Review status:</w:t>
      </w:r>
      <w:r>
        <w:t xml:space="preserve"> unchecked — possible relationship only</w:t>
      </w:r>
    </w:p>
    <w:p>
      <w:pPr>
        <w:pStyle w:val="Heading2"/>
      </w:pPr>
      <w:r>
        <w:t>300. Claim + two later sources: Time banks, co-production and foresight: intertwined towards an alternative future</w:t>
      </w:r>
    </w:p>
    <w:p>
      <w:pPr>
        <w:pStyle w:val="SourceNote"/>
      </w:pPr>
      <w:r>
        <w:rPr>
          <w:b/>
        </w:rPr>
        <w:t>Group ID:</w:t>
      </w:r>
      <w:r>
        <w:t xml:space="preserve"> group-5fd5c51c66ede13d5a05</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Implementation and Impacts of Taiwan’s Time Bank Multi-Empowerment Program Across Six Townships — https://doi.org/10.33790/jswwp1100180</w:t>
      </w:r>
    </w:p>
    <w:p>
      <w:pPr/>
      <w:r>
        <w:rPr>
          <w:b/>
        </w:rPr>
        <w:t>Later source:</w:t>
      </w:r>
      <w:r>
        <w:t xml:space="preserve"> Reaction of European bank and non-bank financial equities to physical climate risk: Evidence from quantile dependence and time-varying predictability — https://doi.org/10.55214/2576-8484.v10i2.12260</w:t>
      </w:r>
    </w:p>
    <w:p>
      <w:pPr>
        <w:pStyle w:val="SourceNote"/>
      </w:pPr>
      <w:r>
        <w:rPr>
          <w:b/>
        </w:rPr>
        <w:t>Review status:</w:t>
      </w:r>
      <w:r>
        <w:t xml:space="preserve"> unchecked — possible relationship only</w:t>
      </w:r>
    </w:p>
    <w:p>
      <w:pPr>
        <w:pStyle w:val="Heading2"/>
      </w:pPr>
      <w:r>
        <w:t>301. Claim + two later sources: Decarbonizing the EU energy system by 2050: an important role for BECCS</w:t>
      </w:r>
    </w:p>
    <w:p>
      <w:pPr>
        <w:pStyle w:val="SourceNote"/>
      </w:pPr>
      <w:r>
        <w:rPr>
          <w:b/>
        </w:rPr>
        <w:t>Group ID:</w:t>
      </w:r>
      <w:r>
        <w:t xml:space="preserve"> group-13ba9623bcaa9c526b18</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Conclusions on Land Policies in Europe — https://doi.org/10.1007/978-3-031-83725-8_17</w:t>
      </w:r>
    </w:p>
    <w:p>
      <w:pPr/>
      <w:r>
        <w:rPr>
          <w:b/>
        </w:rPr>
        <w:t>Later source:</w:t>
      </w:r>
      <w:r>
        <w:t xml:space="preserve"> Cancer burden in Europe: a systematic analysis of the GLOBOCAN database (2022) — https://doi.org/10.1186/s12885-025-13862-1</w:t>
      </w:r>
    </w:p>
    <w:p>
      <w:pPr>
        <w:pStyle w:val="SourceNote"/>
      </w:pPr>
      <w:r>
        <w:rPr>
          <w:b/>
        </w:rPr>
        <w:t>Review status:</w:t>
      </w:r>
      <w:r>
        <w:t xml:space="preserve"> unchecked — possible relationship only</w:t>
      </w:r>
    </w:p>
    <w:p>
      <w:pPr>
        <w:pStyle w:val="Heading2"/>
      </w:pPr>
      <w:r>
        <w:t>302. Claim + two later sources: Charging the future: Roadmaps and value tensions for mainstreaming prosumerism to 2030 and 2050</w:t>
      </w:r>
    </w:p>
    <w:p>
      <w:pPr>
        <w:pStyle w:val="SourceNote"/>
      </w:pPr>
      <w:r>
        <w:rPr>
          <w:b/>
        </w:rPr>
        <w:t>Group ID:</w:t>
      </w:r>
      <w:r>
        <w:t xml:space="preserve"> group-2eb426f009a3f296b719</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Shared experiences of three professionals navigating careers in the Third Space — https://doi.org/10.1080/13603108.2026.2631071</w:t>
      </w:r>
    </w:p>
    <w:p>
      <w:pPr/>
      <w:r>
        <w:rPr>
          <w:b/>
        </w:rPr>
        <w:t>Later source:</w:t>
      </w:r>
      <w:r>
        <w:t xml:space="preserve"> Tensions and transformation : investigating the dynamic value of digital platforms — https://doi.org/10.82444/warw.33911656</w:t>
      </w:r>
    </w:p>
    <w:p>
      <w:pPr>
        <w:pStyle w:val="SourceNote"/>
      </w:pPr>
      <w:r>
        <w:rPr>
          <w:b/>
        </w:rPr>
        <w:t>Review status:</w:t>
      </w:r>
      <w:r>
        <w:t xml:space="preserve"> unchecked — possible relationship only</w:t>
      </w:r>
    </w:p>
    <w:p>
      <w:pPr>
        <w:pStyle w:val="Heading2"/>
      </w:pPr>
      <w:r>
        <w:t>303. Claim + two later sources: Organic farming in the European Union – perspectives for 2030</w:t>
      </w:r>
    </w:p>
    <w:p>
      <w:pPr>
        <w:pStyle w:val="SourceNote"/>
      </w:pPr>
      <w:r>
        <w:rPr>
          <w:b/>
        </w:rPr>
        <w:t>Group ID:</w:t>
      </w:r>
      <w:r>
        <w:t xml:space="preserve"> group-a848b75a76c7bcb5744d</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Strengthening European development policy: the case for Team Europe 2.0 — https://doi.org/10.23661/ipb11.2026</w:t>
      </w:r>
    </w:p>
    <w:p>
      <w:pPr/>
      <w:r>
        <w:rPr>
          <w:b/>
        </w:rPr>
        <w:t>Later source:</w:t>
      </w:r>
      <w:r>
        <w:t xml:space="preserve"> Experiences from national biodiversity data infrastructures in Europe: advancing data integration and community engagement — https://doi.org/10.1093/biosci/biag032</w:t>
      </w:r>
    </w:p>
    <w:p>
      <w:pPr>
        <w:pStyle w:val="SourceNote"/>
      </w:pPr>
      <w:r>
        <w:rPr>
          <w:b/>
        </w:rPr>
        <w:t>Review status:</w:t>
      </w:r>
      <w:r>
        <w:t xml:space="preserve"> unchecked — possible relationship only</w:t>
      </w:r>
    </w:p>
    <w:p>
      <w:pPr>
        <w:pStyle w:val="Heading2"/>
      </w:pPr>
      <w:r>
        <w:t>304.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group-b7dcd3692c27c86ebaf5</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Unraveling European electricity price volatility: The impact of renewables — https://doi.org/10.1016/j.esr.2026.102144</w:t>
      </w:r>
    </w:p>
    <w:p>
      <w:pPr>
        <w:pStyle w:val="SourceNote"/>
      </w:pPr>
      <w:r>
        <w:rPr>
          <w:b/>
        </w:rPr>
        <w:t>Review status:</w:t>
      </w:r>
      <w:r>
        <w:t xml:space="preserve"> unchecked — possible relationship only</w:t>
      </w:r>
    </w:p>
    <w:p>
      <w:pPr>
        <w:pStyle w:val="Heading2"/>
      </w:pPr>
      <w:r>
        <w:t>305. Claim + two later sources: Estimation and Forecasts for the Share of Renewable Energy Consumption in Final Energy Consumption by 2020 in the European Union</w:t>
      </w:r>
    </w:p>
    <w:p>
      <w:pPr>
        <w:pStyle w:val="SourceNote"/>
      </w:pPr>
      <w:r>
        <w:rPr>
          <w:b/>
        </w:rPr>
        <w:t>Group ID:</w:t>
      </w:r>
      <w:r>
        <w:t xml:space="preserve"> group-ef1cf18face1a66294f7</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Multi-Day Forecasting of Day-Ahead Electricity Prices under Input Forecast Uncertainty — https://doi.org/10.1109/eem68581.2026.11589786</w:t>
      </w:r>
    </w:p>
    <w:p>
      <w:pPr>
        <w:pStyle w:val="SourceNote"/>
      </w:pPr>
      <w:r>
        <w:rPr>
          <w:b/>
        </w:rPr>
        <w:t>Review status:</w:t>
      </w:r>
      <w:r>
        <w:t xml:space="preserve"> unchecked — possible relationship only</w:t>
      </w:r>
    </w:p>
    <w:p>
      <w:pPr>
        <w:pStyle w:val="Heading2"/>
      </w:pPr>
      <w:r>
        <w:t>306.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307. Claim + two later sources: EUROPEAN UNION STRATEGIC AUTONOMY IN THE CONTEXT OF THE CONFERENCE ON THE FUTURE OF EUROPE</w:t>
      </w:r>
    </w:p>
    <w:p>
      <w:pPr>
        <w:pStyle w:val="SourceNote"/>
      </w:pPr>
      <w:r>
        <w:rPr>
          <w:b/>
        </w:rPr>
        <w:t>Group ID:</w:t>
      </w:r>
      <w:r>
        <w:t xml:space="preserve"> group-fa3d46ad56ab2e882950</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Customs strategy of Ukraine as a tool for achieving sustainable development goals — https://doi.org/10.26565/2786-4995-2026-1-15</w:t>
      </w:r>
    </w:p>
    <w:p>
      <w:pPr/>
      <w:r>
        <w:rPr>
          <w:b/>
        </w:rPr>
        <w:t>Later source:</w:t>
      </w:r>
      <w:r>
        <w:t xml:space="preserve"> The European Commission’s Commitment to Increasing the Social Legitimacy of the European Green Deal Strategy — https://doi.org/10.33067/se.1.2026.17</w:t>
      </w:r>
    </w:p>
    <w:p>
      <w:pPr>
        <w:pStyle w:val="SourceNote"/>
      </w:pPr>
      <w:r>
        <w:rPr>
          <w:b/>
        </w:rPr>
        <w:t>Review status:</w:t>
      </w:r>
      <w:r>
        <w:t xml:space="preserve"> unchecked — possible relationship only</w:t>
      </w:r>
    </w:p>
    <w:p>
      <w:pPr>
        <w:pStyle w:val="Heading2"/>
      </w:pPr>
      <w:r>
        <w:t>308. Claim + two later sources: Assessing Energy Descent Scenarios for the Ecological Transition in Spain 2020–2030</w:t>
      </w:r>
    </w:p>
    <w:p>
      <w:pPr>
        <w:pStyle w:val="SourceNote"/>
      </w:pPr>
      <w:r>
        <w:rPr>
          <w:b/>
        </w:rPr>
        <w:t>Group ID:</w:t>
      </w:r>
      <w:r>
        <w:t xml:space="preserve"> group-586f5567139dc999bc87</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European Center-Left Parties and Immigration Issues (Examples of Britain, Germany and Spain — https://doi.org/10.20542/0131-2227-2026-70-9-57-65</w:t>
      </w:r>
    </w:p>
    <w:p>
      <w:pPr>
        <w:pStyle w:val="SourceNote"/>
      </w:pPr>
      <w:r>
        <w:rPr>
          <w:b/>
        </w:rPr>
        <w:t>Review status:</w:t>
      </w:r>
      <w:r>
        <w:t xml:space="preserve"> unchecked — possible relationship only</w:t>
      </w:r>
    </w:p>
    <w:p>
      <w:pPr>
        <w:pStyle w:val="Heading2"/>
      </w:pPr>
      <w:r>
        <w:t>309. Claim + two later sources: Future prospects for personal security in travel by public transport</w:t>
      </w:r>
    </w:p>
    <w:p>
      <w:pPr>
        <w:pStyle w:val="SourceNote"/>
      </w:pPr>
      <w:r>
        <w:rPr>
          <w:b/>
        </w:rPr>
        <w:t>Group ID:</w:t>
      </w:r>
      <w:r>
        <w:t xml:space="preserve"> group-62c5f6b7b43277958536</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PRACTICAL APPROACHES TO DEVELOPING CREATIVE THINKING IN PRESCHOOL CHILDREN: A NARRATIVE REVIEW — https://doi.org/10.5281/zenodo.23090972</w:t>
      </w:r>
    </w:p>
    <w:p>
      <w:pPr>
        <w:pStyle w:val="SourceNote"/>
      </w:pPr>
      <w:r>
        <w:rPr>
          <w:b/>
        </w:rPr>
        <w:t>Review status:</w:t>
      </w:r>
      <w:r>
        <w:t xml:space="preserve"> unchecked — possible relationship only</w:t>
      </w:r>
    </w:p>
    <w:p>
      <w:pPr>
        <w:pStyle w:val="Heading2"/>
      </w:pPr>
      <w:r>
        <w:t>310. Claim + two later sources: A Mismatch in Future Narratives? A Comparative Analysis Between Energy Futures in Policy and of Citizens</w:t>
      </w:r>
    </w:p>
    <w:p>
      <w:pPr>
        <w:pStyle w:val="SourceNote"/>
      </w:pPr>
      <w:r>
        <w:rPr>
          <w:b/>
        </w:rPr>
        <w:t>Group ID:</w:t>
      </w:r>
      <w:r>
        <w:t xml:space="preserve"> group-a54cfa506dd5deaddad2</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Bridging Stakeholder Narratives for Sustainable Peatland Conservation — https://doi.org/10.1007/s41748-026-01141-3</w:t>
      </w:r>
    </w:p>
    <w:p>
      <w:pPr/>
      <w:r>
        <w:rPr>
          <w:b/>
        </w:rPr>
        <w:t>Later source:</w:t>
      </w:r>
      <w:r>
        <w:t xml:space="preserve"> The use of research by societal stakeholders in a formal policy-making process: governing gambling in Norway — https://doi.org/10.1093/scipol/scag034</w:t>
      </w:r>
    </w:p>
    <w:p>
      <w:pPr>
        <w:pStyle w:val="SourceNote"/>
      </w:pPr>
      <w:r>
        <w:rPr>
          <w:b/>
        </w:rPr>
        <w:t>Review status:</w:t>
      </w:r>
      <w:r>
        <w:t xml:space="preserve"> unchecked — possible relationship only</w:t>
      </w:r>
    </w:p>
    <w:p>
      <w:pPr>
        <w:pStyle w:val="Heading2"/>
      </w:pPr>
      <w:r>
        <w:t>311. Claim + two later sources: Past and Future Trends in Refugee Migration on the Regional Level in Germany – An Analysis and Projection of Labor Market Effects</w:t>
      </w:r>
    </w:p>
    <w:p>
      <w:pPr>
        <w:pStyle w:val="SourceNote"/>
      </w:pPr>
      <w:r>
        <w:rPr>
          <w:b/>
        </w:rPr>
        <w:t>Group ID:</w:t>
      </w:r>
      <w:r>
        <w:t xml:space="preserve"> group-49092ef91bc5beb467a3</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Regional economic impact of the Next Generation European Union recovery plan — https://doi.org/10.1016/j.pirs.2025.100105</w:t>
      </w:r>
    </w:p>
    <w:p>
      <w:pPr/>
      <w:r>
        <w:rPr>
          <w:b/>
        </w:rPr>
        <w:t>Later source:</w:t>
      </w:r>
      <w:r>
        <w:t xml:space="preserve"> Dissecting the Decline in Average Hours Worked in Europe — https://doi.org/10.5089/9798400261183.001</w:t>
      </w:r>
    </w:p>
    <w:p>
      <w:pPr>
        <w:pStyle w:val="SourceNote"/>
      </w:pPr>
      <w:r>
        <w:rPr>
          <w:b/>
        </w:rPr>
        <w:t>Review status:</w:t>
      </w:r>
      <w:r>
        <w:t xml:space="preserve"> unchecked — possible relationship only</w:t>
      </w:r>
    </w:p>
    <w:p>
      <w:pPr>
        <w:pStyle w:val="Heading2"/>
      </w:pPr>
      <w:r>
        <w:t>312. Claim + two later sources: The EU Decarbonisation Roadmap 2050—What way to walk?</w:t>
      </w:r>
    </w:p>
    <w:p>
      <w:pPr>
        <w:pStyle w:val="SourceNote"/>
      </w:pPr>
      <w:r>
        <w:rPr>
          <w:b/>
        </w:rPr>
        <w:t>Group ID:</w:t>
      </w:r>
      <w:r>
        <w:t xml:space="preserve"> group-7ea42673a512f4a5776e</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Measuring policy coherence on global access to clean energy between European countries — https://doi.org/10.1007/s11027-023-10058-5</w:t>
      </w:r>
    </w:p>
    <w:p>
      <w:pPr/>
      <w:r>
        <w:rPr>
          <w:b/>
        </w:rPr>
        <w:t>Later source:</w:t>
      </w:r>
      <w:r>
        <w:t xml:space="preserve"> 4.N. Round table: Policy options for fixing the global and European health and care workforce-crisis — https://doi.org/10.1093/eurpub/ckad160.260</w:t>
      </w:r>
    </w:p>
    <w:p>
      <w:pPr>
        <w:pStyle w:val="SourceNote"/>
      </w:pPr>
      <w:r>
        <w:rPr>
          <w:b/>
        </w:rPr>
        <w:t>Review status:</w:t>
      </w:r>
      <w:r>
        <w:t xml:space="preserve"> unchecked — possible relationship only</w:t>
      </w:r>
    </w:p>
    <w:p>
      <w:pPr>
        <w:pStyle w:val="Heading2"/>
      </w:pPr>
      <w:r>
        <w:t>313. Claim + two later sources: Food futures: system transitions towards UK food security</w:t>
      </w:r>
    </w:p>
    <w:p>
      <w:pPr>
        <w:pStyle w:val="SourceNote"/>
      </w:pPr>
      <w:r>
        <w:rPr>
          <w:b/>
        </w:rPr>
        <w:t>Group ID:</w:t>
      </w:r>
      <w:r>
        <w:t xml:space="preserve"> group-659b6e0e2ea90e8d9160</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Clause Encounters of the Third Kind — https://doi.org/10.1093/9780198945215.003.0252</w:t>
      </w:r>
    </w:p>
    <w:p>
      <w:pPr/>
      <w:r>
        <w:rPr>
          <w:b/>
        </w:rPr>
        <w:t>Later source:</w:t>
      </w:r>
      <w:r>
        <w:t xml:space="preserve"> Carbon capture and utilization under EU law: impermanent storage of CO2 in products and pre-combustion carbon capture — https://doi.org/10.1093/jwelb/jwae009</w:t>
      </w:r>
    </w:p>
    <w:p>
      <w:pPr>
        <w:pStyle w:val="SourceNote"/>
      </w:pPr>
      <w:r>
        <w:rPr>
          <w:b/>
        </w:rPr>
        <w:t>Review status:</w:t>
      </w:r>
      <w:r>
        <w:t xml:space="preserve"> unchecked — possible relationship only</w:t>
      </w:r>
    </w:p>
    <w:p>
      <w:pPr>
        <w:pStyle w:val="Heading2"/>
      </w:pPr>
      <w:r>
        <w:t>314. Claim + two later sources: Scenario forecasting of consumption of main organic livestock products in Ukraine</w:t>
      </w:r>
    </w:p>
    <w:p>
      <w:pPr>
        <w:pStyle w:val="SourceNote"/>
      </w:pPr>
      <w:r>
        <w:rPr>
          <w:b/>
        </w:rPr>
        <w:t>Group ID:</w:t>
      </w:r>
      <w:r>
        <w:t xml:space="preserve"> group-1a89872cd6fe5d5fb8eb</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Forecasting the dynamics of food security indicators in Ukraine during the wartime period of 2025-2026 — https://doi.org/10.32317/ekon.apk/1.2026.20</w:t>
      </w:r>
    </w:p>
    <w:p>
      <w:pPr/>
      <w:r>
        <w:rPr>
          <w:b/>
        </w:rPr>
        <w:t>Later source:</w:t>
      </w:r>
      <w:r>
        <w:t xml:space="preserve"> MODELS AND METHODS FOR HEALTHCARE RESOURCE FORECASTING IN URBAN AGGLOMERATIONS: A LITERARY REVIEW — https://doi.org/10.64854/2790-1289-2026-52-2-09</w:t>
      </w:r>
    </w:p>
    <w:p>
      <w:pPr>
        <w:pStyle w:val="SourceNote"/>
      </w:pPr>
      <w:r>
        <w:rPr>
          <w:b/>
        </w:rPr>
        <w:t>Review status:</w:t>
      </w:r>
      <w:r>
        <w:t xml:space="preserve"> unchecked — possible relationship only</w:t>
      </w:r>
    </w:p>
    <w:p>
      <w:pPr>
        <w:pStyle w:val="Heading2"/>
      </w:pPr>
      <w:r>
        <w:t>315.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316.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317. Claim + two later sources: Central-East European employees on the labour market of London</w:t>
      </w:r>
    </w:p>
    <w:p>
      <w:pPr>
        <w:pStyle w:val="SourceNote"/>
      </w:pPr>
      <w:r>
        <w:rPr>
          <w:b/>
        </w:rPr>
        <w:t>Group ID:</w:t>
      </w:r>
      <w:r>
        <w:t xml:space="preserve"> group-29d8b95838baa6a0c93d</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 HUMAN RIGHTS CRISIS IN AI DEVELOPMENT AND USE: DOES THE EUROPEAN FRAMEWORK PROVIDE AN ADEQUATE PROTECTION? — https://doi.org/10.70382/caijlphr.v9i6.038</w:t>
      </w:r>
    </w:p>
    <w:p>
      <w:pPr/>
      <w:r>
        <w:rPr>
          <w:b/>
        </w:rPr>
        <w:t>Later source:</w:t>
      </w:r>
      <w:r>
        <w:t xml:space="preserve"> Bridging cultures in Europe: exploring language and shared values in interactions — https://doi.org/10.31893/multiscience.2024ss0705</w:t>
      </w:r>
    </w:p>
    <w:p>
      <w:pPr>
        <w:pStyle w:val="SourceNote"/>
      </w:pPr>
      <w:r>
        <w:rPr>
          <w:b/>
        </w:rPr>
        <w:t>Review status:</w:t>
      </w:r>
      <w:r>
        <w:t xml:space="preserve"> unchecked — possible relationship only</w:t>
      </w:r>
    </w:p>
    <w:p>
      <w:pPr>
        <w:pStyle w:val="Heading2"/>
      </w:pPr>
      <w:r>
        <w:t>318. Claim + two later sources: Scenarios of Automated Mobility in Austria: Implications for Future Transport Policy</w:t>
      </w:r>
    </w:p>
    <w:p>
      <w:pPr>
        <w:pStyle w:val="SourceNote"/>
      </w:pPr>
      <w:r>
        <w:rPr>
          <w:b/>
        </w:rPr>
        <w:t>Group ID:</w:t>
      </w:r>
      <w:r>
        <w:t xml:space="preserve"> group-24b0aa5eec65cc3c6b0d</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Future Changes of European Windstorm Losses in EURO-CORDEX Simulations — https://doi.org/10.16993/tellusa.4094</w:t>
      </w:r>
    </w:p>
    <w:p>
      <w:pPr/>
      <w:r>
        <w:rPr>
          <w:b/>
        </w:rPr>
        <w:t>Later source:</w:t>
      </w:r>
      <w:r>
        <w:t xml:space="preserve"> Assessing innovative transport technologies and policies — https://doi.org/10.5463/thesis.1257</w:t>
      </w:r>
    </w:p>
    <w:p>
      <w:pPr>
        <w:pStyle w:val="SourceNote"/>
      </w:pPr>
      <w:r>
        <w:rPr>
          <w:b/>
        </w:rPr>
        <w:t>Review status:</w:t>
      </w:r>
      <w:r>
        <w:t xml:space="preserve"> unchecked — possible relationship only</w:t>
      </w:r>
    </w:p>
    <w:p>
      <w:pPr>
        <w:pStyle w:val="Heading2"/>
      </w:pPr>
      <w:r>
        <w:t>319.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320. Claim + two later sources: Renewables in the European power system and the impact on system rotational inertia</w:t>
      </w:r>
    </w:p>
    <w:p>
      <w:pPr>
        <w:pStyle w:val="SourceNote"/>
      </w:pPr>
      <w:r>
        <w:rPr>
          <w:b/>
        </w:rPr>
        <w:t>Group ID:</w:t>
      </w:r>
      <w:r>
        <w:t xml:space="preserve"> group-f7ea02c6ec7fac0bf46c</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How can trade unions act strategically in response to decarbonisation? Union strategic capacity and automotive transition policies in Germany, Spain and the UK — https://doi.org/10.1177/10242589261444001</w:t>
      </w:r>
    </w:p>
    <w:p>
      <w:pPr>
        <w:pStyle w:val="SourceNote"/>
      </w:pPr>
      <w:r>
        <w:rPr>
          <w:b/>
        </w:rPr>
        <w:t>Review status:</w:t>
      </w:r>
      <w:r>
        <w:t xml:space="preserve"> unchecked — possible relationship only</w:t>
      </w:r>
    </w:p>
    <w:p>
      <w:pPr>
        <w:pStyle w:val="Heading2"/>
      </w:pPr>
      <w:r>
        <w:t>321.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322.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323. Claim + two later sources: Scenario planning as communicative action: Lessons from participatory exercises conducted for the Scottish livestock industry</w:t>
      </w:r>
    </w:p>
    <w:p>
      <w:pPr>
        <w:pStyle w:val="SourceNote"/>
      </w:pPr>
      <w:r>
        <w:rPr>
          <w:b/>
        </w:rPr>
        <w:t>Group ID:</w:t>
      </w:r>
      <w:r>
        <w:t xml:space="preserve"> group-ed7e8d4a2c878bf64246</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Modelling the frequency and extent of waterlogging: a case study — https://doi.org/10.36334/modsim2025.j10.beverly</w:t>
      </w:r>
    </w:p>
    <w:p>
      <w:pPr/>
      <w:r>
        <w:rPr>
          <w:b/>
        </w:rPr>
        <w:t>Later source:</w:t>
      </w:r>
      <w:r>
        <w:t xml:space="preserve"> Extent of Underemployment among Government Service Employees in Kerala — https://openalex.org/W7218043265</w:t>
      </w:r>
    </w:p>
    <w:p>
      <w:pPr>
        <w:pStyle w:val="SourceNote"/>
      </w:pPr>
      <w:r>
        <w:rPr>
          <w:b/>
        </w:rPr>
        <w:t>Review status:</w:t>
      </w:r>
      <w:r>
        <w:t xml:space="preserve"> unchecked — possible relationship only</w:t>
      </w:r>
    </w:p>
    <w:p>
      <w:pPr>
        <w:pStyle w:val="Heading2"/>
      </w:pPr>
      <w:r>
        <w:t>324. Claim + two later sources: Toward Identification of the Priority Lines of Research in Nanotechnology on the Basis of the Technology Foresight NT for Podlaskie 2020</w:t>
      </w:r>
    </w:p>
    <w:p>
      <w:pPr>
        <w:pStyle w:val="SourceNote"/>
      </w:pPr>
      <w:r>
        <w:rPr>
          <w:b/>
        </w:rPr>
        <w:t>Group ID:</w:t>
      </w:r>
      <w:r>
        <w:t xml:space="preserve"> group-8bd9b8c534a0fbc0e251</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Embedding the Future in the European Union: Advancing Towards Strategic Foresight — https://doi.org/10.33067/se.1.2025.10</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325. Claim + two later sources: Foresight technologies of economic systems: evidence from the tourism sector of Ukraine</w:t>
      </w:r>
    </w:p>
    <w:p>
      <w:pPr>
        <w:pStyle w:val="SourceNote"/>
      </w:pPr>
      <w:r>
        <w:rPr>
          <w:b/>
        </w:rPr>
        <w:t>Group ID:</w:t>
      </w:r>
      <w:r>
        <w:t xml:space="preserve"> group-45377179f953c2f55a62</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From suitability to vulnerability: A GIS-based framework for assessing environmental sensitivity of mountain tourism landscapes in the Ukrainian Carpathians — https://doi.org/10.3897/jbgs.e177296</w:t>
      </w:r>
    </w:p>
    <w:p>
      <w:pPr/>
      <w:r>
        <w:rPr>
          <w:b/>
        </w:rPr>
        <w:t>Later source:</w:t>
      </w:r>
      <w:r>
        <w:t xml:space="preserve"> Criminal Liability Arising from the Use of Artificial Intelligence Applications — https://doi.org/10.5281/zenodo.19810638</w:t>
      </w:r>
    </w:p>
    <w:p>
      <w:pPr>
        <w:pStyle w:val="SourceNote"/>
      </w:pPr>
      <w:r>
        <w:rPr>
          <w:b/>
        </w:rPr>
        <w:t>Review status:</w:t>
      </w:r>
      <w:r>
        <w:t xml:space="preserve"> unchecked — possible relationship only</w:t>
      </w:r>
    </w:p>
    <w:p>
      <w:pPr>
        <w:pStyle w:val="Heading2"/>
      </w:pPr>
      <w:r>
        <w:t>326.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327. Claim + two later sources: The future of the Mediterranean agri-food systems: Trends and perspectives from a Delphi survey</w:t>
      </w:r>
    </w:p>
    <w:p>
      <w:pPr>
        <w:pStyle w:val="SourceNote"/>
      </w:pPr>
      <w:r>
        <w:rPr>
          <w:b/>
        </w:rPr>
        <w:t>Group ID:</w:t>
      </w:r>
      <w:r>
        <w:t xml:space="preserve"> group-31363d9e37f13bb9a3a4</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NENUPHAR D5.3. Lessons learnt and recommendations to the main regional clusters (first version) — https://doi.org/10.5281/zenodo.19000171</w:t>
      </w:r>
    </w:p>
    <w:p>
      <w:pPr>
        <w:pStyle w:val="SourceNote"/>
      </w:pPr>
      <w:r>
        <w:rPr>
          <w:b/>
        </w:rPr>
        <w:t>Review status:</w:t>
      </w:r>
      <w:r>
        <w:t xml:space="preserve"> unchecked — possible relationship only</w:t>
      </w:r>
    </w:p>
    <w:p>
      <w:pPr>
        <w:pStyle w:val="Heading2"/>
      </w:pPr>
      <w:r>
        <w:t>328. Claim + two later sources: Implementing Dynamics of Immigration Integration in Labor Force Participation Projection in EU28</w:t>
      </w:r>
    </w:p>
    <w:p>
      <w:pPr>
        <w:pStyle w:val="SourceNote"/>
      </w:pPr>
      <w:r>
        <w:rPr>
          <w:b/>
        </w:rPr>
        <w:t>Group ID:</w:t>
      </w:r>
      <w:r>
        <w:t xml:space="preserve"> group-7601745ba45202c7cb2b</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A Microsimulation Model for Sustainability and Detailed Adequacy Analysis of the Retirement Pension System — https://doi.org/10.3390/math13030443</w:t>
      </w:r>
    </w:p>
    <w:p>
      <w:pPr/>
      <w:r>
        <w:rPr>
          <w:b/>
        </w:rPr>
        <w:t>Later source:</w:t>
      </w:r>
      <w:r>
        <w:t xml:space="preserve"> The burden of informal family caregiving in Europe, 2000–2050: a microsimulation modelling study — https://doi.org/10.1016/j.lanepe.2025.101295</w:t>
      </w:r>
    </w:p>
    <w:p>
      <w:pPr>
        <w:pStyle w:val="SourceNote"/>
      </w:pPr>
      <w:r>
        <w:rPr>
          <w:b/>
        </w:rPr>
        <w:t>Review status:</w:t>
      </w:r>
      <w:r>
        <w:t xml:space="preserve"> unchecked — possible relationship only</w:t>
      </w:r>
    </w:p>
    <w:p>
      <w:pPr>
        <w:pStyle w:val="Heading2"/>
      </w:pPr>
      <w:r>
        <w:t>329. Claim + two later sources: Towards the European Union's Foreign Policy 2025 – Taking Stock of the Dahrendorf Foresight Project</w:t>
      </w:r>
    </w:p>
    <w:p>
      <w:pPr>
        <w:pStyle w:val="SourceNote"/>
      </w:pPr>
      <w:r>
        <w:rPr>
          <w:b/>
        </w:rPr>
        <w:t>Group ID:</w:t>
      </w:r>
      <w:r>
        <w:t xml:space="preserve"> group-c6329de73ca28981ed13</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Analysis of the current state of sewage sludge treatment from the perspective of current European directives — https://doi.org/10.1186/s12302-025-01097-7</w:t>
      </w:r>
    </w:p>
    <w:p>
      <w:pPr>
        <w:pStyle w:val="SourceNote"/>
      </w:pPr>
      <w:r>
        <w:rPr>
          <w:b/>
        </w:rPr>
        <w:t>Review status:</w:t>
      </w:r>
      <w:r>
        <w:t xml:space="preserve"> unchecked — possible relationship only</w:t>
      </w:r>
    </w:p>
    <w:p>
      <w:pPr>
        <w:pStyle w:val="Heading2"/>
      </w:pPr>
      <w:r>
        <w:t>330. Claim + two later sources: Prospects of labour migration pressure in Algeria, Morocco, Tunisia and Turkey</w:t>
      </w:r>
    </w:p>
    <w:p>
      <w:pPr>
        <w:pStyle w:val="SourceNote"/>
      </w:pPr>
      <w:r>
        <w:rPr>
          <w:b/>
        </w:rPr>
        <w:t>Group ID:</w:t>
      </w:r>
      <w:r>
        <w:t xml:space="preserve"> group-cbd6428f001797624d32</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Quantifying future Arctic and Antarctic climate change from a storyline perspective using global variable-resolution models — https://doi.org/10.5194/egusphere-egu26-13000</w:t>
      </w:r>
    </w:p>
    <w:p>
      <w:pPr>
        <w:pStyle w:val="SourceNote"/>
      </w:pPr>
      <w:r>
        <w:rPr>
          <w:b/>
        </w:rPr>
        <w:t>Review status:</w:t>
      </w:r>
      <w:r>
        <w:t xml:space="preserve"> unchecked — possible relationship only</w:t>
      </w:r>
    </w:p>
    <w:p>
      <w:pPr>
        <w:pStyle w:val="Heading2"/>
      </w:pPr>
      <w:r>
        <w:t>331.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332.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333. Claim + two later sources: The Public Health Status and Foresight report 2014: Four normative perspectives on a healthier Netherlands in 2040</w:t>
      </w:r>
    </w:p>
    <w:p>
      <w:pPr>
        <w:pStyle w:val="SourceNote"/>
      </w:pPr>
      <w:r>
        <w:rPr>
          <w:b/>
        </w:rPr>
        <w:t>Group ID:</w:t>
      </w:r>
      <w:r>
        <w:t xml:space="preserve"> group-85aa8ea28a4725332155</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European Cancer Prevention Organization on cancer screening: an expert panel position paper — https://doi.org/10.1097/cej.0000000000001025</w:t>
      </w:r>
    </w:p>
    <w:p>
      <w:pPr/>
      <w:r>
        <w:rPr>
          <w:b/>
        </w:rPr>
        <w:t>Later source:</w:t>
      </w:r>
      <w:r>
        <w:t xml:space="preserve"> Polytraps in European rural mountainous regions: an expert view — https://doi.org/10.1080/09654313.2025.2473380</w:t>
      </w:r>
    </w:p>
    <w:p>
      <w:pPr>
        <w:pStyle w:val="SourceNote"/>
      </w:pPr>
      <w:r>
        <w:rPr>
          <w:b/>
        </w:rPr>
        <w:t>Review status:</w:t>
      </w:r>
      <w:r>
        <w:t xml:space="preserve"> unchecked — possible relationship only</w:t>
      </w:r>
    </w:p>
    <w:p>
      <w:pPr>
        <w:pStyle w:val="Heading2"/>
      </w:pPr>
      <w:r>
        <w:t>334. Claim + two later sources: Secular stagnation – are we stuck in Summers' long winter?</w:t>
      </w:r>
    </w:p>
    <w:p>
      <w:pPr>
        <w:pStyle w:val="SourceNote"/>
      </w:pPr>
      <w:r>
        <w:rPr>
          <w:b/>
        </w:rPr>
        <w:t>Group ID:</w:t>
      </w:r>
      <w:r>
        <w:t xml:space="preserve"> group-93513a50770631742327</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Impact of fiscal sustainability on economic growth in Kenya — https://doi.org/10.65748/fiqf-2026-0001</w:t>
      </w:r>
    </w:p>
    <w:p>
      <w:pPr>
        <w:pStyle w:val="SourceNote"/>
      </w:pPr>
      <w:r>
        <w:rPr>
          <w:b/>
        </w:rPr>
        <w:t>Review status:</w:t>
      </w:r>
      <w:r>
        <w:t xml:space="preserve"> unchecked — possible relationship only</w:t>
      </w:r>
    </w:p>
    <w:p>
      <w:pPr>
        <w:pStyle w:val="Heading2"/>
      </w:pPr>
      <w:r>
        <w:t>335.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group-0d56d7dfb9f5d482d756</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Guidance on negative emissions for cities - Summary for Decision Makers — https://doi.org/10.2760/4262978</w:t>
      </w:r>
    </w:p>
    <w:p>
      <w:pPr>
        <w:pStyle w:val="SourceNote"/>
      </w:pPr>
      <w:r>
        <w:rPr>
          <w:b/>
        </w:rPr>
        <w:t>Review status:</w:t>
      </w:r>
      <w:r>
        <w:t xml:space="preserve"> unchecked — possible relationship only</w:t>
      </w:r>
    </w:p>
    <w:p>
      <w:pPr>
        <w:pStyle w:val="Heading2"/>
      </w:pPr>
      <w:r>
        <w:t>336. Claim + two later sources: (Re)politicization of climate change mitigating projects: environmental forms and motives of the Seine Nord Europe canal</w:t>
      </w:r>
    </w:p>
    <w:p>
      <w:pPr>
        <w:pStyle w:val="SourceNote"/>
      </w:pPr>
      <w:r>
        <w:rPr>
          <w:b/>
        </w:rPr>
        <w:t>Group ID:</w:t>
      </w:r>
      <w:r>
        <w:t xml:space="preserve"> group-f331c836f6e4b7519981</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Environmental risks and ecological integrity: the new european rules on nature restoration — https://doi.org/10.5194/egusphere-egu26-17987</w:t>
      </w:r>
    </w:p>
    <w:p>
      <w:pPr/>
      <w:r>
        <w:rPr>
          <w:b/>
        </w:rPr>
        <w:t>Later source:</w:t>
      </w:r>
      <w:r>
        <w:t xml:space="preserve"> Place-based leadership and environmental conflicts in the European Union — https://doi.org/10.1080/00343404.2025.2486644</w:t>
      </w:r>
    </w:p>
    <w:p>
      <w:pPr>
        <w:pStyle w:val="SourceNote"/>
      </w:pPr>
      <w:r>
        <w:rPr>
          <w:b/>
        </w:rPr>
        <w:t>Review status:</w:t>
      </w:r>
      <w:r>
        <w:t xml:space="preserve"> unchecked — possible relationship only</w:t>
      </w:r>
    </w:p>
    <w:p>
      <w:pPr>
        <w:pStyle w:val="Heading2"/>
      </w:pPr>
      <w:r>
        <w:t>337.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338. Claim + two later sources: Future Low-Carbon Transport Scenarios: Practice Theory-Based Visioning for Backcasting Studies</w:t>
      </w:r>
    </w:p>
    <w:p>
      <w:pPr>
        <w:pStyle w:val="SourceNote"/>
      </w:pPr>
      <w:r>
        <w:rPr>
          <w:b/>
        </w:rPr>
        <w:t>Group ID:</w:t>
      </w:r>
      <w:r>
        <w:t xml:space="preserve"> group-468e4984cd3749643be7</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Imaginaries of European Technology Frontrunners : Towards the Silicon Valley Vision or the European Dream? — https://openalex.org/W7204372713</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339. Claim + two later sources: An assessment of the impact of climate adaptation measures to reduce flood risk on ecosystem services</w:t>
      </w:r>
    </w:p>
    <w:p>
      <w:pPr>
        <w:pStyle w:val="SourceNote"/>
      </w:pPr>
      <w:r>
        <w:rPr>
          <w:b/>
        </w:rPr>
        <w:t>Group ID:</w:t>
      </w:r>
      <w:r>
        <w:t xml:space="preserve"> group-f277b02b0df5f9502cca</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Aneuploidy Can Be an Evolutionary Diversion on the Path to Adaptation — https://doi.org/10.1093/molbev/msae052</w:t>
      </w:r>
    </w:p>
    <w:p>
      <w:pPr/>
      <w:r>
        <w:rPr>
          <w:b/>
        </w:rPr>
        <w:t>Later source:</w:t>
      </w:r>
      <w:r>
        <w:t xml:space="preserve"> Environmental effects on genetic variance are likely to constrain adaptation in novel environments — https://doi.org/10.1093/evlett/qrad065</w:t>
      </w:r>
    </w:p>
    <w:p>
      <w:pPr>
        <w:pStyle w:val="SourceNote"/>
      </w:pPr>
      <w:r>
        <w:rPr>
          <w:b/>
        </w:rPr>
        <w:t>Review status:</w:t>
      </w:r>
      <w:r>
        <w:t xml:space="preserve"> unchecked — possible relationship only</w:t>
      </w:r>
    </w:p>
    <w:p>
      <w:pPr>
        <w:pStyle w:val="Heading2"/>
      </w:pPr>
      <w:r>
        <w:t>340.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341. Claim + two later sources: Balancing GHG mitigation and land-use conflicts: Alternative Northern European energy system scenarios</w:t>
      </w:r>
    </w:p>
    <w:p>
      <w:pPr>
        <w:pStyle w:val="SourceNote"/>
      </w:pPr>
      <w:r>
        <w:rPr>
          <w:b/>
        </w:rPr>
        <w:t>Group ID:</w:t>
      </w:r>
      <w:r>
        <w:t xml:space="preserve"> group-aec6c29d993bfe5f72c4</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Assimilating ESA CCI land surface temperature into the ORCHIDEE land surface model: insights from a multi-site study across Europe — https://doi.org/10.5194/hess-29-261-2025</w:t>
      </w:r>
    </w:p>
    <w:p>
      <w:pPr/>
      <w:r>
        <w:rPr>
          <w:b/>
        </w:rPr>
        <w:t>Later source:</w:t>
      </w:r>
      <w:r>
        <w:t xml:space="preserve"> The Cost-Effectiveness of Renewable Energy Sources in the European Union’s Ecological Economic Framework — https://doi.org/10.3390/su17104715</w:t>
      </w:r>
    </w:p>
    <w:p>
      <w:pPr>
        <w:pStyle w:val="SourceNote"/>
      </w:pPr>
      <w:r>
        <w:rPr>
          <w:b/>
        </w:rPr>
        <w:t>Review status:</w:t>
      </w:r>
      <w:r>
        <w:t xml:space="preserve"> unchecked — possible relationship only</w:t>
      </w:r>
    </w:p>
    <w:p>
      <w:pPr>
        <w:pStyle w:val="Heading2"/>
      </w:pPr>
      <w:r>
        <w:t>342.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343. Claim + two later sources: Scenarios for population health inequalities in 2030 in Europe: the EURO-HEALTHY project experience</w:t>
      </w:r>
    </w:p>
    <w:p>
      <w:pPr>
        <w:pStyle w:val="SourceNote"/>
      </w:pPr>
      <w:r>
        <w:rPr>
          <w:b/>
        </w:rPr>
        <w:t>Group ID:</w:t>
      </w:r>
      <w:r>
        <w:t xml:space="preserve"> group-20cf2459f06b74bdbf64</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Landscape Report on Diamond OA Publishing: Europe — https://doi.org/10.5281/zenodo.19236088</w:t>
      </w:r>
    </w:p>
    <w:p>
      <w:pPr/>
      <w:r>
        <w:rPr>
          <w:b/>
        </w:rPr>
        <w:t>Later source:</w:t>
      </w:r>
      <w:r>
        <w:t xml:space="preserve"> A Europe-wide characterization of the external exposome: A spatio-temporal analysis — https://doi.org/10.1016/j.envint.2025.109542</w:t>
      </w:r>
    </w:p>
    <w:p>
      <w:pPr>
        <w:pStyle w:val="SourceNote"/>
      </w:pPr>
      <w:r>
        <w:rPr>
          <w:b/>
        </w:rPr>
        <w:t>Review status:</w:t>
      </w:r>
      <w:r>
        <w:t xml:space="preserve"> unchecked — possible relationship only</w:t>
      </w:r>
    </w:p>
    <w:p>
      <w:pPr>
        <w:pStyle w:val="Heading2"/>
      </w:pPr>
      <w:r>
        <w:t>344. Claim + two later sources: Long-term scenarios for reaching climate targets and energy security in UK</w:t>
      </w:r>
    </w:p>
    <w:p>
      <w:pPr>
        <w:pStyle w:val="SourceNote"/>
      </w:pPr>
      <w:r>
        <w:rPr>
          <w:b/>
        </w:rPr>
        <w:t>Group ID:</w:t>
      </w:r>
      <w:r>
        <w:t xml:space="preserve"> group-7c0c5a8302e92af13e5c</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 seasonal two-factor model for solar energy production: A climate extreme events analysis — https://doi.org/10.1016/j.eneco.2025.108611</w:t>
      </w:r>
    </w:p>
    <w:p>
      <w:pPr/>
      <w:r>
        <w:rPr>
          <w:b/>
        </w:rPr>
        <w:t>Later source:</w:t>
      </w:r>
      <w:r>
        <w:t xml:space="preserve"> Energy and Clean Air Policies Will Overcome the Adverse Effect of Climate Change and Reduce China's Ozone Pollution in the Future: The Insight From a New Two‐Stage Model — https://doi.org/10.1029/2024jd043182</w:t>
      </w:r>
    </w:p>
    <w:p>
      <w:pPr>
        <w:pStyle w:val="SourceNote"/>
      </w:pPr>
      <w:r>
        <w:rPr>
          <w:b/>
        </w:rPr>
        <w:t>Review status:</w:t>
      </w:r>
      <w:r>
        <w:t xml:space="preserve"> unchecked — possible relationship only</w:t>
      </w:r>
    </w:p>
    <w:p>
      <w:pPr>
        <w:pStyle w:val="Heading2"/>
      </w:pPr>
      <w:r>
        <w:t>345. Claim + two later sources: How far away is hydrogen? Its role in the medium and long-term decarbonisation of the European energy system</w:t>
      </w:r>
    </w:p>
    <w:p>
      <w:pPr>
        <w:pStyle w:val="SourceNote"/>
      </w:pPr>
      <w:r>
        <w:rPr>
          <w:b/>
        </w:rPr>
        <w:t>Group ID:</w:t>
      </w:r>
      <w:r>
        <w:t xml:space="preserve"> group-08061f5a9acd92c9f67c</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Determinants of Beef Trade Between the EU and South America and the Implications of the EU–Mercosur Agreement for the European Beef Sector — https://doi.org/10.3390/su18052172</w:t>
      </w:r>
    </w:p>
    <w:p>
      <w:pPr/>
      <w:r>
        <w:rPr>
          <w:b/>
        </w:rPr>
        <w:t>Later source:</w:t>
      </w:r>
      <w:r>
        <w:t xml:space="preserve"> Monitoring the impact of EU F-gas regulation on HFC-134a emissions through a comparison of top-down and bottom-up estimates — https://doi.org/10.1186/s12302-025-01081-1</w:t>
      </w:r>
    </w:p>
    <w:p>
      <w:pPr>
        <w:pStyle w:val="SourceNote"/>
      </w:pPr>
      <w:r>
        <w:rPr>
          <w:b/>
        </w:rPr>
        <w:t>Review status:</w:t>
      </w:r>
      <w:r>
        <w:t xml:space="preserve"> unchecked — possible relationship only</w:t>
      </w:r>
    </w:p>
    <w:p>
      <w:pPr>
        <w:pStyle w:val="Heading2"/>
      </w:pPr>
      <w:r>
        <w:t>346. Claim + two later sources: Renewable and Sustainable Energy Transitions for Countries with Different Climates and Renewable Energy Sources Potentials</w:t>
      </w:r>
    </w:p>
    <w:p>
      <w:pPr>
        <w:pStyle w:val="SourceNote"/>
      </w:pPr>
      <w:r>
        <w:rPr>
          <w:b/>
        </w:rPr>
        <w:t>Group ID:</w:t>
      </w:r>
      <w:r>
        <w:t xml:space="preserve"> group-c0054b46d2bb6f430710</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Heat Roadmap Europe: Spatial assessment of district heating potential for strategic planning in Europe — https://doi.org/10.54337/ijsepm.11215</w:t>
      </w:r>
    </w:p>
    <w:p>
      <w:pPr/>
      <w:r>
        <w:rPr>
          <w:b/>
        </w:rPr>
        <w:t>Later source:</w:t>
      </w:r>
      <w:r>
        <w:t xml:space="preserve"> Roadmap Towards A New European Culture Of Mobility — https://openalex.org/W4400666844</w:t>
      </w:r>
    </w:p>
    <w:p>
      <w:pPr>
        <w:pStyle w:val="SourceNote"/>
      </w:pPr>
      <w:r>
        <w:rPr>
          <w:b/>
        </w:rPr>
        <w:t>Review status:</w:t>
      </w:r>
      <w:r>
        <w:t xml:space="preserve"> unchecked — possible relationship only</w:t>
      </w:r>
    </w:p>
    <w:p>
      <w:pPr>
        <w:pStyle w:val="Heading2"/>
      </w:pPr>
      <w:r>
        <w:t>347. Claim + two later sources: Socio-technical transitions in UK electricity: part 1 – history, actors and pathways</w:t>
      </w:r>
    </w:p>
    <w:p>
      <w:pPr>
        <w:pStyle w:val="SourceNote"/>
      </w:pPr>
      <w:r>
        <w:rPr>
          <w:b/>
        </w:rPr>
        <w:t>Group ID:</w:t>
      </w:r>
      <w:r>
        <w:t xml:space="preserve"> group-e860be173664f9ad2f21</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Decarbonization Pathways for Offshore Oil Power Systems: The Case of Saudi Arabia — https://doi.org/10.30573/ks--2026-dp24</w:t>
      </w:r>
    </w:p>
    <w:p>
      <w:pPr>
        <w:pStyle w:val="SourceNote"/>
      </w:pPr>
      <w:r>
        <w:rPr>
          <w:b/>
        </w:rPr>
        <w:t>Review status:</w:t>
      </w:r>
      <w:r>
        <w:t xml:space="preserve"> unchecked — possible relationship only</w:t>
      </w:r>
    </w:p>
    <w:p>
      <w:pPr>
        <w:pStyle w:val="Heading2"/>
      </w:pPr>
      <w:r>
        <w:t>348. Claim + two later sources: THE EUROPEAN MIGRATION CRISIS – ECONOMIC AND POLITICAL FACTORS AND CHALLENGES FOR THE FUTURE</w:t>
      </w:r>
    </w:p>
    <w:p>
      <w:pPr>
        <w:pStyle w:val="SourceNote"/>
      </w:pPr>
      <w:r>
        <w:rPr>
          <w:b/>
        </w:rPr>
        <w:t>Group ID:</w:t>
      </w:r>
      <w:r>
        <w:t xml:space="preserve"> group-6240bb8bf2c651cf6438</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Between North and Europe : A case study of Nordic cooperation during the pandemic — https://openalex.org/W7154931280</w:t>
      </w:r>
    </w:p>
    <w:p>
      <w:pPr/>
      <w:r>
        <w:rPr>
          <w:b/>
        </w:rPr>
        <w:t>Later source:</w:t>
      </w:r>
      <w:r>
        <w:t xml:space="preserve"> Bibliographic Review on Transnational Cooperation in Environmental Issues in European Countries (2010–2025) — https://doi.org/10.3390/earth7010002</w:t>
      </w:r>
    </w:p>
    <w:p>
      <w:pPr>
        <w:pStyle w:val="SourceNote"/>
      </w:pPr>
      <w:r>
        <w:rPr>
          <w:b/>
        </w:rPr>
        <w:t>Review status:</w:t>
      </w:r>
      <w:r>
        <w:t xml:space="preserve"> unchecked — possible relationship only</w:t>
      </w:r>
    </w:p>
    <w:p>
      <w:pPr>
        <w:pStyle w:val="Heading2"/>
      </w:pPr>
      <w:r>
        <w:t>349.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350. Claim + two later sources: Are the European manufacturing and energy sectors on track for achieving net-zero emissions in 2050? An empirical analysis</w:t>
      </w:r>
    </w:p>
    <w:p>
      <w:pPr>
        <w:pStyle w:val="SourceNote"/>
      </w:pPr>
      <w:r>
        <w:rPr>
          <w:b/>
        </w:rPr>
        <w:t>Group ID:</w:t>
      </w:r>
      <w:r>
        <w:t xml:space="preserve"> group-a12cddb68a9f3cd8d4ae</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Achieving SDG 7 in the European Union: The Impact of Institutions and Macroeconomic Factors on Energy Conservation — https://doi.org/10.1002/sd.71042</w:t>
      </w:r>
    </w:p>
    <w:p>
      <w:pPr>
        <w:pStyle w:val="SourceNote"/>
      </w:pPr>
      <w:r>
        <w:rPr>
          <w:b/>
        </w:rPr>
        <w:t>Review status:</w:t>
      </w:r>
      <w:r>
        <w:t xml:space="preserve"> unchecked — possible relationship only</w:t>
      </w:r>
    </w:p>
    <w:p>
      <w:pPr>
        <w:pStyle w:val="Heading2"/>
      </w:pPr>
      <w:r>
        <w:t>351. Claim + two later sources: Scenarios for renewable energy deployment in North African countries and electricity exchange with Europe – A modelbased analysis for 2050</w:t>
      </w:r>
    </w:p>
    <w:p>
      <w:pPr>
        <w:pStyle w:val="SourceNote"/>
      </w:pPr>
      <w:r>
        <w:rPr>
          <w:b/>
        </w:rPr>
        <w:t>Group ID:</w:t>
      </w:r>
      <w:r>
        <w:t xml:space="preserve"> group-4b6c16193f313fe2ce16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The European Union’s energy security based on renewables — https://doi.org/10.18559/978-83-8211-309-9/13</w:t>
      </w:r>
    </w:p>
    <w:p>
      <w:pPr>
        <w:pStyle w:val="SourceNote"/>
      </w:pPr>
      <w:r>
        <w:rPr>
          <w:b/>
        </w:rPr>
        <w:t>Review status:</w:t>
      </w:r>
      <w:r>
        <w:t xml:space="preserve"> unchecked — possible relationship only</w:t>
      </w:r>
    </w:p>
    <w:p>
      <w:pPr>
        <w:pStyle w:val="Heading2"/>
      </w:pPr>
      <w:r>
        <w:t>352. Claim + two later sources: ClimateEU, scale-free climate normals, historical time series, and future projections for Europe</w:t>
      </w:r>
    </w:p>
    <w:p>
      <w:pPr>
        <w:pStyle w:val="SourceNote"/>
      </w:pPr>
      <w:r>
        <w:rPr>
          <w:b/>
        </w:rPr>
        <w:t>Group ID:</w:t>
      </w:r>
      <w:r>
        <w:t xml:space="preserve"> group-72b806d4aa9a589f4322</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Synthesised database of wild bee and hoverfly records in Europe — https://doi.org/10.1038/s41597-026-06644-2</w:t>
      </w:r>
    </w:p>
    <w:p>
      <w:pPr/>
      <w:r>
        <w:rPr>
          <w:b/>
        </w:rPr>
        <w:t>Later source:</w:t>
      </w:r>
      <w:r>
        <w:t xml:space="preserve"> EuPPollNet : A European Database of Plant‐Pollinator Networks — https://doi.org/10.1111/geb.70000</w:t>
      </w:r>
    </w:p>
    <w:p>
      <w:pPr>
        <w:pStyle w:val="SourceNote"/>
      </w:pPr>
      <w:r>
        <w:rPr>
          <w:b/>
        </w:rPr>
        <w:t>Review status:</w:t>
      </w:r>
      <w:r>
        <w:t xml:space="preserve"> unchecked — possible relationship only</w:t>
      </w:r>
    </w:p>
    <w:p>
      <w:pPr>
        <w:pStyle w:val="Heading2"/>
      </w:pPr>
      <w:r>
        <w:t>353. Claim + two later sources: Brexit and Its Impact on Poland’s Policy Towards Europe – An Attempt to Forecast</w:t>
      </w:r>
    </w:p>
    <w:p>
      <w:pPr>
        <w:pStyle w:val="SourceNote"/>
      </w:pPr>
      <w:r>
        <w:rPr>
          <w:b/>
        </w:rPr>
        <w:t>Group ID:</w:t>
      </w:r>
      <w:r>
        <w:t xml:space="preserve"> group-24e7020c525afed2250e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A feminist decolonial challenge to European Union’s gender governance: knowledge hierarchies and exclusion in the European Parliament — https://doi.org/10.1080/09589236.2026.2648725</w:t>
      </w:r>
    </w:p>
    <w:p>
      <w:pPr/>
      <w:r>
        <w:rPr>
          <w:b/>
        </w:rPr>
        <w:t>Later source:</w:t>
      </w:r>
      <w:r>
        <w:t xml:space="preserve"> The carbon footprint of the hard coal sector in Poland in the context of the evolution of the European Union’s climate neutrality policy — https://doi.org/10.46873/2300-3960.1506</w:t>
      </w:r>
    </w:p>
    <w:p>
      <w:pPr>
        <w:pStyle w:val="SourceNote"/>
      </w:pPr>
      <w:r>
        <w:rPr>
          <w:b/>
        </w:rPr>
        <w:t>Review status:</w:t>
      </w:r>
      <w:r>
        <w:t xml:space="preserve"> unchecked — possible relationship only</w:t>
      </w:r>
    </w:p>
    <w:p>
      <w:pPr>
        <w:pStyle w:val="Heading2"/>
      </w:pPr>
      <w:r>
        <w:t>354. Claim + two later sources: The use of probabilistic weather generator information for climate change adaptation in the UK water sector</w:t>
      </w:r>
    </w:p>
    <w:p>
      <w:pPr>
        <w:pStyle w:val="SourceNote"/>
      </w:pPr>
      <w:r>
        <w:rPr>
          <w:b/>
        </w:rPr>
        <w:t>Group ID:</w:t>
      </w:r>
      <w:r>
        <w:t xml:space="preserve"> group-3e43cb37609329f521a3</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Synthesizing activity locations in the context of integrated activity-based models — https://doi.org/10.5198/jtlu.2025.2291</w:t>
      </w:r>
    </w:p>
    <w:p>
      <w:pPr/>
      <w:r>
        <w:rPr>
          <w:b/>
        </w:rPr>
        <w:t>Later source:</w:t>
      </w:r>
      <w:r>
        <w:t xml:space="preserve"> Response to Comment on “Soluble Receptor for Advanced Glycation End Products and Incident Hypertension in REGARDS” — https://doi.org/10.1093/ajh/hpaf229</w:t>
      </w:r>
    </w:p>
    <w:p>
      <w:pPr>
        <w:pStyle w:val="SourceNote"/>
      </w:pPr>
      <w:r>
        <w:rPr>
          <w:b/>
        </w:rPr>
        <w:t>Review status:</w:t>
      </w:r>
      <w:r>
        <w:t xml:space="preserve"> unchecked — possible relationship only</w:t>
      </w:r>
    </w:p>
    <w:p>
      <w:pPr>
        <w:pStyle w:val="Heading2"/>
      </w:pPr>
      <w:r>
        <w:t>355. Claim + two later sources: Renewable jet fuel supply scenarios in the European Union in 2021–2030 in the context of proposed biofuel policy and competing biomass demand</w:t>
      </w:r>
    </w:p>
    <w:p>
      <w:pPr>
        <w:pStyle w:val="SourceNote"/>
      </w:pPr>
      <w:r>
        <w:rPr>
          <w:b/>
        </w:rPr>
        <w:t>Group ID:</w:t>
      </w:r>
      <w:r>
        <w:t xml:space="preserve"> group-ed4a8a20c239d2899c87</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Green Hydrogen in the European Union – A large-scale assessment of the supply potential and economic viability — https://doi.org/10.1016/j.apenergy.2025.126587</w:t>
      </w:r>
    </w:p>
    <w:p>
      <w:pPr/>
      <w:r>
        <w:rPr>
          <w:b/>
        </w:rPr>
        <w:t>Later source:</w:t>
      </w:r>
      <w:r>
        <w:t xml:space="preserve"> Bioenergy in Europe is unlikely to make a timely contribution to climate change targets — https://doi.org/10.1088/1748-9326/ad2d11</w:t>
      </w:r>
    </w:p>
    <w:p>
      <w:pPr>
        <w:pStyle w:val="SourceNote"/>
      </w:pPr>
      <w:r>
        <w:rPr>
          <w:b/>
        </w:rPr>
        <w:t>Review status:</w:t>
      </w:r>
      <w:r>
        <w:t xml:space="preserve"> unchecked — possible relationship only</w:t>
      </w:r>
    </w:p>
    <w:p>
      <w:pPr>
        <w:pStyle w:val="Heading2"/>
      </w:pPr>
      <w:r>
        <w:t>356.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357.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358. Claim + two later sources: Futurescapes: expectations in Europe for relative effectiveness evidence for drugs in 2020</w:t>
      </w:r>
    </w:p>
    <w:p>
      <w:pPr>
        <w:pStyle w:val="SourceNote"/>
      </w:pPr>
      <w:r>
        <w:rPr>
          <w:b/>
        </w:rPr>
        <w:t>Group ID:</w:t>
      </w:r>
      <w:r>
        <w:t xml:space="preserve"> group-22903131391448f34358</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Seasonal Climate Change in Europe Over the Last Thousand Years as a Social Challenge — https://doi.org/10.1093/acrefore/9780190228620.013.980</w:t>
      </w:r>
    </w:p>
    <w:p>
      <w:pPr/>
      <w:r>
        <w:rPr>
          <w:b/>
        </w:rPr>
        <w:t>Later source:</w:t>
      </w:r>
      <w:r>
        <w:t xml:space="preserve"> Ready for Change After the Omnibus Package? Early Compliance With the European Sustainability Reporting Standards and Its Key Determinants in the New Regulatory Era — https://doi.org/10.1002/bse.70054</w:t>
      </w:r>
    </w:p>
    <w:p>
      <w:pPr>
        <w:pStyle w:val="SourceNote"/>
      </w:pPr>
      <w:r>
        <w:rPr>
          <w:b/>
        </w:rPr>
        <w:t>Review status:</w:t>
      </w:r>
      <w:r>
        <w:t xml:space="preserve"> unchecked — possible relationship only</w:t>
      </w:r>
    </w:p>
    <w:p>
      <w:pPr>
        <w:pStyle w:val="Heading2"/>
      </w:pPr>
      <w:r>
        <w:t>359. Claim + two later sources: The impact of EU Climate/Energy policies on Belgium’s energy dependence up to 2050</w:t>
      </w:r>
    </w:p>
    <w:p>
      <w:pPr>
        <w:pStyle w:val="SourceNote"/>
      </w:pPr>
      <w:r>
        <w:rPr>
          <w:b/>
        </w:rPr>
        <w:t>Group ID:</w:t>
      </w:r>
      <w:r>
        <w:t xml:space="preserve"> group-024463b5e1242a2c8495</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Les « groupes Medvedkine » (1967-1974), transfert tardif de la culture d’agit-prop soviétique ? — https://openalex.org/W4364379400</w:t>
      </w:r>
    </w:p>
    <w:p>
      <w:pPr/>
      <w:r>
        <w:rPr>
          <w:b/>
        </w:rPr>
        <w:t>Later source:</w:t>
      </w:r>
      <w:r>
        <w:t xml:space="preserve"> Le rôle du commerce pour une adaptation résiliente au changement climatique dans l’agriculture africaine — https://doi.org/10.3917/edd.363.0041</w:t>
      </w:r>
    </w:p>
    <w:p>
      <w:pPr>
        <w:pStyle w:val="SourceNote"/>
      </w:pPr>
      <w:r>
        <w:rPr>
          <w:b/>
        </w:rPr>
        <w:t>Review status:</w:t>
      </w:r>
      <w:r>
        <w:t xml:space="preserve"> unchecked — possible relationship only</w:t>
      </w:r>
    </w:p>
    <w:p>
      <w:pPr>
        <w:pStyle w:val="Heading2"/>
      </w:pPr>
      <w:r>
        <w:t>360. Claim + two later sources: The Future of European Labour Law and the Right to Employability</w:t>
      </w:r>
    </w:p>
    <w:p>
      <w:pPr>
        <w:pStyle w:val="SourceNote"/>
      </w:pPr>
      <w:r>
        <w:rPr>
          <w:b/>
        </w:rPr>
        <w:t>Group ID:</w:t>
      </w:r>
      <w:r>
        <w:t xml:space="preserve"> group-b5fc5c9593269191ae9e</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PD39-09 THE TRANS-ATLANTIC RECOMMENDATIONS FOR PROSTATE GLAND EVALUATION WITH MRI AFTER FOCAL THERAPY (TARGET) INTERNATIONAL CONSENSUS RECOMMENDATIONS — https://doi.org/10.1097/01.ju.0001008924.16121.42.09</w:t>
      </w:r>
    </w:p>
    <w:p>
      <w:pPr>
        <w:pStyle w:val="SourceNote"/>
      </w:pPr>
      <w:r>
        <w:rPr>
          <w:b/>
        </w:rPr>
        <w:t>Review status:</w:t>
      </w:r>
      <w:r>
        <w:t xml:space="preserve"> unchecked — possible relationship only</w:t>
      </w:r>
    </w:p>
    <w:p>
      <w:pPr>
        <w:pStyle w:val="Heading2"/>
      </w:pPr>
      <w:r>
        <w:t>361. Claim + two later sources: UK-EU RELATIONSHIP AFTER BREXIT: AN EXERCISE IN SCENARIO-BUILDING</w:t>
      </w:r>
    </w:p>
    <w:p>
      <w:pPr>
        <w:pStyle w:val="SourceNote"/>
      </w:pPr>
      <w:r>
        <w:rPr>
          <w:b/>
        </w:rPr>
        <w:t>Group ID:</w:t>
      </w:r>
      <w:r>
        <w:t xml:space="preserve"> group-cce570a6759ce5f2ec6d</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Re-imagining a multicultural Europe: the experience of the R.E.D. (Reframing the European Dream) Carpet — https://doi.org/10.4337/9781035310036.00032</w:t>
      </w:r>
    </w:p>
    <w:p>
      <w:pPr/>
      <w:r>
        <w:rPr>
          <w:b/>
        </w:rPr>
        <w:t>Later source:</w:t>
      </w:r>
      <w:r>
        <w:t xml:space="preserve"> Unsettling mainstream academic debates on community-based energy governance: Exploring the Japanese experience — https://doi.org/10.1016/j.rser.2024.114994</w:t>
      </w:r>
    </w:p>
    <w:p>
      <w:pPr>
        <w:pStyle w:val="SourceNote"/>
      </w:pPr>
      <w:r>
        <w:rPr>
          <w:b/>
        </w:rPr>
        <w:t>Review status:</w:t>
      </w:r>
      <w:r>
        <w:t xml:space="preserve"> unchecked — possible relationship only</w:t>
      </w:r>
    </w:p>
    <w:p>
      <w:pPr>
        <w:pStyle w:val="Heading2"/>
      </w:pPr>
      <w:r>
        <w:t>362.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363. Claim + two later sources: Efficiency of the European Union farm types: Scenarios with and without the 2013 CAP measures</w:t>
      </w:r>
    </w:p>
    <w:p>
      <w:pPr>
        <w:pStyle w:val="SourceNote"/>
      </w:pPr>
      <w:r>
        <w:rPr>
          <w:b/>
        </w:rPr>
        <w:t>Group ID:</w:t>
      </w:r>
      <w:r>
        <w:t xml:space="preserve"> group-8672d0a44ec9106eee4c</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 analysis of the response behaviour of farms in the Farm Structure Survey — https://doi.org/10.71014/sieds.v80i2.507</w:t>
      </w:r>
    </w:p>
    <w:p>
      <w:pPr>
        <w:pStyle w:val="SourceNote"/>
      </w:pPr>
      <w:r>
        <w:rPr>
          <w:b/>
        </w:rPr>
        <w:t>Review status:</w:t>
      </w:r>
      <w:r>
        <w:t xml:space="preserve"> unchecked — possible relationship only</w:t>
      </w:r>
    </w:p>
    <w:p>
      <w:pPr>
        <w:pStyle w:val="Heading2"/>
      </w:pPr>
      <w:r>
        <w:t>364. Claim + two later sources: Towards a decarbonised building stock by 2050: The meaning and the role of zero emission buildings (ZEBs) in Europe</w:t>
      </w:r>
    </w:p>
    <w:p>
      <w:pPr>
        <w:pStyle w:val="SourceNote"/>
      </w:pPr>
      <w:r>
        <w:rPr>
          <w:b/>
        </w:rPr>
        <w:t>Group ID:</w:t>
      </w:r>
      <w:r>
        <w:t xml:space="preserve"> group-2da713d83f2607caeff2</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A BIM–LCA Framework for Whole-Life Carbon Assessment Under EPBD: Scope Alignment, Functional Unit Robustness, and Cross-Tool Validation — https://doi.org/10.3390/app16062637</w:t>
      </w:r>
    </w:p>
    <w:p>
      <w:pPr>
        <w:pStyle w:val="SourceNote"/>
      </w:pPr>
      <w:r>
        <w:rPr>
          <w:b/>
        </w:rPr>
        <w:t>Review status:</w:t>
      </w:r>
      <w:r>
        <w:t xml:space="preserve"> unchecked — possible relationship only</w:t>
      </w:r>
    </w:p>
    <w:p>
      <w:pPr>
        <w:pStyle w:val="Heading2"/>
      </w:pPr>
      <w:r>
        <w:t>365. Claim + two later sources: New European socio-economic scenarios for climate change research: operationalising concepts to extend the shared socio-economic pathways</w:t>
      </w:r>
    </w:p>
    <w:p>
      <w:pPr>
        <w:pStyle w:val="SourceNote"/>
      </w:pPr>
      <w:r>
        <w:rPr>
          <w:b/>
        </w:rPr>
        <w:t>Group ID:</w:t>
      </w:r>
      <w:r>
        <w:t xml:space="preserve"> group-26c08531f862661f651f</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Evolution of Energy Audits and Energy Management Systems: Legislation, Tools and Professionals at the Service of Energy Efficiency — https://doi.org/10.1051/e3sconf/202452304008</w:t>
      </w:r>
    </w:p>
    <w:p>
      <w:pPr>
        <w:pStyle w:val="SourceNote"/>
      </w:pPr>
      <w:r>
        <w:rPr>
          <w:b/>
        </w:rPr>
        <w:t>Review status:</w:t>
      </w:r>
      <w:r>
        <w:t xml:space="preserve"> unchecked — possible relationship only</w:t>
      </w:r>
    </w:p>
    <w:p>
      <w:pPr>
        <w:pStyle w:val="Heading2"/>
      </w:pPr>
      <w:r>
        <w:t>366. Claim + two later sources: On European metropolisation scenarios and the future course of metropolitan development in Poland</w:t>
      </w:r>
    </w:p>
    <w:p>
      <w:pPr>
        <w:pStyle w:val="SourceNote"/>
      </w:pPr>
      <w:r>
        <w:rPr>
          <w:b/>
        </w:rPr>
        <w:t>Group ID:</w:t>
      </w:r>
      <w:r>
        <w:t xml:space="preserve"> group-20f2343f59e97488d66b</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Regulatory barriers and incentives for alternative proteins in the European Union and Australia–New Zealand — https://doi.org/10.1108/bfj-06-2024-0650</w:t>
      </w:r>
    </w:p>
    <w:p>
      <w:pPr>
        <w:pStyle w:val="SourceNote"/>
      </w:pPr>
      <w:r>
        <w:rPr>
          <w:b/>
        </w:rPr>
        <w:t>Review status:</w:t>
      </w:r>
      <w:r>
        <w:t xml:space="preserve"> unchecked — possible relationship only</w:t>
      </w:r>
    </w:p>
    <w:p>
      <w:pPr>
        <w:pStyle w:val="Heading2"/>
      </w:pPr>
      <w:r>
        <w:t>367. Claim + two later sources: Convergence of Population Structures of the European Union Member States—The Past and the Future</w:t>
      </w:r>
    </w:p>
    <w:p>
      <w:pPr>
        <w:pStyle w:val="SourceNote"/>
      </w:pPr>
      <w:r>
        <w:rPr>
          <w:b/>
        </w:rPr>
        <w:t>Group ID:</w:t>
      </w:r>
      <w:r>
        <w:t xml:space="preserve"> group-90379218dc4e17329a23</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Different shades of demographic change : the uneven nature of population loss in Europe — https://openalex.org/W7134715160</w:t>
      </w:r>
    </w:p>
    <w:p>
      <w:pPr>
        <w:pStyle w:val="SourceNote"/>
      </w:pPr>
      <w:r>
        <w:rPr>
          <w:b/>
        </w:rPr>
        <w:t>Review status:</w:t>
      </w:r>
      <w:r>
        <w:t xml:space="preserve"> unchecked — possible relationship only</w:t>
      </w:r>
    </w:p>
    <w:p>
      <w:pPr>
        <w:pStyle w:val="Heading2"/>
      </w:pPr>
      <w:r>
        <w:t>368. Claim + two later sources: More green infrastructure is required to maintain ecosystem services under current trends in land-use change in Europe</w:t>
      </w:r>
    </w:p>
    <w:p>
      <w:pPr>
        <w:pStyle w:val="SourceNote"/>
      </w:pPr>
      <w:r>
        <w:rPr>
          <w:b/>
        </w:rPr>
        <w:t>Group ID:</w:t>
      </w:r>
      <w:r>
        <w:t xml:space="preserve"> group-d1e359d72ce0b675772d</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Citizens Panels: Assessing their Legitimacy and Meaning for the European Commission — https://openalex.org/W7222989255</w:t>
      </w:r>
    </w:p>
    <w:p>
      <w:pPr/>
      <w:r>
        <w:rPr>
          <w:b/>
        </w:rPr>
        <w:t>Later source:</w:t>
      </w:r>
      <w:r>
        <w:t xml:space="preserve"> Assessment of New Climate And Energy Targets for the Baltic States — https://doi.org/10.5709/ce.1897-9254.563</w:t>
      </w:r>
    </w:p>
    <w:p>
      <w:pPr>
        <w:pStyle w:val="SourceNote"/>
      </w:pPr>
      <w:r>
        <w:rPr>
          <w:b/>
        </w:rPr>
        <w:t>Review status:</w:t>
      </w:r>
      <w:r>
        <w:t xml:space="preserve"> unchecked — possible relationship only</w:t>
      </w:r>
    </w:p>
    <w:p>
      <w:pPr>
        <w:pStyle w:val="Heading2"/>
      </w:pPr>
      <w:r>
        <w:t>369. Claim + two later sources: Finland-Russia rail transport deregulation: future scenarios of market development</w:t>
      </w:r>
    </w:p>
    <w:p>
      <w:pPr>
        <w:pStyle w:val="SourceNote"/>
      </w:pPr>
      <w:r>
        <w:rPr>
          <w:b/>
        </w:rPr>
        <w:t>Group ID:</w:t>
      </w:r>
      <w:r>
        <w:t xml:space="preserve"> group-d407d0677ad295c3abb3</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What kind of Europe do Europeans want? — https://doi.org/10.1080/01402382.2026.2662871</w:t>
      </w:r>
    </w:p>
    <w:p>
      <w:pPr/>
      <w:r>
        <w:rPr>
          <w:b/>
        </w:rPr>
        <w:t>Later source:</w:t>
      </w:r>
      <w:r>
        <w:t xml:space="preserve"> Three years of COVID-19 and life satisfaction in Europe: A macro view — https://doi.org/10.1073/pnas.2300717120</w:t>
      </w:r>
    </w:p>
    <w:p>
      <w:pPr>
        <w:pStyle w:val="SourceNote"/>
      </w:pPr>
      <w:r>
        <w:rPr>
          <w:b/>
        </w:rPr>
        <w:t>Review status:</w:t>
      </w:r>
      <w:r>
        <w:t xml:space="preserve"> unchecked — possible relationship only</w:t>
      </w:r>
    </w:p>
    <w:p>
      <w:pPr>
        <w:pStyle w:val="Heading2"/>
      </w:pPr>
      <w:r>
        <w:t>370.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371.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372.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373. Claim + two later sources: Potential for hydrogen and Power-to-Liquid in a low-carbon EU energy system using cost optimization</w:t>
      </w:r>
    </w:p>
    <w:p>
      <w:pPr>
        <w:pStyle w:val="SourceNote"/>
      </w:pPr>
      <w:r>
        <w:rPr>
          <w:b/>
        </w:rPr>
        <w:t>Group ID:</w:t>
      </w:r>
      <w:r>
        <w:t xml:space="preserve"> group-ab6d8c5114719b4177ae</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Can a wealth tax reduce CO2 emissions in Europe? — https://doi.org/10.1016/j.ecolecon.2026.109231</w:t>
      </w:r>
    </w:p>
    <w:p>
      <w:pPr/>
      <w:r>
        <w:rPr>
          <w:b/>
        </w:rPr>
        <w:t>Later source:</w:t>
      </w:r>
      <w:r>
        <w:t xml:space="preserve"> Regional Pathways to Internationalization: The Role of Erasmus+ in European HEIs — https://doi.org/10.3390/urbansci9050144</w:t>
      </w:r>
    </w:p>
    <w:p>
      <w:pPr>
        <w:pStyle w:val="SourceNote"/>
      </w:pPr>
      <w:r>
        <w:rPr>
          <w:b/>
        </w:rPr>
        <w:t>Review status:</w:t>
      </w:r>
      <w:r>
        <w:t xml:space="preserve"> unchecked — possible relationship only</w:t>
      </w:r>
    </w:p>
    <w:p>
      <w:pPr>
        <w:pStyle w:val="Heading2"/>
      </w:pPr>
      <w:r>
        <w:t>374. Claim + two later sources: Multi-model ensemble simulations of olive pollen distribution in Europe in 2014: current status and outlook</w:t>
      </w:r>
    </w:p>
    <w:p>
      <w:pPr>
        <w:pStyle w:val="SourceNote"/>
      </w:pPr>
      <w:r>
        <w:rPr>
          <w:b/>
        </w:rPr>
        <w:t>Group ID:</w:t>
      </w:r>
      <w:r>
        <w:t xml:space="preserve"> group-58389907e4388c48f06a</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Factors explaining adolescents’ digital skills in Europe — https://doi.org/10.1057/s41599-025-05241-9</w:t>
      </w:r>
    </w:p>
    <w:p>
      <w:pPr>
        <w:pStyle w:val="SourceNote"/>
      </w:pPr>
      <w:r>
        <w:rPr>
          <w:b/>
        </w:rPr>
        <w:t>Review status:</w:t>
      </w:r>
      <w:r>
        <w:t xml:space="preserve"> unchecked — possible relationship only</w:t>
      </w:r>
    </w:p>
    <w:p>
      <w:pPr>
        <w:pStyle w:val="Heading2"/>
      </w:pPr>
      <w:r>
        <w:t>375.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376. Claim + two later sources: Soil Governance in current European Union Law and in the European Green Deal</w:t>
      </w:r>
    </w:p>
    <w:p>
      <w:pPr>
        <w:pStyle w:val="SourceNote"/>
      </w:pPr>
      <w:r>
        <w:rPr>
          <w:b/>
        </w:rPr>
        <w:t>Group ID:</w:t>
      </w:r>
      <w:r>
        <w:t xml:space="preserve"> group-8c6828e1203cceb71115</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Critical materials and manufacturing: Comparing China, the European Union, Japan, and the United States — https://doi.org/10.1016/j.rcradv.2025.200250</w:t>
      </w:r>
    </w:p>
    <w:p>
      <w:pPr>
        <w:pStyle w:val="SourceNote"/>
      </w:pPr>
      <w:r>
        <w:rPr>
          <w:b/>
        </w:rPr>
        <w:t>Review status:</w:t>
      </w:r>
      <w:r>
        <w:t xml:space="preserve"> unchecked — possible relationship only</w:t>
      </w:r>
    </w:p>
    <w:p>
      <w:pPr>
        <w:pStyle w:val="Heading2"/>
      </w:pPr>
      <w:r>
        <w:t>377.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group-a9b8753f9bfa08f705d9</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Indian Anthropology Against the Backdrop of World Anthropology — https://doi.org/10.1177/0972558x251320485</w:t>
      </w:r>
    </w:p>
    <w:p>
      <w:pPr/>
      <w:r>
        <w:rPr>
          <w:b/>
        </w:rPr>
        <w:t>Later source:</w:t>
      </w:r>
      <w:r>
        <w:t xml:space="preserve"> Impact of climate and Aedes albopictus establishment on dengue and chikungunya outbreaks in Europe: a time-to-event analysis — https://doi.org/10.1016/s2542-5196(25)00059-2</w:t>
      </w:r>
    </w:p>
    <w:p>
      <w:pPr>
        <w:pStyle w:val="SourceNote"/>
      </w:pPr>
      <w:r>
        <w:rPr>
          <w:b/>
        </w:rPr>
        <w:t>Review status:</w:t>
      </w:r>
      <w:r>
        <w:t xml:space="preserve"> unchecked — possible relationship only</w:t>
      </w:r>
    </w:p>
    <w:p>
      <w:pPr>
        <w:pStyle w:val="Heading2"/>
      </w:pPr>
      <w:r>
        <w:t>378.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group-b05a0201e3f085e148a9</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New Additions to the Mammal List Documented in the Portuguese Red Data Book — https://doi.org/10.3390/ani14172514</w:t>
      </w:r>
    </w:p>
    <w:p>
      <w:pPr>
        <w:pStyle w:val="SourceNote"/>
      </w:pPr>
      <w:r>
        <w:rPr>
          <w:b/>
        </w:rPr>
        <w:t>Review status:</w:t>
      </w:r>
      <w:r>
        <w:t xml:space="preserve"> unchecked — possible relationship only</w:t>
      </w:r>
    </w:p>
    <w:p>
      <w:pPr>
        <w:pStyle w:val="Heading2"/>
      </w:pPr>
      <w:r>
        <w:t>379. Claim + two later sources: Achieving agricultural greenhouse gas emission reductions in the EU post‐2030: What options do we have?</w:t>
      </w:r>
    </w:p>
    <w:p>
      <w:pPr>
        <w:pStyle w:val="SourceNote"/>
      </w:pPr>
      <w:r>
        <w:rPr>
          <w:b/>
        </w:rPr>
        <w:t>Group ID:</w:t>
      </w:r>
      <w:r>
        <w:t xml:space="preserve"> group-12de1b58107d218cfaa0</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Decentralized Energy Systems in the European Union — https://doi.org/10.4324/9781003781127-4</w:t>
      </w:r>
    </w:p>
    <w:p>
      <w:pPr>
        <w:pStyle w:val="SourceNote"/>
      </w:pPr>
      <w:r>
        <w:rPr>
          <w:b/>
        </w:rPr>
        <w:t>Review status:</w:t>
      </w:r>
      <w:r>
        <w:t xml:space="preserve"> unchecked — possible relationship only</w:t>
      </w:r>
    </w:p>
    <w:p>
      <w:pPr>
        <w:pStyle w:val="Heading2"/>
      </w:pPr>
      <w:r>
        <w:t>380. Claim + two later sources: Carrying out a multi-model integrated assessment of European energy transition pathways: Challenges and benefits</w:t>
      </w:r>
    </w:p>
    <w:p>
      <w:pPr>
        <w:pStyle w:val="SourceNote"/>
      </w:pPr>
      <w:r>
        <w:rPr>
          <w:b/>
        </w:rPr>
        <w:t>Group ID:</w:t>
      </w:r>
      <w:r>
        <w:t xml:space="preserve"> group-fb78946277a6442a3b48</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scenario-based risk assessment framework for tyre wear particles in European seas — https://doi.org/10.1016/j.jhazmat.2026.141335</w:t>
      </w:r>
    </w:p>
    <w:p>
      <w:pPr/>
      <w:r>
        <w:rPr>
          <w:b/>
        </w:rPr>
        <w:t>Later source:</w:t>
      </w:r>
      <w:r>
        <w:t xml:space="preserve"> Frailty assessment in kidney transplantation: insights from a European survey — https://doi.org/10.1093/ckj/sfag065</w:t>
      </w:r>
    </w:p>
    <w:p>
      <w:pPr>
        <w:pStyle w:val="SourceNote"/>
      </w:pPr>
      <w:r>
        <w:rPr>
          <w:b/>
        </w:rPr>
        <w:t>Review status:</w:t>
      </w:r>
      <w:r>
        <w:t xml:space="preserve"> unchecked — possible relationship only</w:t>
      </w:r>
    </w:p>
    <w:p>
      <w:pPr>
        <w:pStyle w:val="Heading2"/>
      </w:pPr>
      <w:r>
        <w:t>381.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group-5a78532887833015da1e</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European manual on strategic culture — https://openalex.org/W7163482322</w:t>
      </w:r>
    </w:p>
    <w:p>
      <w:pPr/>
      <w:r>
        <w:rPr>
          <w:b/>
        </w:rPr>
        <w:t>Later source:</w:t>
      </w:r>
      <w:r>
        <w:t xml:space="preserve"> Barriers to Research: Insights into the Patchwork of Research Exceptions in European Copyright Laws and Practical Perspectives from European Researchers — https://doi.org/10.5281/zenodo.20492251</w:t>
      </w:r>
    </w:p>
    <w:p>
      <w:pPr>
        <w:pStyle w:val="SourceNote"/>
      </w:pPr>
      <w:r>
        <w:rPr>
          <w:b/>
        </w:rPr>
        <w:t>Review status:</w:t>
      </w:r>
      <w:r>
        <w:t xml:space="preserve"> unchecked — possible relationship only</w:t>
      </w:r>
    </w:p>
    <w:p>
      <w:pPr>
        <w:pStyle w:val="Heading2"/>
      </w:pPr>
      <w:r>
        <w:t>382. Claim + two later sources: Systemic Design for Policy-Making: Towards the Next Circular Regions</w:t>
      </w:r>
    </w:p>
    <w:p>
      <w:pPr>
        <w:pStyle w:val="SourceNote"/>
      </w:pPr>
      <w:r>
        <w:rPr>
          <w:b/>
        </w:rPr>
        <w:t>Group ID:</w:t>
      </w:r>
      <w:r>
        <w:t xml:space="preserve"> group-269a779eca2d32178b29</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The Circular Economy in European Union Supply Chains: A Literature Review — https://doi.org/10.1002/sd.70855</w:t>
      </w:r>
    </w:p>
    <w:p>
      <w:pPr/>
      <w:r>
        <w:rPr>
          <w:b/>
        </w:rPr>
        <w:t>Later source:</w:t>
      </w:r>
      <w:r>
        <w:t xml:space="preserve"> Business Model Innovation for Circular Transformation in the Built Environment — https://doi.org/10.1007/978-3-032-35104-3_109</w:t>
      </w:r>
    </w:p>
    <w:p>
      <w:pPr>
        <w:pStyle w:val="SourceNote"/>
      </w:pPr>
      <w:r>
        <w:rPr>
          <w:b/>
        </w:rPr>
        <w:t>Review status:</w:t>
      </w:r>
      <w:r>
        <w:t xml:space="preserve"> unchecked — possible relationship only</w:t>
      </w:r>
    </w:p>
    <w:p>
      <w:pPr>
        <w:pStyle w:val="Heading2"/>
      </w:pPr>
      <w:r>
        <w:t>383. Claim + two later sources: O4-2.1 Foresight tackling obesities: future choices</w:t>
      </w:r>
    </w:p>
    <w:p>
      <w:pPr>
        <w:pStyle w:val="SourceNote"/>
      </w:pPr>
      <w:r>
        <w:rPr>
          <w:b/>
        </w:rPr>
        <w:t>Group ID:</w:t>
      </w:r>
      <w:r>
        <w:t xml:space="preserve"> group-8e6bc20df9e5af601c89</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Accuracy of subject-specific prediction of end-systolic time in MRI across a range of RR intervals — https://doi.org/10.1371/journal.pone.0179011</w:t>
      </w:r>
    </w:p>
    <w:p>
      <w:pPr/>
      <w:r>
        <w:rPr>
          <w:b/>
        </w:rPr>
        <w:t>Later source:</w:t>
      </w:r>
      <w:r>
        <w:t xml:space="preserve"> Muscle Synergies Facilitate Computational Prediction of Subject-Specific Walking Motions — https://doi.org/10.3389/fbioe.2016.00077</w:t>
      </w:r>
    </w:p>
    <w:p>
      <w:pPr>
        <w:pStyle w:val="SourceNote"/>
      </w:pPr>
      <w:r>
        <w:rPr>
          <w:b/>
        </w:rPr>
        <w:t>Review status:</w:t>
      </w:r>
      <w:r>
        <w:t xml:space="preserve"> unchecked — possible relationship only</w:t>
      </w:r>
    </w:p>
    <w:p>
      <w:pPr>
        <w:pStyle w:val="Heading2"/>
      </w:pPr>
      <w:r>
        <w:t>384. Claim + two later sources: A 2050 perspective on the role for carbon capture and storage in the European power system and industry sector</w:t>
      </w:r>
    </w:p>
    <w:p>
      <w:pPr>
        <w:pStyle w:val="SourceNote"/>
      </w:pPr>
      <w:r>
        <w:rPr>
          <w:b/>
        </w:rPr>
        <w:t>Group ID:</w:t>
      </w:r>
      <w:r>
        <w:t xml:space="preserve"> group-3e17517c630ccce0041b</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Feasible Carbon Sequestration Potential in European Agricultural Mineral Soils Through Improved Management — https://doi.org/10.1111/ejss.70357</w:t>
      </w:r>
    </w:p>
    <w:p>
      <w:pPr/>
      <w:r>
        <w:rPr>
          <w:b/>
        </w:rPr>
        <w:t>Later source:</w:t>
      </w:r>
      <w:r>
        <w:t xml:space="preserve"> Evaluating the Operations Feasibility and Business Model Development of a Sri Lankan Beauty Salon — https://openalex.org/W7163484922</w:t>
      </w:r>
    </w:p>
    <w:p>
      <w:pPr>
        <w:pStyle w:val="SourceNote"/>
      </w:pPr>
      <w:r>
        <w:rPr>
          <w:b/>
        </w:rPr>
        <w:t>Review status:</w:t>
      </w:r>
      <w:r>
        <w:t xml:space="preserve"> unchecked — possible relationship only</w:t>
      </w:r>
    </w:p>
    <w:p>
      <w:pPr>
        <w:pStyle w:val="Heading2"/>
      </w:pPr>
      <w:r>
        <w:t>385. Claim + two later sources: Impact of climate change on ozone-related mortality and morbidity in Europe</w:t>
      </w:r>
    </w:p>
    <w:p>
      <w:pPr>
        <w:pStyle w:val="SourceNote"/>
      </w:pPr>
      <w:r>
        <w:rPr>
          <w:b/>
        </w:rPr>
        <w:t>Group ID:</w:t>
      </w:r>
      <w:r>
        <w:t xml:space="preserve"> group-f03a621d7d211f3c88e9</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Emerging new climate extremes over Europe — https://doi.org/10.1007/s00382-021-05917-3</w:t>
      </w:r>
    </w:p>
    <w:p>
      <w:pPr>
        <w:pStyle w:val="SourceNote"/>
      </w:pPr>
      <w:r>
        <w:rPr>
          <w:b/>
        </w:rPr>
        <w:t>Review status:</w:t>
      </w:r>
      <w:r>
        <w:t xml:space="preserve"> unchecked — possible relationship only</w:t>
      </w:r>
    </w:p>
    <w:p>
      <w:pPr>
        <w:pStyle w:val="Heading2"/>
      </w:pPr>
      <w:r>
        <w:t>386. Claim + two later sources: Perspectives from 2037—Can Environmental Impact Assessment be the Solution for an Early Consideration of Climate Change-related Impacts?</w:t>
      </w:r>
    </w:p>
    <w:p>
      <w:pPr>
        <w:pStyle w:val="SourceNote"/>
      </w:pPr>
      <w:r>
        <w:rPr>
          <w:b/>
        </w:rPr>
        <w:t>Group ID:</w:t>
      </w:r>
      <w:r>
        <w:t xml:space="preserve"> group-a21e46f0d63f9b75042c</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Behind The Superhero Façade : A Visual And Narrative Analysis Of Power And Genre In The Boys (2019) — https://openalex.org/W7128574996</w:t>
      </w:r>
    </w:p>
    <w:p>
      <w:pPr/>
      <w:r>
        <w:rPr>
          <w:b/>
        </w:rPr>
        <w:t>Later source:</w:t>
      </w:r>
      <w:r>
        <w:t xml:space="preserve"> Diverse Narratives and International Perspectives on the Russo-Ukrainian Offensive (DNIPRO) — https://doi.org/10.5281/zenodo.18470676</w:t>
      </w:r>
    </w:p>
    <w:p>
      <w:pPr>
        <w:pStyle w:val="SourceNote"/>
      </w:pPr>
      <w:r>
        <w:rPr>
          <w:b/>
        </w:rPr>
        <w:t>Review status:</w:t>
      </w:r>
      <w:r>
        <w:t xml:space="preserve"> unchecked — possible relationship only</w:t>
      </w:r>
    </w:p>
    <w:p>
      <w:pPr>
        <w:pStyle w:val="Heading2"/>
      </w:pPr>
      <w:r>
        <w:t>387.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388. Claim + two later sources: Forecasting turbulence in the Asian and European stock market using regime-switching models</w:t>
      </w:r>
    </w:p>
    <w:p>
      <w:pPr>
        <w:pStyle w:val="SourceNote"/>
      </w:pPr>
      <w:r>
        <w:rPr>
          <w:b/>
        </w:rPr>
        <w:t>Group ID:</w:t>
      </w:r>
      <w:r>
        <w:t xml:space="preserve"> group-f2861a2cd9e5e80686dd</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Early warning systems for chemical risks in Europe: methodological components for signal detection, prioritization, uncertainty management and follow-up — https://doi.org/10.1186/s12302-026-01427-3</w:t>
      </w:r>
    </w:p>
    <w:p>
      <w:pPr>
        <w:pStyle w:val="SourceNote"/>
      </w:pPr>
      <w:r>
        <w:rPr>
          <w:b/>
        </w:rPr>
        <w:t>Review status:</w:t>
      </w:r>
      <w:r>
        <w:t xml:space="preserve"> unchecked — possible relationship only</w:t>
      </w:r>
    </w:p>
    <w:p>
      <w:pPr>
        <w:pStyle w:val="Heading2"/>
      </w:pPr>
      <w:r>
        <w:t>389.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390. Claim + two later sources: Futures and foresight of Croatian cultural heritage</w:t>
      </w:r>
    </w:p>
    <w:p>
      <w:pPr>
        <w:pStyle w:val="SourceNote"/>
      </w:pPr>
      <w:r>
        <w:rPr>
          <w:b/>
        </w:rPr>
        <w:t>Group ID:</w:t>
      </w:r>
      <w:r>
        <w:t xml:space="preserve"> group-2fb03d927403a37f51ae</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Youth Academy Player Usage in European Football: A Multidimensional Econometric Approach — https://openalex.org/W7171481490</w:t>
      </w:r>
    </w:p>
    <w:p>
      <w:pPr>
        <w:pStyle w:val="SourceNote"/>
      </w:pPr>
      <w:r>
        <w:rPr>
          <w:b/>
        </w:rPr>
        <w:t>Review status:</w:t>
      </w:r>
      <w:r>
        <w:t xml:space="preserve"> unchecked — possible relationship only</w:t>
      </w:r>
    </w:p>
    <w:p>
      <w:pPr>
        <w:pStyle w:val="Heading2"/>
      </w:pPr>
      <w:r>
        <w:t>391. Claim + two later sources: Soft-linking of a behavioral model for transport with energy system cost optimization applied to hydrogen in EU</w:t>
      </w:r>
    </w:p>
    <w:p>
      <w:pPr>
        <w:pStyle w:val="SourceNote"/>
      </w:pPr>
      <w:r>
        <w:rPr>
          <w:b/>
        </w:rPr>
        <w:t>Group ID:</w:t>
      </w:r>
      <w:r>
        <w:t xml:space="preserve"> group-1a33758b0059f41a8647</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PERSEUS-PtX: European Energy System Model and Dataset — https://doi.org/10.5281/zenodo.19480834</w:t>
      </w:r>
    </w:p>
    <w:p>
      <w:pPr/>
      <w:r>
        <w:rPr>
          <w:b/>
        </w:rPr>
        <w:t>Later source:</w:t>
      </w:r>
      <w:r>
        <w:t xml:space="preserve"> Back to Basics: Changes in the Energy Policies of American and European Oil and Gas Majors amid the Fourth Energy Transition — https://doi.org/10.24833/2073-8420-2026-2-79-123-131</w:t>
      </w:r>
    </w:p>
    <w:p>
      <w:pPr>
        <w:pStyle w:val="SourceNote"/>
      </w:pPr>
      <w:r>
        <w:rPr>
          <w:b/>
        </w:rPr>
        <w:t>Review status:</w:t>
      </w:r>
      <w:r>
        <w:t xml:space="preserve"> unchecked — possible relationship only</w:t>
      </w:r>
    </w:p>
    <w:p>
      <w:pPr>
        <w:pStyle w:val="Heading2"/>
      </w:pPr>
      <w:r>
        <w:t>392. Claim + two later sources: Facilitating transformative science education through futures thinking</w:t>
      </w:r>
    </w:p>
    <w:p>
      <w:pPr>
        <w:pStyle w:val="SourceNote"/>
      </w:pPr>
      <w:r>
        <w:rPr>
          <w:b/>
        </w:rPr>
        <w:t>Group ID:</w:t>
      </w:r>
      <w:r>
        <w:t xml:space="preserve"> group-d1edfde7f04ff1dc00c1</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Using Learning Progressions to Guide AI Feedback for Science Learning — https://openalex.org/W7133571101</w:t>
      </w:r>
    </w:p>
    <w:p>
      <w:pPr/>
      <w:r>
        <w:rPr>
          <w:b/>
        </w:rPr>
        <w:t>Later source:</w:t>
      </w:r>
      <w:r>
        <w:t xml:space="preserve"> Mesenchymal stromal cells in Rheumathology: Recent findings — https://doi.org/10.30574/wjarr.2026.29.3.0619</w:t>
      </w:r>
    </w:p>
    <w:p>
      <w:pPr>
        <w:pStyle w:val="SourceNote"/>
      </w:pPr>
      <w:r>
        <w:rPr>
          <w:b/>
        </w:rPr>
        <w:t>Review status:</w:t>
      </w:r>
      <w:r>
        <w:t xml:space="preserve"> unchecked — possible relationship only</w:t>
      </w:r>
    </w:p>
    <w:p>
      <w:pPr>
        <w:pStyle w:val="Heading2"/>
      </w:pPr>
      <w:r>
        <w:t>393.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394. Claim + two later sources: Investigating European Union Decarbonization Strategies: Evaluating the Pathway to Carbon Neutrality by 2050</w:t>
      </w:r>
    </w:p>
    <w:p>
      <w:pPr>
        <w:pStyle w:val="SourceNote"/>
      </w:pPr>
      <w:r>
        <w:rPr>
          <w:b/>
        </w:rPr>
        <w:t>Group ID:</w:t>
      </w:r>
      <w:r>
        <w:t xml:space="preserve"> group-767c9e52b7a6f5dc2da7</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Functionally rich crop rotations increase calorie and macronutrient outputs across Europe — https://doi.org/10.1038/s43016-026-01293-5</w:t>
      </w:r>
    </w:p>
    <w:p>
      <w:pPr>
        <w:pStyle w:val="SourceNote"/>
      </w:pPr>
      <w:r>
        <w:rPr>
          <w:b/>
        </w:rPr>
        <w:t>Review status:</w:t>
      </w:r>
      <w:r>
        <w:t xml:space="preserve"> unchecked — possible relationship only</w:t>
      </w:r>
    </w:p>
    <w:p>
      <w:pPr>
        <w:pStyle w:val="Heading2"/>
      </w:pPr>
      <w:r>
        <w:t>395. Claim + two later sources: The European Unions Strategic Gas Supply Options and the Prevalence of the Southern Corridor</w:t>
      </w:r>
    </w:p>
    <w:p>
      <w:pPr>
        <w:pStyle w:val="SourceNote"/>
      </w:pPr>
      <w:r>
        <w:rPr>
          <w:b/>
        </w:rPr>
        <w:t>Group ID:</w:t>
      </w:r>
      <w:r>
        <w:t xml:space="preserve"> group-1dbc995cea1726dea132</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Prevalence of Glaucoma in Europe and Projections to 2050 — https://doi.org/10.1016/j.ophtha.2025.06.002</w:t>
      </w:r>
    </w:p>
    <w:p>
      <w:pPr/>
      <w:r>
        <w:rPr>
          <w:b/>
        </w:rPr>
        <w:t>Later source:</w:t>
      </w:r>
      <w:r>
        <w:t xml:space="preserve"> Predicting and preventing preterm birth in Europe: current challenges and gaps — https://doi.org/10.1080/14767058.2025.2547687</w:t>
      </w:r>
    </w:p>
    <w:p>
      <w:pPr>
        <w:pStyle w:val="SourceNote"/>
      </w:pPr>
      <w:r>
        <w:rPr>
          <w:b/>
        </w:rPr>
        <w:t>Review status:</w:t>
      </w:r>
      <w:r>
        <w:t xml:space="preserve"> unchecked — possible relationship only</w:t>
      </w:r>
    </w:p>
    <w:p>
      <w:pPr>
        <w:pStyle w:val="Heading2"/>
      </w:pPr>
      <w:r>
        <w:t>396.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possible relationship only</w:t>
      </w:r>
    </w:p>
    <w:p>
      <w:pPr>
        <w:pStyle w:val="Heading2"/>
      </w:pPr>
      <w:r>
        <w:t>397. Claim + two later sources: Climate change, extreme weather events, air pollution and respiratory health in Europe</w:t>
      </w:r>
    </w:p>
    <w:p>
      <w:pPr>
        <w:pStyle w:val="SourceNote"/>
      </w:pPr>
      <w:r>
        <w:rPr>
          <w:b/>
        </w:rPr>
        <w:t>Group ID:</w:t>
      </w:r>
      <w:r>
        <w:t xml:space="preserve"> group-1ba8c76edaf77836bf6e</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398. Claim + two later sources: Implementation of the 2030 sustainable development goals - affordable and clean energy in the European Union</w:t>
      </w:r>
    </w:p>
    <w:p>
      <w:pPr>
        <w:pStyle w:val="SourceNote"/>
      </w:pPr>
      <w:r>
        <w:rPr>
          <w:b/>
        </w:rPr>
        <w:t>Group ID:</w:t>
      </w:r>
      <w:r>
        <w:t xml:space="preserve"> group-928349f901f4ce41d5f5</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The Republic of Moldova financial system adjustment to the european monetary order — https://doi.org/10.53486/mfsne2024.02</w:t>
      </w:r>
    </w:p>
    <w:p>
      <w:pPr/>
      <w:r>
        <w:rPr>
          <w:b/>
        </w:rPr>
        <w:t>Later source:</w:t>
      </w:r>
      <w:r>
        <w:t xml:space="preserve"> The European protection order: the question of a predictive toolkit for the protection of victims of criminal offences — https://doi.org/10.24144/2788-6018.2024.02.109</w:t>
      </w:r>
    </w:p>
    <w:p>
      <w:pPr>
        <w:pStyle w:val="SourceNote"/>
      </w:pPr>
      <w:r>
        <w:rPr>
          <w:b/>
        </w:rPr>
        <w:t>Review status:</w:t>
      </w:r>
      <w:r>
        <w:t xml:space="preserve"> unchecked — possible relationship only</w:t>
      </w:r>
    </w:p>
    <w:p>
      <w:pPr>
        <w:pStyle w:val="Heading2"/>
      </w:pPr>
      <w:r>
        <w:t>399. Claim + two later sources: Focused Futures from Finland</w:t>
      </w:r>
    </w:p>
    <w:p>
      <w:pPr>
        <w:pStyle w:val="SourceNote"/>
      </w:pPr>
      <w:r>
        <w:rPr>
          <w:b/>
        </w:rPr>
        <w:t>Group ID:</w:t>
      </w:r>
      <w:r>
        <w:t xml:space="preserve"> group-63798fc50f16fc4d3793</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European Union Litigation — https://doi.org/10.1515/ercl-2022-2038</w:t>
      </w:r>
    </w:p>
    <w:p>
      <w:pPr/>
      <w:r>
        <w:rPr>
          <w:b/>
        </w:rPr>
        <w:t>Later source:</w:t>
      </w:r>
      <w:r>
        <w:t xml:space="preserve"> Slavonic and East European Review, 1922–2022 — https://doi.org/10.1353/see.2022.0000</w:t>
      </w:r>
    </w:p>
    <w:p>
      <w:pPr>
        <w:pStyle w:val="SourceNote"/>
      </w:pPr>
      <w:r>
        <w:rPr>
          <w:b/>
        </w:rPr>
        <w:t>Review status:</w:t>
      </w:r>
      <w:r>
        <w:t xml:space="preserve"> unchecked — possible relationship only</w:t>
      </w:r>
    </w:p>
    <w:p>
      <w:pPr>
        <w:pStyle w:val="Heading2"/>
      </w:pPr>
      <w:r>
        <w:t>400. Claim + two later sources: On the Future(s) of Energy Communities in the German Energy Transition: A Derivation of Transformation Pathways</w:t>
      </w:r>
    </w:p>
    <w:p>
      <w:pPr>
        <w:pStyle w:val="SourceNote"/>
      </w:pPr>
      <w:r>
        <w:rPr>
          <w:b/>
        </w:rPr>
        <w:t>Group ID:</w:t>
      </w:r>
      <w:r>
        <w:t xml:space="preserve"> group-cf55f87a8e83f2b1b53e</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“I haven't thought about it before”: STEM researchers' views on decolonization with examples from Canada, Europe and New Zealand — https://doi.org/10.1108/edi-12-2024-0592</w:t>
      </w:r>
    </w:p>
    <w:p>
      <w:pPr/>
      <w:r>
        <w:rPr>
          <w:b/>
        </w:rPr>
        <w:t>Later source:</w:t>
      </w:r>
      <w:r>
        <w:t xml:space="preserve"> The Changing Liberal World Order : Transatlantic Relations, Europe and Central Europe — https://openalex.org/W7213382557</w:t>
      </w:r>
    </w:p>
    <w:p>
      <w:pPr>
        <w:pStyle w:val="SourceNote"/>
      </w:pPr>
      <w:r>
        <w:rPr>
          <w:b/>
        </w:rPr>
        <w:t>Review status:</w:t>
      </w:r>
      <w:r>
        <w:t xml:space="preserve"> unchecked — possible relationship only</w:t>
      </w:r>
    </w:p>
    <w:p>
      <w:pPr>
        <w:pStyle w:val="Heading2"/>
      </w:pPr>
      <w:r>
        <w:t>401. Claim + two later sources: Strategic European Integration Scenarios of Ukrainian and Polish Research, Education and Innovation Spaces</w:t>
      </w:r>
    </w:p>
    <w:p>
      <w:pPr>
        <w:pStyle w:val="SourceNote"/>
      </w:pPr>
      <w:r>
        <w:rPr>
          <w:b/>
        </w:rPr>
        <w:t>Group ID:</w:t>
      </w:r>
      <w:r>
        <w:t xml:space="preserve"> group-41c6fb8c39234c9741bc</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402. Claim + two later sources: A new approach on renewable energy as a support for regional economic development among the European Union</w:t>
      </w:r>
    </w:p>
    <w:p>
      <w:pPr>
        <w:pStyle w:val="SourceNote"/>
      </w:pPr>
      <w:r>
        <w:rPr>
          <w:b/>
        </w:rPr>
        <w:t>Group ID:</w:t>
      </w:r>
      <w:r>
        <w:t xml:space="preserve"> group-032779807a1a03249143</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Measuring Governance-Enabled Sustainability in Central and Eastern Europe: Development of a Corporate Governance–Sustainability Index (CGSI–CEE) — https://doi.org/10.3390/su18073350</w:t>
      </w:r>
    </w:p>
    <w:p>
      <w:pPr>
        <w:pStyle w:val="SourceNote"/>
      </w:pPr>
      <w:r>
        <w:rPr>
          <w:b/>
        </w:rPr>
        <w:t>Review status:</w:t>
      </w:r>
      <w:r>
        <w:t xml:space="preserve"> unchecked — possible relationship only</w:t>
      </w:r>
    </w:p>
    <w:p>
      <w:pPr>
        <w:pStyle w:val="Heading2"/>
      </w:pPr>
      <w:r>
        <w:t>403.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404. Claim + two later sources: The Future of Internationalization of Higher Education in Europe</w:t>
      </w:r>
    </w:p>
    <w:p>
      <w:pPr>
        <w:pStyle w:val="SourceNote"/>
      </w:pPr>
      <w:r>
        <w:rPr>
          <w:b/>
        </w:rPr>
        <w:t>Group ID:</w:t>
      </w:r>
      <w:r>
        <w:t xml:space="preserve"> group-cc0b712608ecc0c816f5</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Conclusion and Recommendations — https://doi.org/10.1007/978-3-032-29056-4_7</w:t>
      </w:r>
    </w:p>
    <w:p>
      <w:pPr>
        <w:pStyle w:val="SourceNote"/>
      </w:pPr>
      <w:r>
        <w:rPr>
          <w:b/>
        </w:rPr>
        <w:t>Review status:</w:t>
      </w:r>
      <w:r>
        <w:t xml:space="preserve"> unchecked — possible relationship only</w:t>
      </w:r>
    </w:p>
    <w:p>
      <w:pPr>
        <w:pStyle w:val="Heading2"/>
      </w:pPr>
      <w:r>
        <w:t>405. Claim + two later sources: Situational analysis of EU renewable energy legislation</w:t>
      </w:r>
    </w:p>
    <w:p>
      <w:pPr>
        <w:pStyle w:val="SourceNote"/>
      </w:pPr>
      <w:r>
        <w:rPr>
          <w:b/>
        </w:rPr>
        <w:t>Group ID:</w:t>
      </w:r>
      <w:r>
        <w:t xml:space="preserve"> group-876d63a10b1cfe7b8e45</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Scenario-Building Papers for Europe 2030 - INTERNAL AND EXTERNAL DYNAMICS OF EUROPEAN INTEGRATION (DEBUE). — https://doi.org/10.5281/zenodo.17566447</w:t>
      </w:r>
    </w:p>
    <w:p>
      <w:pPr/>
      <w:r>
        <w:rPr>
          <w:b/>
        </w:rPr>
        <w:t>Later source:</w:t>
      </w:r>
      <w:r>
        <w:t xml:space="preserve"> Climate Policy Priorities for the Next European Commission — https://openalex.org/W4392885355</w:t>
      </w:r>
    </w:p>
    <w:p>
      <w:pPr>
        <w:pStyle w:val="SourceNote"/>
      </w:pPr>
      <w:r>
        <w:rPr>
          <w:b/>
        </w:rPr>
        <w:t>Review status:</w:t>
      </w:r>
      <w:r>
        <w:t xml:space="preserve"> unchecked — possible relationship only</w:t>
      </w:r>
    </w:p>
    <w:p>
      <w:pPr>
        <w:pStyle w:val="Heading2"/>
      </w:pPr>
      <w:r>
        <w:t>406.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407. Claim + two later sources: Grassland futures in Great Britain – Productivity assessment and scenarios for land use change opportunities</w:t>
      </w:r>
    </w:p>
    <w:p>
      <w:pPr>
        <w:pStyle w:val="SourceNote"/>
      </w:pPr>
      <w:r>
        <w:rPr>
          <w:b/>
        </w:rPr>
        <w:t>Group ID:</w:t>
      </w:r>
      <w:r>
        <w:t xml:space="preserve"> group-d6a8f67206a340875e74</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Climate Change and Its Effects on Crop Productivity: Challenges and Adaptation — https://doi.org/10.5281/zenodo.20267577</w:t>
      </w:r>
    </w:p>
    <w:p>
      <w:pPr/>
      <w:r>
        <w:rPr>
          <w:b/>
        </w:rPr>
        <w:t>Later source:</w:t>
      </w:r>
      <w:r>
        <w:t xml:space="preserve"> Atmospheric methane removal as a third climate intervention: termination risks and air pollutant effects — https://doi.org/10.1038/s44168-026-00398-8</w:t>
      </w:r>
    </w:p>
    <w:p>
      <w:pPr>
        <w:pStyle w:val="SourceNote"/>
      </w:pPr>
      <w:r>
        <w:rPr>
          <w:b/>
        </w:rPr>
        <w:t>Review status:</w:t>
      </w:r>
      <w:r>
        <w:t xml:space="preserve"> unchecked — possible relationship only</w:t>
      </w:r>
    </w:p>
    <w:p>
      <w:pPr>
        <w:pStyle w:val="Heading2"/>
      </w:pPr>
      <w:r>
        <w:t>408. Claim + two later sources: Demographic change and the European income distribution</w:t>
      </w:r>
    </w:p>
    <w:p>
      <w:pPr>
        <w:pStyle w:val="SourceNote"/>
      </w:pPr>
      <w:r>
        <w:rPr>
          <w:b/>
        </w:rPr>
        <w:t>Group ID:</w:t>
      </w:r>
      <w:r>
        <w:t xml:space="preserve"> group-b9588e121b42cc2fb4b2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effect of an environmental change intervention on the dietary habits of older adults. European PLANEAT project — https://doi.org/10.26258/heal.hua.7744</w:t>
      </w:r>
    </w:p>
    <w:p>
      <w:pPr>
        <w:pStyle w:val="SourceNote"/>
      </w:pPr>
      <w:r>
        <w:rPr>
          <w:b/>
        </w:rPr>
        <w:t>Review status:</w:t>
      </w:r>
      <w:r>
        <w:t xml:space="preserve"> unchecked — possible relationship only</w:t>
      </w:r>
    </w:p>
    <w:p>
      <w:pPr>
        <w:pStyle w:val="Heading2"/>
      </w:pPr>
      <w:r>
        <w:t>409. Claim + two later sources: A decision support system to find the best water allocation strategies in a Mediterranean river basin in future scenarios of global change</w:t>
      </w:r>
    </w:p>
    <w:p>
      <w:pPr>
        <w:pStyle w:val="SourceNote"/>
      </w:pPr>
      <w:r>
        <w:rPr>
          <w:b/>
        </w:rPr>
        <w:t>Group ID:</w:t>
      </w:r>
      <w:r>
        <w:t xml:space="preserve"> group-8457f8c64bb2e5cd0439</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Solubility of Amoxicillin Trihydrate Hydrochloride in Water — https://doi.org/10.24857/rgsa.v18n10-144</w:t>
      </w:r>
    </w:p>
    <w:p>
      <w:pPr>
        <w:pStyle w:val="SourceNote"/>
      </w:pPr>
      <w:r>
        <w:rPr>
          <w:b/>
        </w:rPr>
        <w:t>Review status:</w:t>
      </w:r>
      <w:r>
        <w:t xml:space="preserve"> unchecked — possible relationship only</w:t>
      </w:r>
    </w:p>
    <w:p>
      <w:pPr>
        <w:pStyle w:val="Heading2"/>
      </w:pPr>
      <w:r>
        <w:t>410.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411. Claim + two later sources: Prediction of population with Alzheimer's disease in the European Union using a system dynamics model</w:t>
      </w:r>
    </w:p>
    <w:p>
      <w:pPr>
        <w:pStyle w:val="SourceNote"/>
      </w:pPr>
      <w:r>
        <w:rPr>
          <w:b/>
        </w:rPr>
        <w:t>Group ID:</w:t>
      </w:r>
      <w:r>
        <w:t xml:space="preserve"> group-ea216bbf5d396a75c1db</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Projected number of osteoarthritis patients in Austria for the next decades – quantifying the necessity of treatment and prevention strategies in Europe — https://doi.org/10.1186/s12891-022-05091-5</w:t>
      </w:r>
    </w:p>
    <w:p>
      <w:pPr/>
      <w:r>
        <w:rPr>
          <w:b/>
        </w:rPr>
        <w:t>Later source:</w:t>
      </w:r>
      <w:r>
        <w:t xml:space="preserve"> The finance-growth nexus in the age of financialisation: An empirical reassessment for the European Union countries — https://doi.org/10.2298/pan180927014b</w:t>
      </w:r>
    </w:p>
    <w:p>
      <w:pPr>
        <w:pStyle w:val="SourceNote"/>
      </w:pPr>
      <w:r>
        <w:rPr>
          <w:b/>
        </w:rPr>
        <w:t>Review status:</w:t>
      </w:r>
      <w:r>
        <w:t xml:space="preserve"> unchecked — possible relationship only</w:t>
      </w:r>
    </w:p>
    <w:p>
      <w:pPr>
        <w:pStyle w:val="Heading2"/>
      </w:pPr>
      <w:r>
        <w:t>412. Claim + two later sources: European atmosphere in 2050, a regional air quality and climate perspective under CMIP5 scenarios</w:t>
      </w:r>
    </w:p>
    <w:p>
      <w:pPr>
        <w:pStyle w:val="SourceNote"/>
      </w:pPr>
      <w:r>
        <w:rPr>
          <w:b/>
        </w:rPr>
        <w:t>Group ID:</w:t>
      </w:r>
      <w:r>
        <w:t xml:space="preserve"> group-1a9f66512272b271dc18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Climate &amp; Air Quality projections over Europe for 2030 and 2050 — https://openalex.org/W7213705154</w:t>
      </w:r>
    </w:p>
    <w:p>
      <w:pPr/>
      <w:r>
        <w:rPr>
          <w:b/>
        </w:rPr>
        <w:t>Later source:</w:t>
      </w:r>
      <w:r>
        <w:t xml:space="preserve"> Quantifying the Climate Penalty on Air Quality in Europe – Insights from INSPEnCaT Project — https://doi.org/10.5194/egusphere-egu25-17230</w:t>
      </w:r>
    </w:p>
    <w:p>
      <w:pPr>
        <w:pStyle w:val="SourceNote"/>
      </w:pPr>
      <w:r>
        <w:rPr>
          <w:b/>
        </w:rPr>
        <w:t>Review status:</w:t>
      </w:r>
      <w:r>
        <w:t xml:space="preserve"> accepted — possible relationship only</w:t>
      </w:r>
    </w:p>
    <w:p>
      <w:pPr>
        <w:pStyle w:val="Heading2"/>
      </w:pPr>
      <w:r>
        <w:t>413.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414.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415. Claim + two later sources: Energy futures as societal futures: Co-evolutionary scenarios linking futures of society and decarbonized energy systems in Switzerland 2050</w:t>
      </w:r>
    </w:p>
    <w:p>
      <w:pPr>
        <w:pStyle w:val="SourceNote"/>
      </w:pPr>
      <w:r>
        <w:rPr>
          <w:b/>
        </w:rPr>
        <w:t>Group ID:</w:t>
      </w:r>
      <w:r>
        <w:t xml:space="preserve"> group-130a7efbce1a7f028bf0</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How Global Peacebuilders Think: Policy Dialogue and System Change — https://openalex.org/W7139576235</w:t>
      </w:r>
    </w:p>
    <w:p>
      <w:pPr/>
      <w:r>
        <w:rPr>
          <w:b/>
        </w:rPr>
        <w:t>Later source:</w:t>
      </w:r>
      <w:r>
        <w:t xml:space="preserve"> Polyendocrine metabolic ovarian syndrome, the new name for polycystic ovary syndrome: a multistep global consensus process — https://doi.org/10.1016/s0140-6736(26)00717-8</w:t>
      </w:r>
    </w:p>
    <w:p>
      <w:pPr>
        <w:pStyle w:val="SourceNote"/>
      </w:pPr>
      <w:r>
        <w:rPr>
          <w:b/>
        </w:rPr>
        <w:t>Review status:</w:t>
      </w:r>
      <w:r>
        <w:t xml:space="preserve"> unchecked — possible relationship only</w:t>
      </w:r>
    </w:p>
    <w:p>
      <w:pPr>
        <w:pStyle w:val="Heading2"/>
      </w:pPr>
      <w:r>
        <w:t>416. Claim + two later sources: Imaginary scenarios: Literature and Democracy in Europe</w:t>
      </w:r>
    </w:p>
    <w:p>
      <w:pPr>
        <w:pStyle w:val="SourceNote"/>
      </w:pPr>
      <w:r>
        <w:rPr>
          <w:b/>
        </w:rPr>
        <w:t>Group ID:</w:t>
      </w:r>
      <w:r>
        <w:t xml:space="preserve"> group-5d48382378517574f6e8</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Towards the imaginary of collective prosperity in the European Union (EU): reorienting the corporation — https://doi.org/10.1017/elo.2023.5</w:t>
      </w:r>
    </w:p>
    <w:p>
      <w:pPr>
        <w:pStyle w:val="SourceNote"/>
      </w:pPr>
      <w:r>
        <w:rPr>
          <w:b/>
        </w:rPr>
        <w:t>Review status:</w:t>
      </w:r>
      <w:r>
        <w:t xml:space="preserve"> unchecked — possible relationship only</w:t>
      </w:r>
    </w:p>
    <w:p>
      <w:pPr>
        <w:pStyle w:val="Heading2"/>
      </w:pPr>
      <w:r>
        <w:t>417.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418. Claim + two later sources: The Boundaries of Scientific Innovation in the EU Green Deal Context</w:t>
      </w:r>
    </w:p>
    <w:p>
      <w:pPr>
        <w:pStyle w:val="SourceNote"/>
      </w:pPr>
      <w:r>
        <w:rPr>
          <w:b/>
        </w:rPr>
        <w:t>Group ID:</w:t>
      </w:r>
      <w:r>
        <w:t xml:space="preserve"> group-cf147d869d2b5a3fe0f7</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European Union as a Political Hybrid — https://doi.org/10.1017/9781009682633.004</w:t>
      </w:r>
    </w:p>
    <w:p>
      <w:pPr/>
      <w:r>
        <w:rPr>
          <w:b/>
        </w:rPr>
        <w:t>Later source:</w:t>
      </w:r>
      <w:r>
        <w:t xml:space="preserve"> The Role of the Czech Republic in Redefining Central European Identity within the European Union — https://doi.org/10.36690/2674-5216-2026-1-54-66</w:t>
      </w:r>
    </w:p>
    <w:p>
      <w:pPr>
        <w:pStyle w:val="SourceNote"/>
      </w:pPr>
      <w:r>
        <w:rPr>
          <w:b/>
        </w:rPr>
        <w:t>Review status:</w:t>
      </w:r>
      <w:r>
        <w:t xml:space="preserve"> unchecked — possible relationship only</w:t>
      </w:r>
    </w:p>
    <w:p>
      <w:pPr>
        <w:pStyle w:val="Heading2"/>
      </w:pPr>
      <w:r>
        <w:t>419. Claim + two later sources: Neglected futures. Considering overlooked poverty in Europe</w:t>
      </w:r>
    </w:p>
    <w:p>
      <w:pPr>
        <w:pStyle w:val="SourceNote"/>
      </w:pPr>
      <w:r>
        <w:rPr>
          <w:b/>
        </w:rPr>
        <w:t>Group ID:</w:t>
      </w:r>
      <w:r>
        <w:t xml:space="preserve"> group-1026398ec9f659c7ea60</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Metropolitan Spatial Planning for Functional Urban Areas in Europe — https://openalex.org/W7133591946</w:t>
      </w:r>
    </w:p>
    <w:p>
      <w:pPr/>
      <w:r>
        <w:rPr>
          <w:b/>
        </w:rPr>
        <w:t>Later source:</w:t>
      </w:r>
      <w:r>
        <w:t xml:space="preserve"> An Analysis of the Municipal Waste Management of Romania and Bulgaria in the European Context — https://doi.org/10.61801/ouaess.2022.1.21</w:t>
      </w:r>
    </w:p>
    <w:p>
      <w:pPr>
        <w:pStyle w:val="SourceNote"/>
      </w:pPr>
      <w:r>
        <w:rPr>
          <w:b/>
        </w:rPr>
        <w:t>Review status:</w:t>
      </w:r>
      <w:r>
        <w:t xml:space="preserve"> unchecked — possible relationship only</w:t>
      </w:r>
    </w:p>
    <w:p>
      <w:pPr>
        <w:pStyle w:val="Heading2"/>
      </w:pPr>
      <w:r>
        <w:t>420. Claim + two later sources: EUHFORIA: European heliospheric forecasting information asset</w:t>
      </w:r>
    </w:p>
    <w:p>
      <w:pPr>
        <w:pStyle w:val="SourceNote"/>
      </w:pPr>
      <w:r>
        <w:rPr>
          <w:b/>
        </w:rPr>
        <w:t>Group ID:</w:t>
      </w:r>
      <w:r>
        <w:t xml:space="preserve"> group-1824e83fc6937554345e</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THE ROLE OF MODERN TECHNOLOGIES IN IMPLEMENTING THE EUROPEAN GREEN DEAL STRATEGY — https://doi.org/10.51895/vss3/dahl/strzala/marton-gados</w:t>
      </w:r>
    </w:p>
    <w:p>
      <w:pPr/>
      <w:r>
        <w:rPr>
          <w:b/>
        </w:rPr>
        <w:t>Later source:</w:t>
      </w:r>
      <w:r>
        <w:t xml:space="preserve"> 7.L. Workshop: New roles and innovative skill-mix in nursing across Europe: trends and lessons for implementation — https://doi.org/10.1093/eurpub/ckac129.446</w:t>
      </w:r>
    </w:p>
    <w:p>
      <w:pPr>
        <w:pStyle w:val="SourceNote"/>
      </w:pPr>
      <w:r>
        <w:rPr>
          <w:b/>
        </w:rPr>
        <w:t>Review status:</w:t>
      </w:r>
      <w:r>
        <w:t xml:space="preserve"> unchecked — possible relationship only</w:t>
      </w:r>
    </w:p>
    <w:p>
      <w:pPr>
        <w:pStyle w:val="Heading2"/>
      </w:pPr>
      <w:r>
        <w:t>421.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422. Claim + two later sources: Potential implications of future climate and land‐cover changes for the fate and distribution of persistent organic pollutants in Europe</w:t>
      </w:r>
    </w:p>
    <w:p>
      <w:pPr>
        <w:pStyle w:val="SourceNote"/>
      </w:pPr>
      <w:r>
        <w:rPr>
          <w:b/>
        </w:rPr>
        <w:t>Group ID:</w:t>
      </w:r>
      <w:r>
        <w:t xml:space="preserve"> group-4fbe733ac1d39373c566</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European land use and land cover futures: a global computable general equilibrium assessment with sub-national detail and a climate application — https://doi.org/10.48565/bonndoc-923</w:t>
      </w:r>
    </w:p>
    <w:p>
      <w:pPr/>
      <w:r>
        <w:rPr>
          <w:b/>
        </w:rPr>
        <w:t>Later source:</w:t>
      </w:r>
      <w:r>
        <w:t xml:space="preserve"> Climate Change Threatens Micronutrient Density of European Winter Wheat (Adv. Sci. 42/2026) — https://doi.org/10.1002/advs.76543</w:t>
      </w:r>
    </w:p>
    <w:p>
      <w:pPr>
        <w:pStyle w:val="SourceNote"/>
      </w:pPr>
      <w:r>
        <w:rPr>
          <w:b/>
        </w:rPr>
        <w:t>Review status:</w:t>
      </w:r>
      <w:r>
        <w:t xml:space="preserve"> unchecked — possible relationship only</w:t>
      </w:r>
    </w:p>
    <w:p>
      <w:pPr>
        <w:pStyle w:val="Heading2"/>
      </w:pPr>
      <w:r>
        <w:t>423.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424.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425. Claim + two later sources: Application of the UK Foresight Obesity Model in Ireland: The Health and Economic Consequences of Projected Obesity Trends in Ireland</w:t>
      </w:r>
    </w:p>
    <w:p>
      <w:pPr>
        <w:pStyle w:val="SourceNote"/>
      </w:pPr>
      <w:r>
        <w:rPr>
          <w:b/>
        </w:rPr>
        <w:t>Group ID:</w:t>
      </w:r>
      <w:r>
        <w:t xml:space="preserve"> group-e9688d7200232d17476a</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Artificial Intelligence in European Healthcare — https://doi.org/10.1553/easac-feam_report_ai-in-healthcare_2026</w:t>
      </w:r>
    </w:p>
    <w:p>
      <w:pPr>
        <w:pStyle w:val="SourceNote"/>
      </w:pPr>
      <w:r>
        <w:rPr>
          <w:b/>
        </w:rPr>
        <w:t>Review status:</w:t>
      </w:r>
      <w:r>
        <w:t xml:space="preserve"> unchecked — possible relationship only</w:t>
      </w:r>
    </w:p>
    <w:p>
      <w:pPr>
        <w:pStyle w:val="Heading2"/>
      </w:pPr>
      <w:r>
        <w:t>426.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427. Claim + two later sources: When will European Muslim population be majority and in which country?</w:t>
      </w:r>
    </w:p>
    <w:p>
      <w:pPr>
        <w:pStyle w:val="SourceNote"/>
      </w:pPr>
      <w:r>
        <w:rPr>
          <w:b/>
        </w:rPr>
        <w:t>Group ID:</w:t>
      </w:r>
      <w:r>
        <w:t xml:space="preserve"> group-3bd01591f3f0438983d9</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Barriers and facilitators to healthcare access among Sub-Saharan African migrants in Europe: A scoping review — https://doi.org/10.1371/journal.pone.0351011</w:t>
      </w:r>
    </w:p>
    <w:p>
      <w:pPr>
        <w:pStyle w:val="SourceNote"/>
      </w:pPr>
      <w:r>
        <w:rPr>
          <w:b/>
        </w:rPr>
        <w:t>Review status:</w:t>
      </w:r>
      <w:r>
        <w:t xml:space="preserve"> unchecked — possible relationship only</w:t>
      </w:r>
    </w:p>
    <w:p>
      <w:pPr>
        <w:pStyle w:val="Heading2"/>
      </w:pPr>
      <w:r>
        <w:t>428. Claim + two later sources: Future life expectancy in 35 industrialised countries: projections with a Bayesian model ensemble</w:t>
      </w:r>
    </w:p>
    <w:p>
      <w:pPr>
        <w:pStyle w:val="SourceNote"/>
      </w:pPr>
      <w:r>
        <w:rPr>
          <w:b/>
        </w:rPr>
        <w:t>Group ID:</w:t>
      </w:r>
      <w:r>
        <w:t xml:space="preserve"> group-33f1fa44812cbe27a8cd</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Remote work, Job Quality and Work-life Balance: A Comparative Study of European Men and Women — https://doi.org/10.34190/icgr.8.1.3317</w:t>
      </w:r>
    </w:p>
    <w:p>
      <w:pPr/>
      <w:r>
        <w:rPr>
          <w:b/>
        </w:rPr>
        <w:t>Later source:</w:t>
      </w:r>
      <w:r>
        <w:t xml:space="preserve"> Inequalities in regional excess mortality and life expectancy during the COVID-19 pandemic in Europe — https://doi.org/10.1038/s41598-024-54366-5</w:t>
      </w:r>
    </w:p>
    <w:p>
      <w:pPr>
        <w:pStyle w:val="SourceNote"/>
      </w:pPr>
      <w:r>
        <w:rPr>
          <w:b/>
        </w:rPr>
        <w:t>Review status:</w:t>
      </w:r>
      <w:r>
        <w:t xml:space="preserve"> unchecked — possible relationship only</w:t>
      </w:r>
    </w:p>
    <w:p>
      <w:pPr>
        <w:pStyle w:val="Heading2"/>
      </w:pPr>
      <w:r>
        <w:t>429. Claim + two later sources: The Role of BECCS in Achieving Climate Neutrality in the European Union</w:t>
      </w:r>
    </w:p>
    <w:p>
      <w:pPr>
        <w:pStyle w:val="SourceNote"/>
      </w:pPr>
      <w:r>
        <w:rPr>
          <w:b/>
        </w:rPr>
        <w:t>Group ID:</w:t>
      </w:r>
      <w:r>
        <w:t xml:space="preserve"> group-dd2646817019a4e0e07b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Strategizing for Climate Neutrality. How to Make Social Innovation Relevant in the City’s Journey to Climate Neutrality — https://doi.org/10.1007/978-3-031-87726-1_3</w:t>
      </w:r>
    </w:p>
    <w:p>
      <w:pPr/>
      <w:r>
        <w:rPr>
          <w:b/>
        </w:rPr>
        <w:t>Later source:</w:t>
      </w:r>
      <w:r>
        <w:t xml:space="preserve"> Female Directors, Family Firms, Climate Talk and Climate Walk: European Evidence — https://doi.org/10.1002/bse.4348</w:t>
      </w:r>
    </w:p>
    <w:p>
      <w:pPr>
        <w:pStyle w:val="SourceNote"/>
      </w:pPr>
      <w:r>
        <w:rPr>
          <w:b/>
        </w:rPr>
        <w:t>Review status:</w:t>
      </w:r>
      <w:r>
        <w:t xml:space="preserve"> unchecked — possible relationship only</w:t>
      </w:r>
    </w:p>
    <w:p>
      <w:pPr>
        <w:pStyle w:val="Heading2"/>
      </w:pPr>
      <w:r>
        <w:t>430. Claim + two later sources: Ecosystem service provision in a changing Europe: adapting to the impacts of combined climate and socio-economic change</w:t>
      </w:r>
    </w:p>
    <w:p>
      <w:pPr>
        <w:pStyle w:val="SourceNote"/>
      </w:pPr>
      <w:r>
        <w:rPr>
          <w:b/>
        </w:rPr>
        <w:t>Group ID:</w:t>
      </w:r>
      <w:r>
        <w:t xml:space="preserve"> group-48740baad27d35b2a7ad</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Opportunities to integrate climate change adaptation and mitigation across strategic, adaptive and transformative pathways — https://doi.org/10.31223/x5wf4g</w:t>
      </w:r>
    </w:p>
    <w:p>
      <w:pPr>
        <w:pStyle w:val="SourceNote"/>
      </w:pPr>
      <w:r>
        <w:rPr>
          <w:b/>
        </w:rPr>
        <w:t>Review status:</w:t>
      </w:r>
      <w:r>
        <w:t xml:space="preserve"> unchecked — possible relationship only</w:t>
      </w:r>
    </w:p>
    <w:p>
      <w:pPr>
        <w:pStyle w:val="Heading2"/>
      </w:pPr>
      <w:r>
        <w:t>431.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432. Claim + two later sources: Future mobility in an ageing society – Where are we heading?</w:t>
      </w:r>
    </w:p>
    <w:p>
      <w:pPr>
        <w:pStyle w:val="SourceNote"/>
      </w:pPr>
      <w:r>
        <w:rPr>
          <w:b/>
        </w:rPr>
        <w:t>Group ID:</w:t>
      </w:r>
      <w:r>
        <w:t xml:space="preserve"> group-c58d04539fa026d98502</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If exercise is medicine, where is the dose? A call to improve reporting and monitoring of exercise interventions in fibromyalgia research — https://doi.org/10.3389/fspor.2026.1777261</w:t>
      </w:r>
    </w:p>
    <w:p>
      <w:pPr/>
      <w:r>
        <w:rPr>
          <w:b/>
        </w:rPr>
        <w:t>Later source:</w:t>
      </w:r>
      <w:r>
        <w:t xml:space="preserve"> Exploring the different facets of stigma relating to family planning among couples in Northern Ghana — https://doi.org/10.1186/s12982-026-02287-1</w:t>
      </w:r>
    </w:p>
    <w:p>
      <w:pPr>
        <w:pStyle w:val="SourceNote"/>
      </w:pPr>
      <w:r>
        <w:rPr>
          <w:b/>
        </w:rPr>
        <w:t>Review status:</w:t>
      </w:r>
      <w:r>
        <w:t xml:space="preserve"> unchecked — possible relationship only</w:t>
      </w:r>
    </w:p>
    <w:p>
      <w:pPr>
        <w:pStyle w:val="Heading2"/>
      </w:pPr>
      <w:r>
        <w:t>433. Claim + two later sources: Long‐term trends of Nordic power market: A review</w:t>
      </w:r>
    </w:p>
    <w:p>
      <w:pPr>
        <w:pStyle w:val="SourceNote"/>
      </w:pPr>
      <w:r>
        <w:rPr>
          <w:b/>
        </w:rPr>
        <w:t>Group ID:</w:t>
      </w:r>
      <w:r>
        <w:t xml:space="preserve"> group-41223c55728dbf2ce4d0</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HTA and Ethical Impact Assessment―Preliminary Perspectives — https://doi.org/10.1007/978-3-032-28812-7_14</w:t>
      </w:r>
    </w:p>
    <w:p>
      <w:pPr>
        <w:pStyle w:val="SourceNote"/>
      </w:pPr>
      <w:r>
        <w:rPr>
          <w:b/>
        </w:rPr>
        <w:t>Review status:</w:t>
      </w:r>
      <w:r>
        <w:t xml:space="preserve"> unchecked — possible relationship only</w:t>
      </w:r>
    </w:p>
    <w:p>
      <w:pPr>
        <w:pStyle w:val="Heading2"/>
      </w:pPr>
      <w:r>
        <w:t>434. Claim + two later sources: The Economic Impact of Investment in Renewables in Croatia by 2030</w:t>
      </w:r>
    </w:p>
    <w:p>
      <w:pPr>
        <w:pStyle w:val="SourceNote"/>
      </w:pPr>
      <w:r>
        <w:rPr>
          <w:b/>
        </w:rPr>
        <w:t>Group ID:</w:t>
      </w:r>
      <w:r>
        <w:t xml:space="preserve"> group-01799b22a54a0fef6440</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Balancing strategies of small states: The case of the Republic of Serbia and the issue of Kosovo and Metohija — https://doi.org/10.5937/bastina36-66586</w:t>
      </w:r>
    </w:p>
    <w:p>
      <w:pPr/>
      <w:r>
        <w:rPr>
          <w:b/>
        </w:rPr>
        <w:t>Later source:</w:t>
      </w:r>
      <w:r>
        <w:t xml:space="preserve"> THE HUSSITE MOVEMENT IN THE CZECH REPUBLIC — https://doi.org/10.31470/2786-8583-2024-4-105-110</w:t>
      </w:r>
    </w:p>
    <w:p>
      <w:pPr>
        <w:pStyle w:val="SourceNote"/>
      </w:pPr>
      <w:r>
        <w:rPr>
          <w:b/>
        </w:rPr>
        <w:t>Review status:</w:t>
      </w:r>
      <w:r>
        <w:t xml:space="preserve"> unchecked — possible relationship only</w:t>
      </w:r>
    </w:p>
    <w:p>
      <w:pPr>
        <w:pStyle w:val="Heading2"/>
      </w:pPr>
      <w:r>
        <w:t>435.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436.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group-af3ce8430a6c60939e51</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Strategic Foresight for FinTech Governance: A Scenario-Based MCDA Approach for Kuwait — https://doi.org/10.3390/fintech5010008</w:t>
      </w:r>
    </w:p>
    <w:p>
      <w:pPr>
        <w:pStyle w:val="SourceNote"/>
      </w:pPr>
      <w:r>
        <w:rPr>
          <w:b/>
        </w:rPr>
        <w:t>Review status:</w:t>
      </w:r>
      <w:r>
        <w:t xml:space="preserve"> unchecked — possible relationship only</w:t>
      </w:r>
    </w:p>
    <w:p>
      <w:pPr>
        <w:pStyle w:val="Heading2"/>
      </w:pPr>
      <w:r>
        <w:t>437.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438. Claim + two later sources: The role of transmission and energy storage in European decarbonization towards 2050</w:t>
      </w:r>
    </w:p>
    <w:p>
      <w:pPr>
        <w:pStyle w:val="SourceNote"/>
      </w:pPr>
      <w:r>
        <w:rPr>
          <w:b/>
        </w:rPr>
        <w:t>Group ID:</w:t>
      </w:r>
      <w:r>
        <w:t xml:space="preserve"> group-a2e2c7c7a4355169c3e9</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Bidding Aggregated Flexibility in European Electricity Auctions — https://doi.org/10.1109/tempr.2026.3714683</w:t>
      </w:r>
    </w:p>
    <w:p>
      <w:pPr/>
      <w:r>
        <w:rPr>
          <w:b/>
        </w:rPr>
        <w:t>Later source:</w:t>
      </w:r>
      <w:r>
        <w:t xml:space="preserve"> The electricity system value of the local acceptance of onshore wind in Europe — https://openalex.org/W7148177161</w:t>
      </w:r>
    </w:p>
    <w:p>
      <w:pPr>
        <w:pStyle w:val="SourceNote"/>
      </w:pPr>
      <w:r>
        <w:rPr>
          <w:b/>
        </w:rPr>
        <w:t>Review status:</w:t>
      </w:r>
      <w:r>
        <w:t xml:space="preserve"> unchecked — possible relationship only</w:t>
      </w:r>
    </w:p>
    <w:p>
      <w:pPr>
        <w:pStyle w:val="Heading2"/>
      </w:pPr>
      <w:r>
        <w:t>439. Claim + two later sources: Strategies for emerging research and innovation futures</w:t>
      </w:r>
    </w:p>
    <w:p>
      <w:pPr>
        <w:pStyle w:val="SourceNote"/>
      </w:pPr>
      <w:r>
        <w:rPr>
          <w:b/>
        </w:rPr>
        <w:t>Group ID:</w:t>
      </w:r>
      <w:r>
        <w:t xml:space="preserve"> group-682b93d89c2590762291</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Summary report - Multisite-light dosimetry data set — https://doi.org/10.5281/zenodo.21238932</w:t>
      </w:r>
    </w:p>
    <w:p>
      <w:pPr/>
      <w:r>
        <w:rPr>
          <w:b/>
        </w:rPr>
        <w:t>Later source:</w:t>
      </w:r>
      <w:r>
        <w:t xml:space="preserve"> Communicating options for advanced breast cancer support and treatment (COAST): Developing a decision support tool. — https://doi.org/10.1200/op.2026.22.10_suppl.682</w:t>
      </w:r>
    </w:p>
    <w:p>
      <w:pPr>
        <w:pStyle w:val="SourceNote"/>
      </w:pPr>
      <w:r>
        <w:rPr>
          <w:b/>
        </w:rPr>
        <w:t>Review status:</w:t>
      </w:r>
      <w:r>
        <w:t xml:space="preserve"> unchecked — possible relationship only</w:t>
      </w:r>
    </w:p>
    <w:p>
      <w:pPr>
        <w:pStyle w:val="Heading2"/>
      </w:pPr>
      <w:r>
        <w:t>440. Claim + two later sources: Consistent economic cross-sectoral climate change impact scenario analysis: Method and application to Austria</w:t>
      </w:r>
    </w:p>
    <w:p>
      <w:pPr>
        <w:pStyle w:val="SourceNote"/>
      </w:pPr>
      <w:r>
        <w:rPr>
          <w:b/>
        </w:rPr>
        <w:t>Group ID:</w:t>
      </w:r>
      <w:r>
        <w:t xml:space="preserve"> group-877b2f643963e1235924</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In temperate Europe, fire is already here: The case of The Netherlands — https://doi.org/10.1007/s13280-023-01960-y</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441. Claim + two later sources: POPULATION FORECAST WITH THE DATA PROCESSING GROUP METHOD (GMDH) type NEURAL NETWORK FOR EUROPEAN UNION COUNTRIES</w:t>
      </w:r>
    </w:p>
    <w:p>
      <w:pPr>
        <w:pStyle w:val="SourceNote"/>
      </w:pPr>
      <w:r>
        <w:rPr>
          <w:b/>
        </w:rPr>
        <w:t>Group ID:</w:t>
      </w:r>
      <w:r>
        <w:t xml:space="preserve"> group-ebcf2a393e2565719d73</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A database of eels and their freshwater habitats in southwestern Europe — https://doi.org/10.1038/s41597-026-07213-3</w:t>
      </w:r>
    </w:p>
    <w:p>
      <w:pPr/>
      <w:r>
        <w:rPr>
          <w:b/>
        </w:rPr>
        <w:t>Later source:</w:t>
      </w:r>
      <w:r>
        <w:t xml:space="preserve"> State-owned Banks and Profitability in Central and Eastern Europe: Testing the State-owned Banks Advantage Hypothesis — https://doi.org/10.18778/1508-2008.29.14</w:t>
      </w:r>
    </w:p>
    <w:p>
      <w:pPr>
        <w:pStyle w:val="SourceNote"/>
      </w:pPr>
      <w:r>
        <w:rPr>
          <w:b/>
        </w:rPr>
        <w:t>Review status:</w:t>
      </w:r>
      <w:r>
        <w:t xml:space="preserve"> unchecked — possible relationship only</w:t>
      </w:r>
    </w:p>
    <w:p>
      <w:pPr>
        <w:pStyle w:val="Heading2"/>
      </w:pPr>
      <w:r>
        <w:t>442.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group-0884b37696957a391561</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Key сhallenges of EU environmental law arising from the European Green Deal — https://doi.org/10.24144/2307-3322.2026.94.2.29</w:t>
      </w:r>
    </w:p>
    <w:p>
      <w:pPr>
        <w:pStyle w:val="SourceNote"/>
      </w:pPr>
      <w:r>
        <w:rPr>
          <w:b/>
        </w:rPr>
        <w:t>Review status:</w:t>
      </w:r>
      <w:r>
        <w:t xml:space="preserve"> unchecked — possible relationship only</w:t>
      </w:r>
    </w:p>
    <w:p>
      <w:pPr>
        <w:pStyle w:val="Heading2"/>
      </w:pPr>
      <w:r>
        <w:t>443. Claim + two later sources: The future of polarisation in Europe: relative cosmopolitanism and democracy</w:t>
      </w:r>
    </w:p>
    <w:p>
      <w:pPr>
        <w:pStyle w:val="SourceNote"/>
      </w:pPr>
      <w:r>
        <w:rPr>
          <w:b/>
        </w:rPr>
        <w:t>Group ID:</w:t>
      </w:r>
      <w:r>
        <w:t xml:space="preserve"> group-876be0e44f4a9d4bf4a1</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Martyrdom and Patience of Saint Eustathius of Mtskheta / Translation from Old Georgian, Introductory Article and Commentaries by N. Nazarov — https://doi.org/10.15407/orientw2026.03.109</w:t>
      </w:r>
    </w:p>
    <w:p>
      <w:pPr/>
      <w:r>
        <w:rPr>
          <w:b/>
        </w:rPr>
        <w:t>Later source:</w:t>
      </w:r>
      <w:r>
        <w:t xml:space="preserve"> Polarisation beyond the Pandemic? — https://doi.org/10.17570/stj.2024.v10n1.18</w:t>
      </w:r>
    </w:p>
    <w:p>
      <w:pPr>
        <w:pStyle w:val="SourceNote"/>
      </w:pPr>
      <w:r>
        <w:rPr>
          <w:b/>
        </w:rPr>
        <w:t>Review status:</w:t>
      </w:r>
      <w:r>
        <w:t xml:space="preserve"> unchecked — possible relationship only</w:t>
      </w:r>
    </w:p>
    <w:p>
      <w:pPr>
        <w:pStyle w:val="Heading2"/>
      </w:pPr>
      <w:r>
        <w:t>444.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445. Claim + two later sources: Delphi Prospection on Additive Manufacturing in 2030: Implications for Education and Employment in Spain</w:t>
      </w:r>
    </w:p>
    <w:p>
      <w:pPr>
        <w:pStyle w:val="SourceNote"/>
      </w:pPr>
      <w:r>
        <w:rPr>
          <w:b/>
        </w:rPr>
        <w:t>Group ID:</w:t>
      </w:r>
      <w:r>
        <w:t xml:space="preserve"> group-199d430037c3a4011789</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Spain — https://doi.org/10.4324/9780429263736-8</w:t>
      </w:r>
    </w:p>
    <w:p>
      <w:pPr/>
      <w:r>
        <w:rPr>
          <w:b/>
        </w:rPr>
        <w:t>Later source:</w:t>
      </w:r>
      <w:r>
        <w:t xml:space="preserve"> EUROPEAN LONGITUDE PRIZES. I: LONGITUDE DETERMINATION IN THE SPANISH EMPIRE — https://doi.org/10.3724/sp.j.1440-2807.2020.03.03</w:t>
      </w:r>
    </w:p>
    <w:p>
      <w:pPr>
        <w:pStyle w:val="SourceNote"/>
      </w:pPr>
      <w:r>
        <w:rPr>
          <w:b/>
        </w:rPr>
        <w:t>Review status:</w:t>
      </w:r>
      <w:r>
        <w:t xml:space="preserve"> unchecked — possible relationship only</w:t>
      </w:r>
    </w:p>
    <w:p>
      <w:pPr>
        <w:pStyle w:val="Heading2"/>
      </w:pPr>
      <w:r>
        <w:t>446. Claim + two later sources: Suitability of European climate for the Asian tiger mosquito Aedes albopictus : recent trends and future scenarios</w:t>
      </w:r>
    </w:p>
    <w:p>
      <w:pPr>
        <w:pStyle w:val="SourceNote"/>
      </w:pPr>
      <w:r>
        <w:rPr>
          <w:b/>
        </w:rPr>
        <w:t>Group ID:</w:t>
      </w:r>
      <w:r>
        <w:t xml:space="preserve"> group-a7a0652c0d25bf8bee29</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Trends in relative and absolute mobility of homeownership in Europe — https://doi.org/10.31219/osf.io/zdu2n_v1</w:t>
      </w:r>
    </w:p>
    <w:p>
      <w:pPr/>
      <w:r>
        <w:rPr>
          <w:b/>
        </w:rPr>
        <w:t>Later source:</w:t>
      </w:r>
      <w:r>
        <w:t xml:space="preserve"> #148 Impact of targeted screening in high-risk individuals and guideline-directed medical therapy on CKD burden in Europe: projections from IMPACT CKD — https://doi.org/10.1093/ndt/gfaf116.047</w:t>
      </w:r>
    </w:p>
    <w:p>
      <w:pPr>
        <w:pStyle w:val="SourceNote"/>
      </w:pPr>
      <w:r>
        <w:rPr>
          <w:b/>
        </w:rPr>
        <w:t>Review status:</w:t>
      </w:r>
      <w:r>
        <w:t xml:space="preserve"> unchecked — possible relationship only</w:t>
      </w:r>
    </w:p>
    <w:p>
      <w:pPr>
        <w:pStyle w:val="Heading2"/>
      </w:pPr>
      <w:r>
        <w:t>447. Claim + two later sources: OPERATIONAL EARTHQUAKE FORECASTING. State of Knowledge and Guidelines for Utilization</w:t>
      </w:r>
    </w:p>
    <w:p>
      <w:pPr>
        <w:pStyle w:val="SourceNote"/>
      </w:pPr>
      <w:r>
        <w:rPr>
          <w:b/>
        </w:rPr>
        <w:t>Group ID:</w:t>
      </w:r>
      <w:r>
        <w:t xml:space="preserve"> group-6e0d7c0b920061692ed3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Albanian Civil Code 1929 as Part of the European Family of Civil Law — https://doi.org/10.33327/ajee-18-6.3-a000307</w:t>
      </w:r>
    </w:p>
    <w:p>
      <w:pPr>
        <w:pStyle w:val="SourceNote"/>
      </w:pPr>
      <w:r>
        <w:rPr>
          <w:b/>
        </w:rPr>
        <w:t>Review status:</w:t>
      </w:r>
      <w:r>
        <w:t xml:space="preserve"> unchecked — possible relationship only</w:t>
      </w:r>
    </w:p>
    <w:p>
      <w:pPr>
        <w:pStyle w:val="Heading2"/>
      </w:pPr>
      <w:r>
        <w:t>448. Claim + two later sources: The European Health Union: European Union’s Concern about Health for All. Concepts, Definition, and Scenarios</w:t>
      </w:r>
    </w:p>
    <w:p>
      <w:pPr>
        <w:pStyle w:val="SourceNote"/>
      </w:pPr>
      <w:r>
        <w:rPr>
          <w:b/>
        </w:rPr>
        <w:t>Group ID:</w:t>
      </w:r>
      <w:r>
        <w:t xml:space="preserve"> group-ef4668774baef94366bf</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Natural Gas Transit from West Africa to Europe (Africa Atlantic Gas Pipeline) to Maximize Energy Security and Transit Revenues by 2050 — https://doi.org/10.62762/jgee.2025.372522</w:t>
      </w:r>
    </w:p>
    <w:p>
      <w:pPr/>
      <w:r>
        <w:rPr>
          <w:b/>
        </w:rPr>
        <w:t>Later source:</w:t>
      </w:r>
      <w:r>
        <w:t xml:space="preserve"> The Process and Effectiveness of Strategic Planning in Higher Education: Evidence From Five European Countries — https://doi.org/10.1111/ejed.70585</w:t>
      </w:r>
    </w:p>
    <w:p>
      <w:pPr>
        <w:pStyle w:val="SourceNote"/>
      </w:pPr>
      <w:r>
        <w:rPr>
          <w:b/>
        </w:rPr>
        <w:t>Review status:</w:t>
      </w:r>
      <w:r>
        <w:t xml:space="preserve"> unchecked — possible relationship only</w:t>
      </w:r>
    </w:p>
    <w:p>
      <w:pPr>
        <w:pStyle w:val="Heading2"/>
      </w:pPr>
      <w:r>
        <w:t>449. Claim + two later sources: Ageing population and labour productivity in Bulgaria</w:t>
      </w:r>
    </w:p>
    <w:p>
      <w:pPr>
        <w:pStyle w:val="SourceNote"/>
      </w:pPr>
      <w:r>
        <w:rPr>
          <w:b/>
        </w:rPr>
        <w:t>Group ID:</w:t>
      </w:r>
      <w:r>
        <w:t xml:space="preserve"> group-5fc5773ec90876c54807</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450. Claim + two later sources: Analysing the potential of integrating wind and solar power in Europe using spatial optimisation under various scenarios</w:t>
      </w:r>
    </w:p>
    <w:p>
      <w:pPr>
        <w:pStyle w:val="SourceNote"/>
      </w:pPr>
      <w:r>
        <w:rPr>
          <w:b/>
        </w:rPr>
        <w:t>Group ID:</w:t>
      </w:r>
      <w:r>
        <w:t xml:space="preserve"> group-ebbb26debb3de9959402</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451. Claim + two later sources: How Sustainable Development Goals interlinkages influence European Union countries’ progress towards the 2030 Agenda</w:t>
      </w:r>
    </w:p>
    <w:p>
      <w:pPr>
        <w:pStyle w:val="SourceNote"/>
      </w:pPr>
      <w:r>
        <w:rPr>
          <w:b/>
        </w:rPr>
        <w:t>Group ID:</w:t>
      </w:r>
      <w:r>
        <w:t xml:space="preserve"> group-4c4707f1e3699a9145a3</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Trade induced extinction risk footprints by European financial institutions — https://doi.org/10.1038/s41598-026-58778-3</w:t>
      </w:r>
    </w:p>
    <w:p>
      <w:pPr/>
      <w:r>
        <w:rPr>
          <w:b/>
        </w:rPr>
        <w:t>Later source:</w:t>
      </w:r>
      <w:r>
        <w:t xml:space="preserve"> The Safe Guardian of Europe : A Critical Discourse Analysis of the European Commission's Geopolitical Actorness and Enlargement Agenda — https://openalex.org/W7212332556</w:t>
      </w:r>
    </w:p>
    <w:p>
      <w:pPr>
        <w:pStyle w:val="SourceNote"/>
      </w:pPr>
      <w:r>
        <w:rPr>
          <w:b/>
        </w:rPr>
        <w:t>Review status:</w:t>
      </w:r>
      <w:r>
        <w:t xml:space="preserve"> unchecked — possible relationship only</w:t>
      </w:r>
    </w:p>
    <w:p>
      <w:pPr>
        <w:pStyle w:val="Heading2"/>
      </w:pPr>
      <w:r>
        <w:t>452. Claim + two later sources: Decoupling transport-related greenhouse gas emissions and economic growth in the European Union countries</w:t>
      </w:r>
    </w:p>
    <w:p>
      <w:pPr>
        <w:pStyle w:val="SourceNote"/>
      </w:pPr>
      <w:r>
        <w:rPr>
          <w:b/>
        </w:rPr>
        <w:t>Group ID:</w:t>
      </w:r>
      <w:r>
        <w:t xml:space="preserve"> group-a7f84774b077d0854a07</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Sustainable Development and Democratic Resilience in the European Union — https://doi.org/10.3390/su18073631</w:t>
      </w:r>
    </w:p>
    <w:p>
      <w:pPr/>
      <w:r>
        <w:rPr>
          <w:b/>
        </w:rPr>
        <w:t>Later source:</w:t>
      </w:r>
      <w:r>
        <w:t xml:space="preserve"> A multi-model analysis of hydrogen uptake in a climate-neutral Europe — https://doi.org/10.1038/s41467-026-78681-9</w:t>
      </w:r>
    </w:p>
    <w:p>
      <w:pPr>
        <w:pStyle w:val="SourceNote"/>
      </w:pPr>
      <w:r>
        <w:rPr>
          <w:b/>
        </w:rPr>
        <w:t>Review status:</w:t>
      </w:r>
      <w:r>
        <w:t xml:space="preserve"> unchecked — possible relationship only</w:t>
      </w:r>
    </w:p>
    <w:p>
      <w:pPr>
        <w:pStyle w:val="Heading2"/>
      </w:pPr>
      <w:r>
        <w:t>453. Claim + two later sources: CROATIAN RURAL FUTURES IN 2030: FOUR ALTERNATIVE SCENARIOS FOR POSTSOCIALIST COUNTRYSIDE IN THE NEWEST E.U. MEMBER STATE</w:t>
      </w:r>
    </w:p>
    <w:p>
      <w:pPr>
        <w:pStyle w:val="SourceNote"/>
      </w:pPr>
      <w:r>
        <w:rPr>
          <w:b/>
        </w:rPr>
        <w:t>Group ID:</w:t>
      </w:r>
      <w:r>
        <w:t xml:space="preserve"> group-f91ad8f879ed17afabc7</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Alternative Investment Funds: Regulation in European Union Law and Prospects for Implementation in Ukraine — https://doi.org/10.31359/1993-0909.2026.33.3.386</w:t>
      </w:r>
    </w:p>
    <w:p>
      <w:pPr>
        <w:pStyle w:val="SourceNote"/>
      </w:pPr>
      <w:r>
        <w:rPr>
          <w:b/>
        </w:rPr>
        <w:t>Review status:</w:t>
      </w:r>
      <w:r>
        <w:t xml:space="preserve"> unchecked — possible relationship only</w:t>
      </w:r>
    </w:p>
    <w:p>
      <w:pPr>
        <w:pStyle w:val="Heading2"/>
      </w:pPr>
      <w:r>
        <w:t>454.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455.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456. Claim + two later sources: Ensemble projections of future streamflow droughts in Europe</w:t>
      </w:r>
    </w:p>
    <w:p>
      <w:pPr>
        <w:pStyle w:val="SourceNote"/>
      </w:pPr>
      <w:r>
        <w:rPr>
          <w:b/>
        </w:rPr>
        <w:t>Group ID:</w:t>
      </w:r>
      <w:r>
        <w:t xml:space="preserve"> group-0bb3329a03b8d946709c</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Ecosystem service trade-offs of upstream afforestation: an integrated hydrological-economic assessment in the Sorraia basin, Portugal — https://doi.org/10.3389/fenvs.2026.1838037</w:t>
      </w:r>
    </w:p>
    <w:p>
      <w:pPr/>
      <w:r>
        <w:rPr>
          <w:b/>
        </w:rPr>
        <w:t>Later source:</w:t>
      </w:r>
      <w:r>
        <w:t xml:space="preserve"> Coupling a power system model with a hydrological model improves the representation of sub-monthly hydropower flexibility — https://doi.org/10.1016/j.apenergy.2025.126694</w:t>
      </w:r>
    </w:p>
    <w:p>
      <w:pPr>
        <w:pStyle w:val="SourceNote"/>
      </w:pPr>
      <w:r>
        <w:rPr>
          <w:b/>
        </w:rPr>
        <w:t>Review status:</w:t>
      </w:r>
      <w:r>
        <w:t xml:space="preserve"> unchecked — possible relationship only</w:t>
      </w:r>
    </w:p>
    <w:p>
      <w:pPr>
        <w:pStyle w:val="Heading2"/>
      </w:pPr>
      <w:r>
        <w:t>457. Claim + two later sources: Improving the use of crop models for risk assessment and climate change adaptation</w:t>
      </w:r>
    </w:p>
    <w:p>
      <w:pPr>
        <w:pStyle w:val="SourceNote"/>
      </w:pPr>
      <w:r>
        <w:rPr>
          <w:b/>
        </w:rPr>
        <w:t>Group ID:</w:t>
      </w:r>
      <w:r>
        <w:t xml:space="preserve"> group-2d29d4c3b276208156d3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Terrestrial Carbon Dynamics through 2100: Projections with OSCAR Highlighting Climate and Land Management Impacts — https://doi.org/10.5194/egusphere-egu25-7385</w:t>
      </w:r>
    </w:p>
    <w:p>
      <w:pPr/>
      <w:r>
        <w:rPr>
          <w:b/>
        </w:rPr>
        <w:t>Later source:</w:t>
      </w:r>
      <w:r>
        <w:t xml:space="preserve"> Plastic and Reconstructive Surgery Highlights: Plastic Surgery Focus — https://doi.org/10.1097/prs.0000000000012139</w:t>
      </w:r>
    </w:p>
    <w:p>
      <w:pPr>
        <w:pStyle w:val="SourceNote"/>
      </w:pPr>
      <w:r>
        <w:rPr>
          <w:b/>
        </w:rPr>
        <w:t>Review status:</w:t>
      </w:r>
      <w:r>
        <w:t xml:space="preserve"> unchecked — possible relationship only</w:t>
      </w:r>
    </w:p>
    <w:p>
      <w:pPr>
        <w:pStyle w:val="Heading2"/>
      </w:pPr>
      <w:r>
        <w:t>458.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459. Claim + two later sources: Analyst earnings forecast revision activity around profit warnings across four European countries</w:t>
      </w:r>
    </w:p>
    <w:p>
      <w:pPr>
        <w:pStyle w:val="SourceNote"/>
      </w:pPr>
      <w:r>
        <w:rPr>
          <w:b/>
        </w:rPr>
        <w:t>Group ID:</w:t>
      </w:r>
      <w:r>
        <w:t xml:space="preserve"> group-336febaec9a94dd10db2</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The effect of ESG disclosure on firm value in the European context — https://doi.org/10.1108/md-10-2024-2480</w:t>
      </w:r>
    </w:p>
    <w:p>
      <w:pPr>
        <w:pStyle w:val="SourceNote"/>
      </w:pPr>
      <w:r>
        <w:rPr>
          <w:b/>
        </w:rPr>
        <w:t>Review status:</w:t>
      </w:r>
      <w:r>
        <w:t xml:space="preserve"> unchecked — possible relationship only</w:t>
      </w:r>
    </w:p>
    <w:p>
      <w:pPr>
        <w:pStyle w:val="Heading2"/>
      </w:pPr>
      <w:r>
        <w:t>460. Claim + two later sources: A multi-model, multi-scenario, and multi-domain analysis of regional climate projections for the Mediterranean</w:t>
      </w:r>
    </w:p>
    <w:p>
      <w:pPr>
        <w:pStyle w:val="SourceNote"/>
      </w:pPr>
      <w:r>
        <w:rPr>
          <w:b/>
        </w:rPr>
        <w:t>Group ID:</w:t>
      </w:r>
      <w:r>
        <w:t xml:space="preserve"> group-60c6246a0b291c15fa3f</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Temporal clusters of extreme events across Europe in a regional multi-scenario/multi-member ensemble — https://doi.org/10.5194/ems2025-464</w:t>
      </w:r>
    </w:p>
    <w:p>
      <w:pPr>
        <w:pStyle w:val="SourceNote"/>
      </w:pPr>
      <w:r>
        <w:rPr>
          <w:b/>
        </w:rPr>
        <w:t>Review status:</w:t>
      </w:r>
      <w:r>
        <w:t xml:space="preserve"> unchecked — possible relationship only</w:t>
      </w:r>
    </w:p>
    <w:p>
      <w:pPr>
        <w:pStyle w:val="Heading2"/>
      </w:pPr>
      <w:r>
        <w:t>461. Claim + two later sources: A comparison of low carbon investment needs between China and Europe in stringent climate policy scenarios</w:t>
      </w:r>
    </w:p>
    <w:p>
      <w:pPr>
        <w:pStyle w:val="SourceNote"/>
      </w:pPr>
      <w:r>
        <w:rPr>
          <w:b/>
        </w:rPr>
        <w:t>Group ID:</w:t>
      </w:r>
      <w:r>
        <w:t xml:space="preserve"> group-e20c7f363a694045e6c9</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Examining the Philippines’ infrastructure and connectivity cooperation with China and the European Union — https://doi.org/10.1007/s44282-024-00076-2</w:t>
      </w:r>
    </w:p>
    <w:p>
      <w:pPr>
        <w:pStyle w:val="SourceNote"/>
      </w:pPr>
      <w:r>
        <w:rPr>
          <w:b/>
        </w:rPr>
        <w:t>Review status:</w:t>
      </w:r>
      <w:r>
        <w:t xml:space="preserve"> unchecked — possible relationship only</w:t>
      </w:r>
    </w:p>
    <w:p>
      <w:pPr>
        <w:pStyle w:val="Heading2"/>
      </w:pPr>
      <w:r>
        <w:t>462.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463.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possible relationship only</w:t>
      </w:r>
    </w:p>
    <w:p>
      <w:pPr>
        <w:pStyle w:val="Heading2"/>
      </w:pPr>
      <w:r>
        <w:t>464. Claim + two later sources: South East Europe electricity roadmap – modelling energy transition in the electricity sectors</w:t>
      </w:r>
    </w:p>
    <w:p>
      <w:pPr>
        <w:pStyle w:val="SourceNote"/>
      </w:pPr>
      <w:r>
        <w:rPr>
          <w:b/>
        </w:rPr>
        <w:t>Group ID:</w:t>
      </w:r>
      <w:r>
        <w:t xml:space="preserve"> group-3304c3dc3370385bfc98</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Unveiling the environmental impact of earthquakes in Europe — https://doi.org/10.1038/s41467-025-68120-6</w:t>
      </w:r>
    </w:p>
    <w:p>
      <w:pPr/>
      <w:r>
        <w:rPr>
          <w:b/>
        </w:rPr>
        <w:t>Later source:</w:t>
      </w:r>
      <w:r>
        <w:t xml:space="preserve"> Exploring adherence to the International Confederation of Midwives’ Essential Competencies in Europe — https://doi.org/10.18332/ejm/224435</w:t>
      </w:r>
    </w:p>
    <w:p>
      <w:pPr>
        <w:pStyle w:val="SourceNote"/>
      </w:pPr>
      <w:r>
        <w:rPr>
          <w:b/>
        </w:rPr>
        <w:t>Review status:</w:t>
      </w:r>
      <w:r>
        <w:t xml:space="preserve"> unchecked — possible relationship only</w:t>
      </w:r>
    </w:p>
    <w:p>
      <w:pPr>
        <w:pStyle w:val="Heading2"/>
      </w:pPr>
      <w:r>
        <w:t>465. Claim + two later sources: European Scenario Studies on Future In-Stream Nutrient Concentrations</w:t>
      </w:r>
    </w:p>
    <w:p>
      <w:pPr>
        <w:pStyle w:val="SourceNote"/>
      </w:pPr>
      <w:r>
        <w:rPr>
          <w:b/>
        </w:rPr>
        <w:t>Group ID:</w:t>
      </w:r>
      <w:r>
        <w:t xml:space="preserve"> group-551c1a8ad862c974dccc</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Industrial pollutant releases to water in Europe (2010-2024) — https://doi.org/10.2909/898d92dd-b70d-42c1-956f-8e90f78c7952</w:t>
      </w:r>
    </w:p>
    <w:p>
      <w:pPr/>
      <w:r>
        <w:rPr>
          <w:b/>
        </w:rPr>
        <w:t>Later source:</w:t>
      </w:r>
      <w:r>
        <w:t xml:space="preserve"> Industrial pollutant releases to water in Europe (2010-2024) — https://doi.org/10.2909/9f8d7f6c-5c6b-42ee-a684-2d208c088f4a</w:t>
      </w:r>
    </w:p>
    <w:p>
      <w:pPr>
        <w:pStyle w:val="SourceNote"/>
      </w:pPr>
      <w:r>
        <w:rPr>
          <w:b/>
        </w:rPr>
        <w:t>Review status:</w:t>
      </w:r>
      <w:r>
        <w:t xml:space="preserve"> unchecked — possible relationship only</w:t>
      </w:r>
    </w:p>
    <w:p>
      <w:pPr>
        <w:pStyle w:val="Heading2"/>
      </w:pPr>
      <w:r>
        <w:t>466. Claim + two later sources: Imagining the future with citizens: participatory foresight and democratic policy design in Marcoussis, France</w:t>
      </w:r>
    </w:p>
    <w:p>
      <w:pPr>
        <w:pStyle w:val="SourceNote"/>
      </w:pPr>
      <w:r>
        <w:rPr>
          <w:b/>
        </w:rPr>
        <w:t>Group ID:</w:t>
      </w:r>
      <w:r>
        <w:t xml:space="preserve"> group-329c31b7e78dcc1bdac1</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Droughts in South East Europe (SEE): current picture, tendencies and impact — https://doi.org/10.5194/nhess-26-1305-2026</w:t>
      </w:r>
    </w:p>
    <w:p>
      <w:pPr>
        <w:pStyle w:val="SourceNote"/>
      </w:pPr>
      <w:r>
        <w:rPr>
          <w:b/>
        </w:rPr>
        <w:t>Review status:</w:t>
      </w:r>
      <w:r>
        <w:t xml:space="preserve"> unchecked — possible relationship only</w:t>
      </w:r>
    </w:p>
    <w:p>
      <w:pPr>
        <w:pStyle w:val="Heading2"/>
      </w:pPr>
      <w:r>
        <w:t>467. Claim + two later sources: Brexit adds to gloom over long‐term growth prospects</w:t>
      </w:r>
    </w:p>
    <w:p>
      <w:pPr>
        <w:pStyle w:val="SourceNote"/>
      </w:pPr>
      <w:r>
        <w:rPr>
          <w:b/>
        </w:rPr>
        <w:t>Group ID:</w:t>
      </w:r>
      <w:r>
        <w:t xml:space="preserve"> group-6c34cbb66664a4f23fb9</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Accurate medium-range global weather forecasting with 3D neural networks — https://doi.org/10.1038/s41586-023-06185-3</w:t>
      </w:r>
    </w:p>
    <w:p>
      <w:pPr>
        <w:pStyle w:val="SourceNote"/>
      </w:pPr>
      <w:r>
        <w:rPr>
          <w:b/>
        </w:rPr>
        <w:t>Review status:</w:t>
      </w:r>
      <w:r>
        <w:t xml:space="preserve"> unchecked — possible relationship only</w:t>
      </w:r>
    </w:p>
    <w:p>
      <w:pPr>
        <w:pStyle w:val="Heading2"/>
      </w:pPr>
      <w:r>
        <w:t>468.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469. Claim + two later sources: Foresight in Higher Education Institutions: Evidence from Poland</w:t>
      </w:r>
    </w:p>
    <w:p>
      <w:pPr>
        <w:pStyle w:val="SourceNote"/>
      </w:pPr>
      <w:r>
        <w:rPr>
          <w:b/>
        </w:rPr>
        <w:t>Group ID:</w:t>
      </w:r>
      <w:r>
        <w:t xml:space="preserve"> group-98aff3a523d9a0897a3d</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Membership in the Council of Europe Development Bank as a factor of Ukraine’s European integration — https://doi.org/10.24144/2788-6018.2026.03.3.64</w:t>
      </w:r>
    </w:p>
    <w:p>
      <w:pPr>
        <w:pStyle w:val="SourceNote"/>
      </w:pPr>
      <w:r>
        <w:rPr>
          <w:b/>
        </w:rPr>
        <w:t>Review status:</w:t>
      </w:r>
      <w:r>
        <w:t xml:space="preserve"> unchecked — possible relationship only</w:t>
      </w:r>
    </w:p>
    <w:p>
      <w:pPr>
        <w:pStyle w:val="Heading2"/>
      </w:pPr>
      <w:r>
        <w:t>470. Claim + two later sources: The Future of Rural Poland: the Main Trends and Possible Scenarios.</w:t>
      </w:r>
    </w:p>
    <w:p>
      <w:pPr>
        <w:pStyle w:val="SourceNote"/>
      </w:pPr>
      <w:r>
        <w:rPr>
          <w:b/>
        </w:rPr>
        <w:t>Group ID:</w:t>
      </w:r>
      <w:r>
        <w:t xml:space="preserve"> group-c1efc5706d14ab7b6dc8</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Abstracts of the 19th European Congress of Psychology — https://doi.org/10.1024/2673-8627/a000085</w:t>
      </w:r>
    </w:p>
    <w:p>
      <w:pPr>
        <w:pStyle w:val="SourceNote"/>
      </w:pPr>
      <w:r>
        <w:rPr>
          <w:b/>
        </w:rPr>
        <w:t>Review status:</w:t>
      </w:r>
      <w:r>
        <w:t xml:space="preserve"> unchecked — possible relationship only</w:t>
      </w:r>
    </w:p>
    <w:p>
      <w:pPr>
        <w:pStyle w:val="Heading2"/>
      </w:pPr>
      <w:r>
        <w:t>471. Claim + two later sources: Future Projections of Heat Mortality Risk for Major European Cities</w:t>
      </w:r>
    </w:p>
    <w:p>
      <w:pPr>
        <w:pStyle w:val="SourceNote"/>
      </w:pPr>
      <w:r>
        <w:rPr>
          <w:b/>
        </w:rPr>
        <w:t>Group ID:</w:t>
      </w:r>
      <w:r>
        <w:t xml:space="preserve"> group-ba9b6a98dcd8224b1be8</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The impact of heat and cold on mortality and life expectancy in Europe, 2015–2024 — https://doi.org/10.1016/j.ehb.2026.101607</w:t>
      </w:r>
    </w:p>
    <w:p>
      <w:pPr>
        <w:pStyle w:val="SourceNote"/>
      </w:pPr>
      <w:r>
        <w:rPr>
          <w:b/>
        </w:rPr>
        <w:t>Review status:</w:t>
      </w:r>
      <w:r>
        <w:t xml:space="preserve"> unchecked — possible relationship only</w:t>
      </w:r>
    </w:p>
    <w:p>
      <w:pPr>
        <w:pStyle w:val="Heading2"/>
      </w:pPr>
      <w:r>
        <w:t>472.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473.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474.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475. Claim + two later sources: Regional growth and disparities in a post‐COVID Europe: A new normality scenario</w:t>
      </w:r>
    </w:p>
    <w:p>
      <w:pPr>
        <w:pStyle w:val="SourceNote"/>
      </w:pPr>
      <w:r>
        <w:rPr>
          <w:b/>
        </w:rPr>
        <w:t>Group ID:</w:t>
      </w:r>
      <w:r>
        <w:t xml:space="preserve"> group-f38c009e2e0565f3b9c2</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Is the Romanian organic grains value chain able to sustain the European Green Deal targets? — https://doi.org/10.5513/jcea01/26.2.4521</w:t>
      </w:r>
    </w:p>
    <w:p>
      <w:pPr>
        <w:pStyle w:val="SourceNote"/>
      </w:pPr>
      <w:r>
        <w:rPr>
          <w:b/>
        </w:rPr>
        <w:t>Review status:</w:t>
      </w:r>
      <w:r>
        <w:t xml:space="preserve"> unchecked — possible relationship only</w:t>
      </w:r>
    </w:p>
    <w:p>
      <w:pPr>
        <w:pStyle w:val="Heading2"/>
      </w:pPr>
      <w:r>
        <w:t>476. Claim + two later sources: Developing scenarios for the Norwegian travel industry 2025</w:t>
      </w:r>
    </w:p>
    <w:p>
      <w:pPr>
        <w:pStyle w:val="SourceNote"/>
      </w:pPr>
      <w:r>
        <w:rPr>
          <w:b/>
        </w:rPr>
        <w:t>Group ID:</w:t>
      </w:r>
      <w:r>
        <w:t xml:space="preserve"> group-771ec15b0d1fa227ce7e</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Traditional Understanding of Lawmaking by Appellate Courts — https://doi.org/10.1017/9781009589307.003</w:t>
      </w:r>
    </w:p>
    <w:p>
      <w:pPr/>
      <w:r>
        <w:rPr>
          <w:b/>
        </w:rPr>
        <w:t>Later source:</w:t>
      </w:r>
      <w:r>
        <w:t xml:space="preserve"> Education–work transition: skill gaps in the construction industry — https://doi.org/10.3389/fbuil.2025.1623609</w:t>
      </w:r>
    </w:p>
    <w:p>
      <w:pPr>
        <w:pStyle w:val="SourceNote"/>
      </w:pPr>
      <w:r>
        <w:rPr>
          <w:b/>
        </w:rPr>
        <w:t>Review status:</w:t>
      </w:r>
      <w:r>
        <w:t xml:space="preserve"> unchecked — possible relationship only</w:t>
      </w:r>
    </w:p>
    <w:p>
      <w:pPr>
        <w:pStyle w:val="Heading2"/>
      </w:pPr>
      <w:r>
        <w:t>477. Claim + two later sources: Investigating scenario planning – a European tourism perspective</w:t>
      </w:r>
    </w:p>
    <w:p>
      <w:pPr>
        <w:pStyle w:val="SourceNote"/>
      </w:pPr>
      <w:r>
        <w:rPr>
          <w:b/>
        </w:rPr>
        <w:t>Group ID:</w:t>
      </w:r>
      <w:r>
        <w:t xml:space="preserve"> group-05f0c48bd974307ef165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An assessment of the state of conservation planning in Europe — https://doi.org/10.1098/rstb.2023.0015</w:t>
      </w:r>
    </w:p>
    <w:p>
      <w:pPr>
        <w:pStyle w:val="SourceNote"/>
      </w:pPr>
      <w:r>
        <w:rPr>
          <w:b/>
        </w:rPr>
        <w:t>Review status:</w:t>
      </w:r>
      <w:r>
        <w:t xml:space="preserve"> unchecked — possible relationship only</w:t>
      </w:r>
    </w:p>
    <w:p>
      <w:pPr>
        <w:pStyle w:val="Heading2"/>
      </w:pPr>
      <w:r>
        <w:t>478. Claim + two later sources: Integrating field data into individual-based models of the migration of European eel larvae</w:t>
      </w:r>
    </w:p>
    <w:p>
      <w:pPr>
        <w:pStyle w:val="SourceNote"/>
      </w:pPr>
      <w:r>
        <w:rPr>
          <w:b/>
        </w:rPr>
        <w:t>Group ID:</w:t>
      </w:r>
      <w:r>
        <w:t xml:space="preserve"> group-5457a32c4b5fea4dff30</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479. Claim + two later sources: Wild cards in transport</w:t>
      </w:r>
    </w:p>
    <w:p>
      <w:pPr>
        <w:pStyle w:val="SourceNote"/>
      </w:pPr>
      <w:r>
        <w:rPr>
          <w:b/>
        </w:rPr>
        <w:t>Group ID:</w:t>
      </w:r>
      <w:r>
        <w:t xml:space="preserve"> group-e52c676f62e802afe755</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Virome landscape of wild rodents and shrews in Central China — https://doi.org/10.1186/s40168-025-02059-0</w:t>
      </w:r>
    </w:p>
    <w:p>
      <w:pPr>
        <w:pStyle w:val="SourceNote"/>
      </w:pPr>
      <w:r>
        <w:rPr>
          <w:b/>
        </w:rPr>
        <w:t>Review status:</w:t>
      </w:r>
      <w:r>
        <w:t xml:space="preserve"> unchecked — possible relationship only</w:t>
      </w:r>
    </w:p>
    <w:p>
      <w:pPr>
        <w:pStyle w:val="Heading2"/>
      </w:pPr>
      <w:r>
        <w:t>480. Claim + two later sources: Perspective of comprehensive and comprehensible multi-model energy and climate science in Europe</w:t>
      </w:r>
    </w:p>
    <w:p>
      <w:pPr>
        <w:pStyle w:val="SourceNote"/>
      </w:pPr>
      <w:r>
        <w:rPr>
          <w:b/>
        </w:rPr>
        <w:t>Group ID:</w:t>
      </w:r>
      <w:r>
        <w:t xml:space="preserve"> group-0f2dd5c624db2300e84f</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Europe and the Geopolitics of AGI: The Need for a Preparedness Plan — https://doi.org/10.48550/arxiv.2605.13634</w:t>
      </w:r>
    </w:p>
    <w:p>
      <w:pPr/>
      <w:r>
        <w:rPr>
          <w:b/>
        </w:rPr>
        <w:t>Later source:</w:t>
      </w:r>
      <w:r>
        <w:t xml:space="preserve"> Emerging risk of Xylella fastidiosa in Europe under global change — https://doi.org/10.1007/s10530-026-03869-5</w:t>
      </w:r>
    </w:p>
    <w:p>
      <w:pPr>
        <w:pStyle w:val="SourceNote"/>
      </w:pPr>
      <w:r>
        <w:rPr>
          <w:b/>
        </w:rPr>
        <w:t>Review status:</w:t>
      </w:r>
      <w:r>
        <w:t xml:space="preserve"> unchecked — possible relationship only</w:t>
      </w:r>
    </w:p>
    <w:p>
      <w:pPr>
        <w:pStyle w:val="Heading2"/>
      </w:pPr>
      <w:r>
        <w:t>481. Claim + two later sources: Realising transition pathways for a more electric, low-carbon energy system in the United Kingdom: Challenges, insights and opportunities</w:t>
      </w:r>
    </w:p>
    <w:p>
      <w:pPr>
        <w:pStyle w:val="SourceNote"/>
      </w:pPr>
      <w:r>
        <w:rPr>
          <w:b/>
        </w:rPr>
        <w:t>Group ID:</w:t>
      </w:r>
      <w:r>
        <w:t xml:space="preserve"> group-7839ae305465b56bc5b9</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The Law of Treaty Withdrawal in the United Kingdom — https://doi.org/10.4324/9781003712633-7</w:t>
      </w:r>
    </w:p>
    <w:p>
      <w:pPr>
        <w:pStyle w:val="SourceNote"/>
      </w:pPr>
      <w:r>
        <w:rPr>
          <w:b/>
        </w:rPr>
        <w:t>Review status:</w:t>
      </w:r>
      <w:r>
        <w:t xml:space="preserve"> unchecked — possible relationship only</w:t>
      </w:r>
    </w:p>
    <w:p>
      <w:pPr>
        <w:pStyle w:val="Heading2"/>
      </w:pPr>
      <w:r>
        <w:t>482. Claim + two later sources: By 2050 the Mitigation Effects of EU Forests Could Nearly Double through Climate Smart Forestry</w:t>
      </w:r>
    </w:p>
    <w:p>
      <w:pPr>
        <w:pStyle w:val="SourceNote"/>
      </w:pPr>
      <w:r>
        <w:rPr>
          <w:b/>
        </w:rPr>
        <w:t>Group ID:</w:t>
      </w:r>
      <w:r>
        <w:t xml:space="preserve"> group-cbaea6ef40a37947c80c</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The European Green Deal and turbulence for non-member states — https://doi.org/10.1038/s44168-024-00173-7</w:t>
      </w:r>
    </w:p>
    <w:p>
      <w:pPr>
        <w:pStyle w:val="SourceNote"/>
      </w:pPr>
      <w:r>
        <w:rPr>
          <w:b/>
        </w:rPr>
        <w:t>Review status:</w:t>
      </w:r>
      <w:r>
        <w:t xml:space="preserve"> unchecked — possible relationship only</w:t>
      </w:r>
    </w:p>
    <w:p>
      <w:pPr>
        <w:pStyle w:val="Heading2"/>
      </w:pPr>
      <w:r>
        <w:t>483.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484. Claim + two later sources: Towards the 2030 Agenda: Measuring the Progress of the European Union Countries through the SDGs Achievement Index</w:t>
      </w:r>
    </w:p>
    <w:p>
      <w:pPr>
        <w:pStyle w:val="SourceNote"/>
      </w:pPr>
      <w:r>
        <w:rPr>
          <w:b/>
        </w:rPr>
        <w:t>Group ID:</w:t>
      </w:r>
      <w:r>
        <w:t xml:space="preserve"> group-5a6d628cf33369cf0b20</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Quantifying the Performance of European Agriculture Through the New European Sustainability Model — https://doi.org/10.3390/agriculture15020210</w:t>
      </w:r>
    </w:p>
    <w:p>
      <w:pPr/>
      <w:r>
        <w:rPr>
          <w:b/>
        </w:rPr>
        <w:t>Later source:</w:t>
      </w:r>
      <w:r>
        <w:t xml:space="preserve"> Construction Cost Index: Political, Economic, and Financial Risk Indices Within the European Continent — https://doi.org/10.3390/su17030917</w:t>
      </w:r>
    </w:p>
    <w:p>
      <w:pPr>
        <w:pStyle w:val="SourceNote"/>
      </w:pPr>
      <w:r>
        <w:rPr>
          <w:b/>
        </w:rPr>
        <w:t>Review status:</w:t>
      </w:r>
      <w:r>
        <w:t xml:space="preserve"> unchecked — possible relationship only</w:t>
      </w:r>
    </w:p>
    <w:p>
      <w:pPr>
        <w:pStyle w:val="Heading2"/>
      </w:pPr>
      <w:r>
        <w:t>485. Claim + two later sources: Enabling forecasts of environmental exposure to chemicals in European agriculture under global change</w:t>
      </w:r>
    </w:p>
    <w:p>
      <w:pPr>
        <w:pStyle w:val="SourceNote"/>
      </w:pPr>
      <w:r>
        <w:rPr>
          <w:b/>
        </w:rPr>
        <w:t>Group ID:</w:t>
      </w:r>
      <w:r>
        <w:t xml:space="preserve"> group-e669ab8bfa13128d28af</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Evolution of Equality as a Constitutional Principle in Romania: European Union Membership Impacts and Current Challenges — https://doi.org/10.62733/2026.1.9-31</w:t>
      </w:r>
    </w:p>
    <w:p>
      <w:pPr>
        <w:pStyle w:val="SourceNote"/>
      </w:pPr>
      <w:r>
        <w:rPr>
          <w:b/>
        </w:rPr>
        <w:t>Review status:</w:t>
      </w:r>
      <w:r>
        <w:t xml:space="preserve"> unchecked — possible relationship only</w:t>
      </w:r>
    </w:p>
    <w:p>
      <w:pPr>
        <w:pStyle w:val="Heading2"/>
      </w:pPr>
      <w:r>
        <w:t>486. Claim + two later sources: Climate change mitigation: evidences from the European scenario</w:t>
      </w:r>
    </w:p>
    <w:p>
      <w:pPr>
        <w:pStyle w:val="SourceNote"/>
      </w:pPr>
      <w:r>
        <w:rPr>
          <w:b/>
        </w:rPr>
        <w:t>Group ID:</w:t>
      </w:r>
      <w:r>
        <w:t xml:space="preserve"> group-7e18cbb976d707db1233</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487.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488. Claim + two later sources: PROJEKCJA ZMIAN WIELKOŚCI PLONÓW PSZENICY W POLSCE I UNII EUROPEJSKIEJ W LATACH 2030 I 2050 NA PODSTAWIE MODELU CAPRI</w:t>
      </w:r>
    </w:p>
    <w:p>
      <w:pPr>
        <w:pStyle w:val="SourceNote"/>
      </w:pPr>
      <w:r>
        <w:rPr>
          <w:b/>
        </w:rPr>
        <w:t>Group ID:</w:t>
      </w:r>
      <w:r>
        <w:t xml:space="preserve"> group-f7e67dd43ac64abfc088</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Effect of different treatments on the dissipation and persistence of iodosulfuron-methyl applied in soils with wheat crop under greenhouse conditions — https://doi.org/10.1016/j.ecoenv.2025.118454</w:t>
      </w:r>
    </w:p>
    <w:p>
      <w:pPr/>
      <w:r>
        <w:rPr>
          <w:b/>
        </w:rPr>
        <w:t>Later source:</w:t>
      </w:r>
      <w:r>
        <w:t xml:space="preserve"> Pesticide reduction amidst food and feed security concerns in Europe — https://doi.org/10.1038/s43016-023-00834-6</w:t>
      </w:r>
    </w:p>
    <w:p>
      <w:pPr>
        <w:pStyle w:val="SourceNote"/>
      </w:pPr>
      <w:r>
        <w:rPr>
          <w:b/>
        </w:rPr>
        <w:t>Review status:</w:t>
      </w:r>
      <w:r>
        <w:t xml:space="preserve"> unchecked — possible relationship only</w:t>
      </w:r>
    </w:p>
    <w:p>
      <w:pPr>
        <w:pStyle w:val="Heading2"/>
      </w:pPr>
      <w:r>
        <w:t>489. Claim + two later sources: Recycling of European plastic is a pathway for plastic debris in the ocean</w:t>
      </w:r>
    </w:p>
    <w:p>
      <w:pPr>
        <w:pStyle w:val="SourceNote"/>
      </w:pPr>
      <w:r>
        <w:rPr>
          <w:b/>
        </w:rPr>
        <w:t>Group ID:</w:t>
      </w:r>
      <w:r>
        <w:t xml:space="preserve"> group-80c93bde183112e2a07a</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High-resolution European soil property maps leveraging foundation-model Earth observation embeddings — https://doi.org/10.5194/egusphere-egu26-18609</w:t>
      </w:r>
    </w:p>
    <w:p>
      <w:pPr/>
      <w:r>
        <w:rPr>
          <w:b/>
        </w:rPr>
        <w:t>Later source:</w:t>
      </w:r>
      <w:r>
        <w:t xml:space="preserve"> Dealing with and communicating data uncertainties in agricultural remote sensing: a comprehensive approach — https://doi.org/10.1016/j.rsase.2026.102202</w:t>
      </w:r>
    </w:p>
    <w:p>
      <w:pPr>
        <w:pStyle w:val="SourceNote"/>
      </w:pPr>
      <w:r>
        <w:rPr>
          <w:b/>
        </w:rPr>
        <w:t>Review status:</w:t>
      </w:r>
      <w:r>
        <w:t xml:space="preserve"> unchecked — possible relationship only</w:t>
      </w:r>
    </w:p>
    <w:p>
      <w:pPr>
        <w:pStyle w:val="Heading2"/>
      </w:pPr>
      <w:r>
        <w:t>490.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491. Claim + two later sources: Land use implications of future energy system trajectories—The case of the UK 2050 Carbon Plan</w:t>
      </w:r>
    </w:p>
    <w:p>
      <w:pPr>
        <w:pStyle w:val="SourceNote"/>
      </w:pPr>
      <w:r>
        <w:rPr>
          <w:b/>
        </w:rPr>
        <w:t>Group ID:</w:t>
      </w:r>
      <w:r>
        <w:t xml:space="preserve"> group-6ea1e828732cb04a8e0e</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Four pathways for energy citizenship initiatives to contribute to a more democratic European energy system — https://doi.org/10.1080/07036337.2025.2458592</w:t>
      </w:r>
    </w:p>
    <w:p>
      <w:pPr/>
      <w:r>
        <w:rPr>
          <w:b/>
        </w:rPr>
        <w:t>Later source:</w:t>
      </w:r>
      <w:r>
        <w:t xml:space="preserve"> Improving transitions in care for children and youth with mental health concerns: implementation and evaluation of an emergency department mental health clinical pathway — https://doi.org/10.1186/s12913-025-12524-z</w:t>
      </w:r>
    </w:p>
    <w:p>
      <w:pPr>
        <w:pStyle w:val="SourceNote"/>
      </w:pPr>
      <w:r>
        <w:rPr>
          <w:b/>
        </w:rPr>
        <w:t>Review status:</w:t>
      </w:r>
      <w:r>
        <w:t xml:space="preserve"> unchecked — possible relationship only</w:t>
      </w:r>
    </w:p>
    <w:p>
      <w:pPr>
        <w:pStyle w:val="Heading2"/>
      </w:pPr>
      <w:r>
        <w:t>492. Claim + two later sources: Future projections of temperature and mixing regime of  European temperate lakes</w:t>
      </w:r>
    </w:p>
    <w:p>
      <w:pPr>
        <w:pStyle w:val="SourceNote"/>
      </w:pPr>
      <w:r>
        <w:rPr>
          <w:b/>
        </w:rPr>
        <w:t>Group ID:</w:t>
      </w:r>
      <w:r>
        <w:t xml:space="preserve"> group-1d95ea2b37c5eee43cd9</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Emergent constraint indicates forced decline in European winter windstorm frequency — https://doi.org/10.1088/1748-9326/ae845f</w:t>
      </w:r>
    </w:p>
    <w:p>
      <w:pPr/>
      <w:r>
        <w:rPr>
          <w:b/>
        </w:rPr>
        <w:t>Later source:</w:t>
      </w:r>
      <w:r>
        <w:t xml:space="preserve"> Simulating record-shattering cold winters of the beginning of the 21st century in France — https://doi.org/10.5194/wcd-6-1-2025</w:t>
      </w:r>
    </w:p>
    <w:p>
      <w:pPr>
        <w:pStyle w:val="SourceNote"/>
      </w:pPr>
      <w:r>
        <w:rPr>
          <w:b/>
        </w:rPr>
        <w:t>Review status:</w:t>
      </w:r>
      <w:r>
        <w:t xml:space="preserve"> unchecked — possible relationship only</w:t>
      </w:r>
    </w:p>
    <w:p>
      <w:pPr>
        <w:pStyle w:val="Heading2"/>
      </w:pPr>
      <w:r>
        <w:t>493. Claim + two later sources: Lyme Disease Risks in Europe under Multiple Uncertain Drivers of Change</w:t>
      </w:r>
    </w:p>
    <w:p>
      <w:pPr>
        <w:pStyle w:val="SourceNote"/>
      </w:pPr>
      <w:r>
        <w:rPr>
          <w:b/>
        </w:rPr>
        <w:t>Group ID:</w:t>
      </w:r>
      <w:r>
        <w:t xml:space="preserve"> group-6b75ceb7b1d3d49bc4e3</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Widespread increase in frequency and duration of European wind droughts based on CMIP6 projections — https://doi.org/10.1016/j.isci.2026.115075</w:t>
      </w:r>
    </w:p>
    <w:p>
      <w:pPr/>
      <w:r>
        <w:rPr>
          <w:b/>
        </w:rPr>
        <w:t>Later source:</w:t>
      </w:r>
      <w:r>
        <w:t xml:space="preserve"> Model Code and Data for "Future projections of burned area in Europe highlight the importance of human action" — https://doi.org/10.5281/zenodo.18740007</w:t>
      </w:r>
    </w:p>
    <w:p>
      <w:pPr>
        <w:pStyle w:val="SourceNote"/>
      </w:pPr>
      <w:r>
        <w:rPr>
          <w:b/>
        </w:rPr>
        <w:t>Review status:</w:t>
      </w:r>
      <w:r>
        <w:t xml:space="preserve"> unchecked — possible relationship only</w:t>
      </w:r>
    </w:p>
    <w:p>
      <w:pPr>
        <w:pStyle w:val="Heading2"/>
      </w:pPr>
      <w:r>
        <w:t>494. Claim + two later sources: Imagining energy futures: Sociotechnical imaginaries of the future Smart Grid in Norway</w:t>
      </w:r>
    </w:p>
    <w:p>
      <w:pPr>
        <w:pStyle w:val="SourceNote"/>
      </w:pPr>
      <w:r>
        <w:rPr>
          <w:b/>
        </w:rPr>
        <w:t>Group ID:</w:t>
      </w:r>
      <w:r>
        <w:t xml:space="preserve"> group-9a49a46eb097863aa62f</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Towards consumer-oriented smart grids : investigating consumer perspectives on the adoption of smart technologies and services — https://openalex.org/W7222853900</w:t>
      </w:r>
    </w:p>
    <w:p>
      <w:pPr/>
      <w:r>
        <w:rPr>
          <w:b/>
        </w:rPr>
        <w:t>Later source:</w:t>
      </w:r>
      <w:r>
        <w:t xml:space="preserve"> Smart Grid Technology for Social Acceptance and Urban Energy Efficiency — https://doi.org/10.36948/ijfmr.2025.v07i02.41635</w:t>
      </w:r>
    </w:p>
    <w:p>
      <w:pPr>
        <w:pStyle w:val="SourceNote"/>
      </w:pPr>
      <w:r>
        <w:rPr>
          <w:b/>
        </w:rPr>
        <w:t>Review status:</w:t>
      </w:r>
      <w:r>
        <w:t xml:space="preserve"> unchecked — possible relationship only</w:t>
      </w:r>
    </w:p>
    <w:p>
      <w:pPr>
        <w:pStyle w:val="Heading2"/>
      </w:pPr>
      <w:r>
        <w:t>495. Claim + two later sources: Long-Term Projection of Renewable Energy Technology Diffusion</w:t>
      </w:r>
    </w:p>
    <w:p>
      <w:pPr>
        <w:pStyle w:val="SourceNote"/>
      </w:pPr>
      <w:r>
        <w:rPr>
          <w:b/>
        </w:rPr>
        <w:t>Group ID:</w:t>
      </w:r>
      <w:r>
        <w:t xml:space="preserve"> group-531fb93c76e163b85ca8</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MODELLING ENERGY CONSUMPTION IN TEA MANUFACTURING FACILITY — https://doi.org/10.58257/ijprems51610</w:t>
      </w:r>
    </w:p>
    <w:p>
      <w:pPr/>
      <w:r>
        <w:rPr>
          <w:b/>
        </w:rPr>
        <w:t>Later source:</w:t>
      </w:r>
      <w:r>
        <w:t xml:space="preserve"> The Restoration Project Architecture, Adjustments and Energy Efficiency — https://doi.org/10.65686/rsan8021</w:t>
      </w:r>
    </w:p>
    <w:p>
      <w:pPr>
        <w:pStyle w:val="SourceNote"/>
      </w:pPr>
      <w:r>
        <w:rPr>
          <w:b/>
        </w:rPr>
        <w:t>Review status:</w:t>
      </w:r>
      <w:r>
        <w:t xml:space="preserve"> unchecked — possible relationship only</w:t>
      </w:r>
    </w:p>
    <w:p>
      <w:pPr>
        <w:pStyle w:val="Heading2"/>
      </w:pPr>
      <w:r>
        <w:t>496. Claim + two later sources: Climate change mitigation: evidences from the European scenario</w:t>
      </w:r>
    </w:p>
    <w:p>
      <w:pPr>
        <w:pStyle w:val="SourceNote"/>
      </w:pPr>
      <w:r>
        <w:rPr>
          <w:b/>
        </w:rPr>
        <w:t>Group ID:</w:t>
      </w:r>
      <w:r>
        <w:t xml:space="preserve"> group-4739b039a3d523116184</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497.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group-e78438cb924c3ffbf207</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United States and European Union aid cuts risk exacerbating links between aid, trade, and human and environmental crises — https://doi.org/10.1038/s44458-025-00011-9</w:t>
      </w:r>
    </w:p>
    <w:p>
      <w:pPr/>
      <w:r>
        <w:rPr>
          <w:b/>
        </w:rPr>
        <w:t>Later source:</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pStyle w:val="SourceNote"/>
      </w:pPr>
      <w:r>
        <w:rPr>
          <w:b/>
        </w:rPr>
        <w:t>Review status:</w:t>
      </w:r>
      <w:r>
        <w:t xml:space="preserve"> unchecked — possible relationship only</w:t>
      </w:r>
    </w:p>
    <w:p>
      <w:pPr>
        <w:pStyle w:val="Heading2"/>
      </w:pPr>
      <w:r>
        <w:t>498. Claim + two later sources: Assessing the EU’s 2030 Climate and Energy Policy Framework: Incremental change toward radical transformation?</w:t>
      </w:r>
    </w:p>
    <w:p>
      <w:pPr>
        <w:pStyle w:val="SourceNote"/>
      </w:pPr>
      <w:r>
        <w:rPr>
          <w:b/>
        </w:rPr>
        <w:t>Group ID:</w:t>
      </w:r>
      <w:r>
        <w:t xml:space="preserve"> group-77d0524ff9c3f74ca6f7</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Change of Sporting Nationality in Athletics in the Context of European Union Law — https://openalex.org/W7164874266</w:t>
      </w:r>
    </w:p>
    <w:p>
      <w:pPr/>
      <w:r>
        <w:rPr>
          <w:b/>
        </w:rPr>
        <w:t>Later source:</w:t>
      </w:r>
      <w:r>
        <w:t xml:space="preserve"> Protecting Wildlife in Europe: A Comprehensive Analysis of Legislative Frameworks and Their Shortcomings — https://doi.org/10.1080/13880292.2025.2619363</w:t>
      </w:r>
    </w:p>
    <w:p>
      <w:pPr>
        <w:pStyle w:val="SourceNote"/>
      </w:pPr>
      <w:r>
        <w:rPr>
          <w:b/>
        </w:rPr>
        <w:t>Review status:</w:t>
      </w:r>
      <w:r>
        <w:t xml:space="preserve"> unchecked — possible relationship only</w:t>
      </w:r>
    </w:p>
    <w:p>
      <w:pPr>
        <w:pStyle w:val="Heading2"/>
      </w:pPr>
      <w:r>
        <w:t>499. Claim + two later sources: Society in need of transformation. Citizen-Foresight as a method to co-create urban future</w:t>
      </w:r>
    </w:p>
    <w:p>
      <w:pPr>
        <w:pStyle w:val="SourceNote"/>
      </w:pPr>
      <w:r>
        <w:rPr>
          <w:b/>
        </w:rPr>
        <w:t>Group ID:</w:t>
      </w:r>
      <w:r>
        <w:t xml:space="preserve"> group-16afa9985c4c8db06d5a</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Unmasking the spatial-temporal characteristics of knowledge workers’ third-place remote work — https://doi.org/10.1177/27541231261444208</w:t>
      </w:r>
    </w:p>
    <w:p>
      <w:pPr/>
      <w:r>
        <w:rPr>
          <w:b/>
        </w:rPr>
        <w:t>Later source:</w:t>
      </w:r>
      <w:r>
        <w:t xml:space="preserve"> Work as a Third Pathway to New Longevity — https://doi.org/10.12660/gvexec.v25n1.2026.98714</w:t>
      </w:r>
    </w:p>
    <w:p>
      <w:pPr>
        <w:pStyle w:val="SourceNote"/>
      </w:pPr>
      <w:r>
        <w:rPr>
          <w:b/>
        </w:rPr>
        <w:t>Review status:</w:t>
      </w:r>
      <w:r>
        <w:t xml:space="preserve"> unchecked — possible relationship only</w:t>
      </w:r>
    </w:p>
    <w:p>
      <w:pPr>
        <w:pStyle w:val="Heading2"/>
      </w:pPr>
      <w:r>
        <w:t>500.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501. Claim + two later sources: European carbon storage resource requirements of climate change mitigation targets</w:t>
      </w:r>
    </w:p>
    <w:p>
      <w:pPr>
        <w:pStyle w:val="SourceNote"/>
      </w:pPr>
      <w:r>
        <w:rPr>
          <w:b/>
        </w:rPr>
        <w:t>Group ID:</w:t>
      </w:r>
      <w:r>
        <w:t xml:space="preserve"> group-12623b112a560febcda8</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Climate plan for municipality of Utsjoki — https://openalex.org/W7152954980</w:t>
      </w:r>
    </w:p>
    <w:p>
      <w:pPr/>
      <w:r>
        <w:rPr>
          <w:b/>
        </w:rPr>
        <w:t>Later source:</w:t>
      </w:r>
      <w:r>
        <w:t xml:space="preserve"> Can a wealth tax reduce CO2 emissions in Europe? — https://doi.org/10.1016/j.ecolecon.2026.109231</w:t>
      </w:r>
    </w:p>
    <w:p>
      <w:pPr>
        <w:pStyle w:val="SourceNote"/>
      </w:pPr>
      <w:r>
        <w:rPr>
          <w:b/>
        </w:rPr>
        <w:t>Review status:</w:t>
      </w:r>
      <w:r>
        <w:t xml:space="preserve"> unchecked — possible relationship only</w:t>
      </w:r>
    </w:p>
    <w:p>
      <w:pPr>
        <w:pStyle w:val="Heading2"/>
      </w:pPr>
      <w:r>
        <w:t>502. Claim + two later sources: Transition pathways to sustainability in greater than 2 °C climate futures of Europe</w:t>
      </w:r>
    </w:p>
    <w:p>
      <w:pPr>
        <w:pStyle w:val="SourceNote"/>
      </w:pPr>
      <w:r>
        <w:rPr>
          <w:b/>
        </w:rPr>
        <w:t>Group ID:</w:t>
      </w:r>
      <w:r>
        <w:t xml:space="preserve"> group-a7a96f46c359732d63f3</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Moving forward AKIS research and practice for agroecological transitions in Europe — https://doi.org/10.1080/1389224x.2026.2640918</w:t>
      </w:r>
    </w:p>
    <w:p>
      <w:pPr/>
      <w:r>
        <w:rPr>
          <w:b/>
        </w:rPr>
        <w:t>Later source:</w:t>
      </w:r>
      <w:r>
        <w:t xml:space="preserve"> Competing corporate visions, ambiguous policy proposals: Complexities surrounding the emerging EU hydrogen market — https://doi.org/10.1016/j.enpol.2026.115463</w:t>
      </w:r>
    </w:p>
    <w:p>
      <w:pPr>
        <w:pStyle w:val="SourceNote"/>
      </w:pPr>
      <w:r>
        <w:rPr>
          <w:b/>
        </w:rPr>
        <w:t>Review status:</w:t>
      </w:r>
      <w:r>
        <w:t xml:space="preserve"> unchecked — possible relationship only</w:t>
      </w:r>
    </w:p>
    <w:p>
      <w:pPr>
        <w:pStyle w:val="Heading2"/>
      </w:pPr>
      <w:r>
        <w:t>503. Claim + two later sources: European packaging industry foresight study—identifying global drivers and driven packaging industry implications of the global megatrends</w:t>
      </w:r>
    </w:p>
    <w:p>
      <w:pPr>
        <w:pStyle w:val="SourceNote"/>
      </w:pPr>
      <w:r>
        <w:rPr>
          <w:b/>
        </w:rPr>
        <w:t>Group ID:</w:t>
      </w:r>
      <w:r>
        <w:t xml:space="preserve"> group-5d45bde671fb26e958a5</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Food waste in European Households: A Meta-Analysis of behavioural drivers and quantitative trends — https://doi.org/10.1016/j.wasman.2026.115536</w:t>
      </w:r>
    </w:p>
    <w:p>
      <w:pPr/>
      <w:r>
        <w:rPr>
          <w:b/>
        </w:rPr>
        <w:t>Later source:</w:t>
      </w:r>
      <w:r>
        <w:t xml:space="preserve"> Recycling Trends of Packaging Materials in European Circular Economy Systems — https://doi.org/10.5772/geet.20250136</w:t>
      </w:r>
    </w:p>
    <w:p>
      <w:pPr>
        <w:pStyle w:val="SourceNote"/>
      </w:pPr>
      <w:r>
        <w:rPr>
          <w:b/>
        </w:rPr>
        <w:t>Review status:</w:t>
      </w:r>
      <w:r>
        <w:t xml:space="preserve"> unchecked — possible relationship only</w:t>
      </w:r>
    </w:p>
    <w:p>
      <w:pPr>
        <w:pStyle w:val="Heading2"/>
      </w:pPr>
      <w:r>
        <w:t>504. Claim + two later sources: Trends and forecast of obesity in Finland</w:t>
      </w:r>
    </w:p>
    <w:p>
      <w:pPr>
        <w:pStyle w:val="SourceNote"/>
      </w:pPr>
      <w:r>
        <w:rPr>
          <w:b/>
        </w:rPr>
        <w:t>Group ID:</w:t>
      </w:r>
      <w:r>
        <w:t xml:space="preserve"> group-c55401ee4614cf46b0b2</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The updated global burden of chronic kidney disease: one death every 20 seconds — https://doi.org/10.1093/ndt/gfag040</w:t>
      </w:r>
    </w:p>
    <w:p>
      <w:pPr/>
      <w:r>
        <w:rPr>
          <w:b/>
        </w:rPr>
        <w:t>Later source:</w:t>
      </w:r>
      <w:r>
        <w:t xml:space="preserve"> Estimating the hospitalisation burden of obesity in Europe: evidence from the European health interview survey (EHIS) wave 3 — https://doi.org/10.1186/s12889-026-26705-w</w:t>
      </w:r>
    </w:p>
    <w:p>
      <w:pPr>
        <w:pStyle w:val="SourceNote"/>
      </w:pPr>
      <w:r>
        <w:rPr>
          <w:b/>
        </w:rPr>
        <w:t>Review status:</w:t>
      </w:r>
      <w:r>
        <w:t xml:space="preserve"> unchecked — possible relationship only</w:t>
      </w:r>
    </w:p>
    <w:p>
      <w:pPr>
        <w:pStyle w:val="Heading2"/>
      </w:pPr>
      <w:r>
        <w:t>505.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506. Individual research leads — not grouped</w:t>
      </w:r>
    </w:p>
    <w:p>
      <w:pPr/>
      <w:r>
        <w:t>These are single claim–paper research leads, not claim + paper A + paper B proposals. A paper in a rejected group may still be useful in a different combination.</w:t>
      </w:r>
    </w:p>
    <w:p>
      <w:pPr>
        <w:pStyle w:val="Heading2"/>
      </w:pPr>
      <w:r>
        <w:t>507.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2025:</w:t>
      </w:r>
      <w:r>
        <w:t xml:space="preserve"> Extreme environmental events – a proposed classification (based on the example of Central Europe) — https://doi.org/10.14746/quageo-2025-0033</w:t>
      </w:r>
    </w:p>
    <w:p>
      <w:pPr/>
      <w:r>
        <w:rPr>
          <w:b/>
        </w:rPr>
        <w:t>Shared claim-specific concepts:</w:t>
      </w:r>
      <w:r>
        <w:t xml:space="preserve"> based, environmental, example, project; EU scope visible. This is a provisional connection, not an outcome finding.</w:t>
      </w:r>
    </w:p>
    <w:p>
      <w:pPr>
        <w:pStyle w:val="SourceNote"/>
      </w:pPr>
      <w:r>
        <w:rPr>
          <w:b/>
        </w:rPr>
        <w:t>Available abstract (not full text):</w:t>
      </w:r>
      <w:r>
        <w:t xml:space="preserve"> This paper presents a classification concept for extreme environmental events, particularly emphasising meteorological, hydrological and geomorphological phenomena. The scheme was originally developed during the Polish national research project Extreme Meteorological and Hydrological Events in Poland – Assessment and Forecasting of Their Impacts on the Human Environment (2004–2009). Over the past decade and a half, it has been verified against observed extreme events and the international literature. Although devised primarily for Poland, the typology applies to the wider Central-European region. Events are grouped according to their genetic origin. Capital letters denote the five principal categories identifying the immediate physical cause: M – meteorological, H – hydrological, G – geomorphological, O – oceanographical and X – other (including complex or poorly defined) environmental events. Within each category, types and subtypes are distinguished. The framework also allows the combination of two or more categories or types and can be further expanded or modified in the future.</w:t>
      </w:r>
    </w:p>
    <w:p>
      <w:pPr/>
      <w:r>
        <w:rPr>
          <w:b/>
        </w:rPr>
        <w:t>POSSIBLE 2025:</w:t>
      </w:r>
      <w:r>
        <w:t xml:space="preserve"> Ecological activity of European SMEs: resources, green capabilities and environmental support — https://doi.org/10.29119/1641-3466.2025.234.20</w:t>
      </w:r>
    </w:p>
    <w:p>
      <w:pPr/>
      <w:r>
        <w:rPr>
          <w:b/>
        </w:rPr>
        <w:t>Shared claim-specific concepts:</w:t>
      </w:r>
      <w:r>
        <w:t xml:space="preserve"> concepts, environmental, three; EU scope visible. This is a provisional connection, not an outcome finding.</w:t>
      </w:r>
    </w:p>
    <w:p>
      <w:pPr>
        <w:pStyle w:val="SourceNote"/>
      </w:pPr>
      <w:r>
        <w:rPr>
          <w:b/>
        </w:rPr>
        <w:t>Available abstract (not full text):</w:t>
      </w:r>
      <w:r>
        <w:t xml:space="preserve"> Purpose: Despite the existence of many valuable scientific studies on the sustainable initiatives of modern enterprises, there is a lack of empirical analyses that could offer specific insights into the predictors of such activities, especially in the context of consolidating various theoretical concepts. Therefore, this study aimed to answer the question: What factors contribute to European SMEs offering an increasingly wider range of green products or services, and how can these companies simultaneously develop internal resources, green capabilities and leverage external support to successfully undertake such activities? Design/methodology/approach: The analysis is quantitative and covers 573 SMEs operating in all 27 EU countries. The data source is the Flash Eurobarometer FL549 survey entitled ‘SMEs, resource efficiency and green markets’, conducted by Ipsos European Public Affairs in 2024 on behalf of the European Commission. Findings: The study’s results indicate that environmental support for SMEs is relatively insignificant compared to the role of their internal resources and green capabilities, which, according to statistical modeling, significantly strengthen these companies’ potential to offer green products or services. Originality/value: The paper’s critical scientific contribution lies in the conceptual consideration of three complementary theoretical perspectives:</w:t>
      </w:r>
    </w:p>
    <w:p>
      <w:pPr/>
      <w:r>
        <w:rPr>
          <w:b/>
        </w:rPr>
        <w:t>POSSIBLE 2025:</w:t>
      </w:r>
      <w:r>
        <w:t xml:space="preserve"> Agricultural sustainability in the European Union: a review of concepts, policies and economic perspectives — https://doi.org/10.3389/fagro.2025.1714297</w:t>
      </w:r>
    </w:p>
    <w:p>
      <w:pPr/>
      <w:r>
        <w:rPr>
          <w:b/>
        </w:rPr>
        <w:t>Shared claim-specific concepts:</w:t>
      </w:r>
      <w:r>
        <w:t xml:space="preserve"> based, concepts, environmental, show; EU scope visible. This is a provisional connection, not an outcome finding.</w:t>
      </w:r>
    </w:p>
    <w:p>
      <w:pPr>
        <w:pStyle w:val="SourceNote"/>
      </w:pPr>
      <w:r>
        <w:rPr>
          <w:b/>
        </w:rPr>
        <w:t>Available abstract (not full text):</w:t>
      </w:r>
      <w:r>
        <w:t xml:space="preserve"> Introduction Sustainability in European Union (EU) agriculture has become a priority in both academic research and public policy, reflecting its central role in shaping resilient and balanced development models. The European agricultural landscape is characterized by significant agronomic diversity, including cereals, oilseeds, protein crops, industrial crops, vegetables, fruits, and fodder crops that support the livestock sector. These are integrated into multiple production systems: conservation agriculture, organic farming, integrated crop management, permanent pastures, and agroforestry, each contributing differently to environmental protection, economic efficiency, and social equity. Land use structures reveal a mosaic of arable land, permanent pastures, permanent crops, and mixed systems, reflecting the climatic and socio-economic diversity of Europe. In this context, the study examines how the economic, social, and environmental dimensions of sustainability are conceptualized and integrated into EU agricultural strategies. Methods The study uses a multi-level methodological approach, integrating conceptual, legislative, empirical, and bibliometric analyses. First, key concepts of agricultural sustainability were examined through a systematic review of academic literature and EU policy documents. Second, a legislative analysis assessed the regulatory framework shaping sus</w:t>
      </w:r>
    </w:p>
    <w:p>
      <w:pPr/>
      <w:r>
        <w:rPr>
          <w:b/>
        </w:rPr>
        <w:t>POSSIBLE 2025:</w:t>
      </w:r>
      <w:r>
        <w:t xml:space="preserve"> BioINSouth: Enhancing Regional Policies and Environmental Sustainability for Bio-based Sectors to Boost Innovation and Inclusivity in Southern Europe — https://doi.org/10.5281/zenodo.17772487</w:t>
      </w:r>
    </w:p>
    <w:p>
      <w:pPr/>
      <w:r>
        <w:rPr>
          <w:b/>
        </w:rPr>
        <w:t>Shared claim-specific concepts:</w:t>
      </w:r>
      <w:r>
        <w:t xml:space="preserve"> based, environmental, them, project; EU scope visible. This is a provisional connection, not an outcome finding.</w:t>
      </w:r>
    </w:p>
    <w:p>
      <w:pPr>
        <w:pStyle w:val="SourceNote"/>
      </w:pPr>
      <w:r>
        <w:rPr>
          <w:b/>
        </w:rPr>
        <w:t>Available abstract (not full text):</w:t>
      </w:r>
      <w:r>
        <w:t xml:space="preserve"> BioINSouth project aims to support regional policymakers in integrating ecological limits into bioeconomy strategies and roadmaps for circular bio-based activities. By developing guidelines and digital tools within the safe and sustainable by design (SSbD) assessment framework, the project fosters innovative methodologies for assessing environmental impacts across various industrial bio-based systems. Targeting Southern Mediterranean European regions, particularly those lagging behind such as Cyprus, Slovenia, Greece, and Portugal, BioINSouth will also involve broader participation from Spain, France, Italy, and international cooperation with Türkiye. Leveraging the BIOEAST initiative that focuses on central Europe, BioINSouth will establish QH-based regional Multi-Actor Regional Groups (MARGs) to lead co-creation activities in the establishment of eight bioeconomy-oriented regional HUBs in Campania (Italy), Peloponnese (Greece), Andalusia and Asturias (Spain), Centro (Portugal), Slovenia, Nouvelle-Aquitaine (France), and Cyprus. These HUBs will promote the exchange of best practices, and foster innovative methodologies for assessing environmental impacts and circularity in bio-based sectors. BioINSouth aims to enhance regional competitiveness, innovation capacity, and contribute to the EU's fair and green transition. A key component of BioINSouth is the analysis of regional st</w:t>
      </w:r>
    </w:p>
    <w:p>
      <w:pPr/>
      <w:r>
        <w:rPr>
          <w:b/>
        </w:rPr>
        <w:t>POSSIBLE 2025:</w:t>
      </w:r>
      <w:r>
        <w:t xml:space="preserve"> Defining habitat scenarios to integrate non-target arthropod relevance into landscape-based environmental risk assessment: A proof of concept — https://doi.org/10.1016/j.ecolind.2025.114548</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Environmental risk assessment of plant protection products increasingly requires methods that incorporate the complexity of agricultural landscapes and the roles of non-target arthropods in ecosystem service provision. However, existing approaches often lack spatial specificity and fail to support the development of targeted and ecologically meaningful protection goals. This study presents a proof-of-concept method designed to assess the relevance of non-target arthropods families across agricultural habitat scenarios, serving as a step toward more spatially explicit and biodiversity-sensitive environmental risk assessment frameworks. Using high-resolution landscape data from seven European countries, we randomly generated 29,500 agricultural landscapes across nine major crops and grouped them into four habitat scenarios categories based on crop diversity and the proportion of natural habitat. We used a bibliographic dataset covering 30 representative non-target arthropods families as a proxy to estimate family-level relevance scores for each habitat scenario, based on the proportion of land use types and literature-derived occurrence data. The results from this first application are exploratory and serve to evaluate the method's operational structure and scalability. They are not intended as definitive ecological patterns but rather illustrate how the proposed habitat scenario</w:t>
      </w:r>
    </w:p>
    <w:p>
      <w:pPr/>
      <w:r>
        <w:rPr>
          <w:b/>
        </w:rPr>
        <w:t>POSSIBLE 2025:</w:t>
      </w:r>
      <w:r>
        <w:t xml:space="preserve"> UNCOVERING INTENT: REASSESSING THE ROLE OF MOTIVE IN THE PUNISHMENT OF PREMEDITATED MURDER IN INDONESIA — https://doi.org/10.56107/penalaw.v3i1.223</w:t>
      </w:r>
    </w:p>
    <w:p>
      <w:pPr/>
      <w:r>
        <w:rPr>
          <w:b/>
        </w:rPr>
        <w:t>Shared claim-specific concepts:</w:t>
      </w:r>
      <w:r>
        <w:t xml:space="preserve"> based, motives, three; EU scope visible. This is a provisional connection, not an outcome finding.</w:t>
      </w:r>
    </w:p>
    <w:p>
      <w:pPr>
        <w:pStyle w:val="SourceNote"/>
      </w:pPr>
      <w:r>
        <w:rPr>
          <w:b/>
        </w:rPr>
        <w:t>Available abstract (not full text):</w:t>
      </w:r>
      <w:r>
        <w:t xml:space="preserve"> The sentencing of premeditated murder cases in Indonesia has so far emphasized the elements of planning and the consequences of the act, but has paid little attention to the perpetrator's motive as a reflection of the degree of culpability. In many progressive legal systems, however, motive is considered important in assessing the extent to which criminal intent (mens rea) contributes to the quality of a criminal act. This study aims to reassess the role of motive in the sentencing of premeditated murder under Article 340 of the Criminal Code, and to propose an evaluative model that can be used to enhance substantive justice in Indonesia's criminal justice practice. Using a legal-normative method and a qualitative approach to twenty court decisions selected purposively (period 2018–2024), it was found that in 70% of cases, motive was not considered as a legal factor in the court’s decision. Motives were merely mentioned in the chronology without legal weight. However, in criminal law practice in Germany and the Netherlands, motives serve as the basis for classifying murder and determining criminal sanctions. This study developed a conceptual model that categorizes motives into three categories: rational-emotional, manipulative-opportunistic, and pathological, each with its own evaluative implications for sentencing. This study recommends that motives be integrated into national</w:t>
      </w:r>
    </w:p>
    <w:p>
      <w:pPr>
        <w:pStyle w:val="Heading2"/>
      </w:pPr>
      <w:r>
        <w:t>508.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2025:</w:t>
      </w:r>
      <w:r>
        <w:t xml:space="preserve"> Scaling sustainable start-ups: barriers and enablers in talent attraction in Europe — https://openalex.org/W7171609687</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derivesactionable implications for founders to enable resilient growth during the scaling phase.</w:t>
      </w:r>
    </w:p>
    <w:p>
      <w:pPr/>
      <w:r>
        <w:rPr>
          <w:b/>
        </w:rPr>
        <w:t>POSSIBLE 2025:</w:t>
      </w:r>
      <w:r>
        <w:t xml:space="preserve"> Scaling sustainable start-ups: barriers and enablers in financing in Europe — https://openalex.org/W7162970613</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 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 actionable implications for founders to enable resilient growth during the scaling phase.</w:t>
      </w:r>
    </w:p>
    <w:p>
      <w:pPr>
        <w:pStyle w:val="Heading2"/>
      </w:pPr>
      <w:r>
        <w:t>509.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2025:</w:t>
      </w:r>
      <w:r>
        <w:t xml:space="preserve"> Regulatory Landscape of Nutraceuticals in the European Union — https://doi.org/10.1201/9781003465041-9</w:t>
      </w:r>
    </w:p>
    <w:p>
      <w:pPr/>
      <w:r>
        <w:rPr>
          <w:b/>
        </w:rPr>
        <w:t>Shared claim-specific concepts:</w:t>
      </w:r>
      <w:r>
        <w:t xml:space="preserve"> abstract, union, must, regulatory; EU scope visible. This is a provisional connection, not an outcome finding.</w:t>
      </w:r>
    </w:p>
    <w:p>
      <w:pPr>
        <w:pStyle w:val="SourceNote"/>
      </w:pPr>
      <w:r>
        <w:rPr>
          <w:b/>
        </w:rPr>
        <w:t>Available abstract (not full text):</w:t>
      </w:r>
      <w:r>
        <w:t xml:space="preserve">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pPr/>
      <w:r>
        <w:rPr>
          <w:b/>
        </w:rPr>
        <w:t>POSSIBLE 2025:</w:t>
      </w:r>
      <w:r>
        <w:t xml:space="preserve"> Capitalism, imperialism and European Union Law: towards a Marxist approach — https://doi.org/10.1017/elo.2025.10018</w:t>
      </w:r>
    </w:p>
    <w:p>
      <w:pPr/>
      <w:r>
        <w:rPr>
          <w:b/>
        </w:rPr>
        <w:t>Shared claim-specific concepts:</w:t>
      </w:r>
      <w:r>
        <w:t xml:space="preserve"> abstract, union, must, not, but; EU scope visible. This is a provisional connection, not an outcome finding.</w:t>
      </w:r>
    </w:p>
    <w:p>
      <w:pPr>
        <w:pStyle w:val="SourceNote"/>
      </w:pPr>
      <w:r>
        <w:rPr>
          <w:b/>
        </w:rPr>
        <w:t>Available abstract (not full text):</w:t>
      </w:r>
      <w:r>
        <w:t xml:space="preserve">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pPr/>
      <w:r>
        <w:rPr>
          <w:b/>
        </w:rPr>
        <w:t>POSSIBLE 2025:</w:t>
      </w:r>
      <w:r>
        <w:t xml:space="preserve"> Accounting regulation in the European Union — https://doi.org/10.1007/s11142-025-09909-0</w:t>
      </w:r>
    </w:p>
    <w:p>
      <w:pPr/>
      <w:r>
        <w:rPr>
          <w:b/>
        </w:rPr>
        <w:t>Shared claim-specific concepts:</w:t>
      </w:r>
      <w:r>
        <w:t xml:space="preserve"> abstract, union, regulatory, improve; EU scope visible. This is a provisional connection, not an outcome finding.</w:t>
      </w:r>
    </w:p>
    <w:p>
      <w:pPr>
        <w:pStyle w:val="SourceNote"/>
      </w:pPr>
      <w:r>
        <w:rPr>
          <w:b/>
        </w:rPr>
        <w:t>Available abstract (not full text):</w:t>
      </w:r>
      <w:r>
        <w:t xml:space="preserve">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pPr/>
      <w:r>
        <w:rPr>
          <w:b/>
        </w:rPr>
        <w:t>POSSIBLE 2025:</w:t>
      </w:r>
      <w:r>
        <w:t xml:space="preserve"> Water reuse in the European Union: fostering and constraining public acceptance — https://doi.org/10.1093/jel/eqaf026</w:t>
      </w:r>
    </w:p>
    <w:p>
      <w:pPr/>
      <w:r>
        <w:rPr>
          <w:b/>
        </w:rPr>
        <w:t>Shared claim-specific concepts:</w:t>
      </w:r>
      <w:r>
        <w:t xml:space="preserve"> abstract, union, must; EU scope visible. This is a provisional connection, not an outcome finding.</w:t>
      </w:r>
    </w:p>
    <w:p>
      <w:pPr>
        <w:pStyle w:val="SourceNote"/>
      </w:pPr>
      <w:r>
        <w:rPr>
          <w:b/>
        </w:rPr>
        <w:t>Available abstract (not full text):</w:t>
      </w:r>
      <w:r>
        <w:t xml:space="preserve">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pPr>
        <w:pStyle w:val="Heading2"/>
      </w:pPr>
      <w:r>
        <w:t>510.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511.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2025:</w:t>
      </w:r>
      <w:r>
        <w:t xml:space="preserve"> Risks and benefits of artificial intelligence deepfakes: Systematic review and comparison of public attitudes in seven European Countries — https://doi.org/10.1016/j.jik.2025.100782</w:t>
      </w:r>
    </w:p>
    <w:p>
      <w:pPr/>
      <w:r>
        <w:rPr>
          <w:b/>
        </w:rPr>
        <w:t>Shared claim-specific concepts:</w:t>
      </w:r>
      <w:r>
        <w:t xml:space="preserve"> though, countries, rate, required; EU scope visible. This is a provisional connection, not an outcome finding.</w:t>
      </w:r>
    </w:p>
    <w:p>
      <w:pPr>
        <w:pStyle w:val="SourceNote"/>
      </w:pPr>
      <w:r>
        <w:rPr>
          <w:b/>
        </w:rPr>
        <w:t>Available abstract (not full text):</w:t>
      </w:r>
      <w:r>
        <w:t xml:space="preserve"> This study provides an evidence-based integrated appraisal of artificial intelligence (AI)-generated deepfakes by integrating a cross-disciplinary literature synthesis with original opinion-poll evidence from seven European countries. A SWOT matrix distils convergent concerns—weaponised disinformation, privacy erosion, and the detection arms race—alongside under-explored opportunities in education, therapy, and creative industries. To test whether these scholarly themes resonate with citizens, a computer-assisted web survey (N = 7,083) measured perceived risks and benefits across 10 specific scenarios for each theme. Correspondence analysis and Bonferroni-adjusted means reveal a pronounced age gradient for benefits, whereas risk perceptions vary by country—younger cohorts are noticeably less alarmed only in Sweden, France, and Czechia. Geographically, Dutch, German, British, and Italian publics prove the most enthusiastic: the United Kingdom (UK) couples similar enthusiasm with markedly higher risk vigilance, whereas Czech and Swedish respondents remain consistently sceptical, underscoring a broad, though imperfect, west/south versus central/north divide. The Netherlands, Germany, the UK, and Italy value pro-social applications (i.e., realistic crisis drills, public-interest campaigns, and therapeutic ‘mental-health’ avatars), with the Netherlands topping four benefit items and</w:t>
      </w:r>
    </w:p>
    <w:p>
      <w:pPr/>
      <w:r>
        <w:rPr>
          <w:b/>
        </w:rPr>
        <w:t>POSSIBLE 2025:</w:t>
      </w:r>
      <w:r>
        <w:t xml:space="preserve"> A framework for 1.5°C-aligned GHG budgets in architecture — https://doi.org/10.5334/bc.664</w:t>
      </w:r>
    </w:p>
    <w:p>
      <w:pPr/>
      <w:r>
        <w:rPr>
          <w:b/>
        </w:rPr>
        <w:t>Shared claim-specific concepts:</w:t>
      </w:r>
      <w:r>
        <w:t xml:space="preserve"> countries, targets, ghg, per; EU scope visible. This is a provisional connection, not an outcome finding.</w:t>
      </w:r>
    </w:p>
    <w:p>
      <w:pPr>
        <w:pStyle w:val="SourceNote"/>
      </w:pPr>
      <w:r>
        <w:rPr>
          <w:b/>
        </w:rPr>
        <w:t>Available abstract (not full text):</w:t>
      </w:r>
      <w:r>
        <w:t xml:space="preserve"> A methodological framework is presented for integrating 1.5°C-aligned greenhouse gas (GHG) budgets into architectural practice. Responding to the urgent need to decarbonise the built environment, this practice-oriented approach is based on the Carbon Risk Real Estate Monitor (CRREM) and the Science-Based Targets initiative (SBTi). The framework enables GHG budgets to be set early, requiring only a functional brief and target completion year as inputs. It establishes absolute GHG budgets per m2 and completion year for eight core building usage categories, allowing the early integration of climate targets in design processes. Mixed-use buildings are addressed through the area-weighted allocation of usage-specific budgets. Although developed for the European context, the framework can be adapted to other countries. The proposed 1.5°C-reduction pathways are compared with national frameworks such as France’s RE 2020 and Denmark’s BR 18, as well as with 20 recent mixed-use projects from a large German architectural practice. Achieving 1.5°C alignment will require halving GHG budgets roughly every seven years, highlighting the need for transformative change in architectural design and construction. Limitations include the use of global embodied carbon benchmarks and the assumption of functional stability over a 50-year reference study period. Practice relevance The proposed framework </w:t>
      </w:r>
    </w:p>
    <w:p>
      <w:pPr/>
      <w:r>
        <w:rPr>
          <w:b/>
        </w:rPr>
        <w:t>POSSIBLE 2025:</w:t>
      </w:r>
      <w:r>
        <w:t xml:space="preserve"> Carbon footprint reduction potential of consumption changes in five European countries in 2015, 2030, and 2050 — https://doi.org/10.1016/j.spc.2025.08.018</w:t>
      </w:r>
    </w:p>
    <w:p>
      <w:pPr/>
      <w:r>
        <w:rPr>
          <w:b/>
        </w:rPr>
        <w:t>Shared claim-specific concepts:</w:t>
      </w:r>
      <w:r>
        <w:t xml:space="preserve"> though, countries, reduction; EU scope visible. This is a provisional connection, not an outcome finding.</w:t>
      </w:r>
    </w:p>
    <w:p>
      <w:pPr>
        <w:pStyle w:val="SourceNote"/>
      </w:pPr>
      <w:r>
        <w:rPr>
          <w:b/>
        </w:rPr>
        <w:t>Available abstract (not full text):</w:t>
      </w:r>
      <w:r>
        <w:t xml:space="preserve"> Limiting global warming to 1.5 °C requires extensive socioeconomic and technological transformations. With approximately two-thirds of global greenhouse gas emissions linked to household consumption, reducing demand-side emissions through low-carbon lifestyle changes is critical. While major emissions hotspots and high-impact consumption changes are known, a cross-country prospective analysis of their emissions reduction potential has been missing. This study quantifies the avoided greenhouse gas emissions from 47 consumption changes across five diverse European countries. We assess how socioeconomic and technological changes influence emissions reduction potentials by comparing such potentials in a baseline year (2015) with those in 2030 and 2050 under a sustainable development scenario. Our findings highlight that the most effective mitigation options involve reducing conventional vehicle use, decarbonizing household heating, and shifting to predominantly plant-based diets. Though country-specific variation exists, we observed that the emissions reduction potentials of many consumption changes evolve proportionally to technological changes. Behaviors involving direct fossil fuel combustion, such as car travel or fossil-fueled heating, remain largely unabated by technological shifts without lifestyle change, thus increasing in relative mitigation potential. Changes relying on </w:t>
      </w:r>
    </w:p>
    <w:p>
      <w:pPr/>
      <w:r>
        <w:rPr>
          <w:b/>
        </w:rPr>
        <w:t>POSSIBLE 2024:</w:t>
      </w:r>
      <w:r>
        <w:t xml:space="preserve"> Investigating the heterogeneity within Wild bird indices in Europe — https://doi.org/10.1016/j.biocon.2024.110452</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pStyle w:val="Heading2"/>
      </w:pPr>
      <w:r>
        <w:t>512.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r>
        <w:rPr>
          <w:b/>
        </w:rPr>
        <w:t>POSSIBLE 2024:</w:t>
      </w:r>
      <w:r>
        <w:t xml:space="preserve"> Modelling the effect of land use and crop changes on water harvesting agricultural reservoirs — https://doi.org/10.5194/egusphere-egu24-936</w:t>
      </w:r>
    </w:p>
    <w:p>
      <w:pPr/>
      <w:r>
        <w:rPr>
          <w:b/>
        </w:rPr>
        <w:t>Shared claim-specific concepts:</w:t>
      </w:r>
      <w:r>
        <w:t xml:space="preserve"> solution, land, less; EU scope visible. This is a provisional connection, not an outcome finding.</w:t>
      </w:r>
    </w:p>
    <w:p>
      <w:pPr>
        <w:pStyle w:val="SourceNote"/>
      </w:pPr>
      <w:r>
        <w:rPr>
          <w:b/>
        </w:rPr>
        <w:t>Available abstract (not full text):</w:t>
      </w:r>
      <w:r>
        <w:t xml:space="preserve"> Water harvesting with Small Agricultural Reservoirs (SmAR) represents a solution for sustainable water management at a global scale. Early estimates showed that globally there were about 277,400,000 SmAR with an area of less than one hectare, and 24,120,000 water bodies between one and 10 hectares, representing more than 90% of the world’s standing water bodies. One of the most relevant challenges for the sustainable management of SmAR is represented by the loss of storage volume caused by the inflow of sediments. However, the analysis of the dynamics of sedimentation for SmAR received relatively little interest so far in the Mediterranean and on a global scale.The purpose of this study is to implement a fully calibrated and validated model simulating the hydrology and erosion dynamics of the catchment of a SmAR in the Tuscany Region (Italy). The area is in the hilly area of Crete Senesi, about 15 km from Siena, where wine production is particularly developed, but not within the catchment of study, where the cultivation of cereals, renewal crops, and forage is practiced and there is a large grazing area. Our analysis aimed at estimating how much the rate of sediment accumulation in the reservoir would vary with the replacement of currently arable land with vineyards.A model was implemented on the HEC-HMS software, maximizing the value of existent low-cost data (Google Earth ima</w:t>
      </w:r>
    </w:p>
    <w:p>
      <w:pPr/>
      <w:r>
        <w:rPr>
          <w:b/>
        </w:rPr>
        <w:t>POSSIBLE 2024:</w:t>
      </w:r>
      <w:r>
        <w:t xml:space="preserve"> Cost‐effective use of abandoned agricultural land for biofuel production — https://doi.org/10.1111/gcbb.13165</w:t>
      </w:r>
    </w:p>
    <w:p>
      <w:pPr/>
      <w:r>
        <w:rPr>
          <w:b/>
        </w:rPr>
        <w:t>Shared claim-specific concepts:</w:t>
      </w:r>
      <w:r>
        <w:t xml:space="preserve"> show, land, also, both, reduced, less; EU scope visible. This is a provisional connection, not an outcome finding.</w:t>
      </w:r>
    </w:p>
    <w:p>
      <w:pPr>
        <w:pStyle w:val="SourceNote"/>
      </w:pPr>
      <w:r>
        <w:rPr>
          <w:b/>
        </w:rPr>
        <w:t>Available abstract (not full text):</w:t>
      </w:r>
      <w:r>
        <w:t xml:space="preserve"> Abstract Biofuel can be used to abate greenhouse gas emissions in the transport sector, by replacing fossil fuel. To avoid the problem of competition with food production, the use of abandoned agricultural land (AAL) for production of the feedstock for biofuel has been proposed. AAL has generally low productivity but has also low opportunity costs, and production of perennial bioenergy crops on it can lead to carbon sequestration. A spatially explicit optimization model of biofuel production and transport fuel consumption, applied to Sweden, was used for an analysis of how AAL can alter costs for greenhouse gas emissions abatement. Results show that, compared to the case without AAL, AAL could decrease the costs of reducing greenhouse gas emissions by 29%, for emissions reductions equivalent to 50% of current emissions from gasoline in Sweden. The carbon sequestration from establishing perennial bioenergy crops on AAL is the main driver of the positive results. High carbon sequestration on AAL implies larger emissions reduction for a given volume of biofuel, and the results show that the total biofuel production can be both smaller and larger with AAL. The use of arable land for biofuel production is generally smaller with AAL, but larger at some of the highest analyzed target levels. The low AAL feedstock costs contribute to lower costs of the total biofuel production, which p</w:t>
      </w:r>
    </w:p>
    <w:p>
      <w:pPr>
        <w:pStyle w:val="Heading2"/>
      </w:pPr>
      <w:r>
        <w:t>513.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514.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r>
        <w:rPr>
          <w:b/>
        </w:rPr>
        <w:t>POSSIBLE 2025:</w:t>
      </w:r>
      <w:r>
        <w:t xml:space="preserve"> A Case Study of Decarbonization and the Dual-Carbon Strategy — https://doi.org/10.4236/jpee.2025.1312006</w:t>
      </w:r>
    </w:p>
    <w:p>
      <w:pPr/>
      <w:r>
        <w:rPr>
          <w:b/>
        </w:rPr>
        <w:t>Shared claim-specific concepts:</w:t>
      </w:r>
      <w:r>
        <w:t xml:space="preserve"> decarbonization, national, emissions, technological, world; EU scope not established. This is a provisional connection, not an outcome finding.</w:t>
      </w:r>
    </w:p>
    <w:p>
      <w:pPr>
        <w:pStyle w:val="SourceNote"/>
      </w:pPr>
      <w:r>
        <w:rPr>
          <w:b/>
        </w:rPr>
        <w:t>Available abstract (not full text):</w:t>
      </w:r>
      <w:r>
        <w:t xml:space="preserve"> Global decarbonization efforts form a critical mission in the fight against climate change. This article analyzes the foundational pillars underpinning the Chinese strategy to achieve its ambitious dual-carbon goals—peak emissions by 2030 and carbon neutrality by 2060. We argue that this transition is propelled by a synergistic framework of robust policy mandates, the rapid deployment of energy transition technologies, and the strategic development of a national carbon market. This study presents an analysis of how top-down policies, such as the 14th Five-Year Plan, catalyze an unprecedented shift toward renewable energy sources, primarily wind and solar, while driving innovation in energy storage and smart grid infrastructure. Concurrently, the establishment of the world’s largest emissions trading system (ETS) is examined as a crucial market-based mechanism designed to incentivize emission reductions across the power sector, with potential for future expansion. This article synthesizes the significant progress made to date, identifying key achievements and persistent challenges, such as energy security and industrial decarbonization. Finally, it offers a forward-looking perspective on the steps necessary to solidify these pillars, emphasizing the need for technological breakthroughs, deeper market reforms, and a just transition to ensure the long-term viability and global imp</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decarbonization, greenhouse, gas, emissions, economy, countries;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Modeling and Control of Electric Loads for Ancillary Services and Decarbonization — https://doi.org/10.7302/25608</w:t>
      </w:r>
    </w:p>
    <w:p>
      <w:pPr/>
      <w:r>
        <w:rPr>
          <w:b/>
        </w:rPr>
        <w:t>Shared claim-specific concepts:</w:t>
      </w:r>
      <w:r>
        <w:t xml:space="preserve"> according, decarbonization, industry, increase, developed; EU scope not established. This is a provisional connection, not an outcome finding.</w:t>
      </w:r>
    </w:p>
    <w:p>
      <w:pPr>
        <w:pStyle w:val="SourceNote"/>
      </w:pPr>
      <w:r>
        <w:rPr>
          <w:b/>
        </w:rPr>
        <w:t>Available abstract (not full text):</w:t>
      </w:r>
      <w:r>
        <w:t xml:space="preserve"> Towards decarbonizing power systems and achieving sustainability goals, traditional power plants, such as coal fired power plants, are being phased out and replaced with renewable generation alternatives. Historically, synchronous generators of traditional power plants provided much of the essential load balancing services required to match scheduled generation and demand, ensuring power system reliability. Hence, with the sunsetting of traditional generation, new sources of load balancing flexibility are needed. Furthermore, the inherent intermittent and variable nature of renewable generation typically requires an increase in the load balancing services needed. Aggregations of electric loads, such as thermostatically controlled loads (TCLs), hold substantial potential to offer this flexibility, given their thermal inertia and ubiquity. TCLs are an ubiquitous resource with inherent temporal flexibility that allows them cycle on/off and consume power in cycles. This flexibility can be leveraged for power system objectives. The abundance and spatial distribution of TCLs make them a prime and valuable candidate to provide flexibility to the power grid. This dissertation develops models and control algorithms for leveraging the flexibility of TCL resources and practically demonstrates the ancillary service and decarbonization potential of these loads. Building on established hiera</w:t>
      </w:r>
    </w:p>
    <w:p>
      <w:pPr>
        <w:pStyle w:val="Heading2"/>
      </w:pPr>
      <w:r>
        <w:t>515.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pStyle w:val="Heading2"/>
      </w:pPr>
      <w:r>
        <w:t>516.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r>
        <w:rPr>
          <w:b/>
        </w:rPr>
        <w:t>POSSIBLE 2025:</w:t>
      </w:r>
      <w:r>
        <w:t xml:space="preserve"> Safe access to asylum in Europe: revisiting the litmus test of refugee law — https://doi.org/10.59350/fluchtforschung.14630</w:t>
      </w:r>
    </w:p>
    <w:p>
      <w:pPr/>
      <w:r>
        <w:rPr>
          <w:b/>
        </w:rPr>
        <w:t>Shared claim-specific concepts:</w:t>
      </w:r>
      <w:r>
        <w:t xml:space="preserve"> one, pressing, issues, still; EU scope visible. This is a provisional connection, not an outcome finding.</w:t>
      </w:r>
    </w:p>
    <w:p>
      <w:pPr>
        <w:pStyle w:val="SourceNote"/>
      </w:pPr>
      <w:r>
        <w:rPr>
          <w:b/>
        </w:rPr>
        <w:t>Available abstract (not full text):</w:t>
      </w:r>
      <w:r>
        <w:t xml:space="preserve"> The question of safe and regulated entry for protection seekers into a state of refuge is still one of the most pressing issues of the asylum system in Europe.</w:t>
      </w:r>
    </w:p>
    <w:p>
      <w:pPr/>
      <w:r>
        <w:rPr>
          <w:b/>
        </w:rPr>
        <w:t>POSSIBLE 2025:</w:t>
      </w:r>
      <w:r>
        <w:t xml:space="preserve"> Islamic Lifestyle Applications: Meeting the Spiritual Needs of Modern Muslims — https://doi.org/10.1080/10447318.2025.2595545</w:t>
      </w:r>
    </w:p>
    <w:p>
      <w:pPr/>
      <w:r>
        <w:rPr>
          <w:b/>
        </w:rPr>
        <w:t>Shared claim-specific concepts:</w:t>
      </w:r>
      <w:r>
        <w:t xml:space="preserve"> meeting, needs, assess; EU scope not established. This is a provisional connection, not an outcome finding.</w:t>
      </w:r>
    </w:p>
    <w:p>
      <w:pPr>
        <w:pStyle w:val="SourceNote"/>
      </w:pPr>
      <w:r>
        <w:rPr>
          <w:b/>
        </w:rPr>
        <w:t>Available abstract (not full text):</w:t>
      </w:r>
      <w:r>
        <w:t xml:space="preserve"> We evaluated contemporary Islamic lifestyle applications supporting religious practices and motivation among Muslims. We reviewed 11 popular applications using self-determination theory and the technology-as-experience framework to assess their support for motivation and affective needs. Most applications lack features that foster autonomy, competence, and relatedness. We also interviewed ten devoted Muslim application users to gain insights into their experiences and unmet needs. Our findings indicate that existing applications fall short in providing comprehensive learning, social connections, and scholar consultations. We propose design implications based on our results, including spiritual empowerment through technology, designing for intrinsic motivation, culturally grounded design and community engagement. We aim to inform the design of Islamic lifestyle applications that better facilitate ritual practices, benefitting application designers and Muslim communities. Our research provides valuable insights into the untapped potential for lifestyle applications to act as religious companions supporting Muslims’ spiritual journey.</w:t>
      </w:r>
    </w:p>
    <w:p>
      <w:pPr>
        <w:pStyle w:val="Heading2"/>
      </w:pPr>
      <w:r>
        <w:t>517.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pStyle w:val="Heading2"/>
      </w:pPr>
      <w:r>
        <w:t>518.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519.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2025:</w:t>
      </w:r>
      <w:r>
        <w:t xml:space="preserve"> Prevalence of Glaucoma in Europe and Projections to 2050 — https://doi.org/10.1016/j.ophtha.2025.06.002</w:t>
      </w:r>
    </w:p>
    <w:p>
      <w:pPr/>
      <w:r>
        <w:rPr>
          <w:b/>
        </w:rPr>
        <w:t>Shared claim-specific concepts:</w:t>
      </w:r>
      <w:r>
        <w:t xml:space="preserve"> projections, population, people, assess;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pStyle w:val="Heading2"/>
      </w:pPr>
      <w:r>
        <w:t>520.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r>
        <w:rPr>
          <w:b/>
        </w:rPr>
        <w:t>POSSIBLE 2024:</w:t>
      </w:r>
      <w:r>
        <w:t xml:space="preserve"> Nature-Based Tourism in National and Natural Parks in Europe: A Systematic Review — https://doi.org/10.3390/f15040588</w:t>
      </w:r>
    </w:p>
    <w:p>
      <w:pPr/>
      <w:r>
        <w:rPr>
          <w:b/>
        </w:rPr>
        <w:t>Shared claim-specific concepts:</w:t>
      </w:r>
      <w:r>
        <w:t xml:space="preserve"> based, two, reduce;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2024:</w:t>
      </w:r>
      <w:r>
        <w:t xml:space="preserve"> Causal linkages between stock, crude oil and gold returns in Central Europe — https://doi.org/10.15611/aoe.2024.2.05</w:t>
      </w:r>
    </w:p>
    <w:p>
      <w:pPr/>
      <w:r>
        <w:rPr>
          <w:b/>
        </w:rPr>
        <w:t>Shared claim-specific concepts:</w:t>
      </w:r>
      <w:r>
        <w:t xml:space="preserve"> two, causal; EU scope visible. This is a provisional connection, not an outcome finding.</w:t>
      </w:r>
    </w:p>
    <w:p>
      <w:pPr>
        <w:pStyle w:val="SourceNote"/>
      </w:pPr>
      <w:r>
        <w:rPr>
          <w:b/>
        </w:rPr>
        <w:t>Available abstract (not full text):</w:t>
      </w:r>
      <w:r>
        <w:t xml:space="preserve"> The aim of this paper was to evaluate the relationship between the stocks, crude oil and gold markets of Central Europe in the short and long-term by applying a vector error correction model (VECM), and the Granger-causality analysis followed by a forecast error variance decomposition (FEVD) and impulse response function (IRF) analysis. Since gold seems to demonstrate a low or negative correlation with stocks, while the correlation between crude oil and gold is positive, it is important to investigate the interrelations in the markets in question to understand the nature of the linkages between them and their implications. It is assumed that there exists a long-term equilibrium between the analysed assets and that the changes in the prices in the gold and crude oil markets impact the stock market. The research findings confirm a long-term relationship between the markets as the prices of the analysed assets are cointegrated. In the long-term, the increase in the crude oil price (Brent) caused a raise in the gold price, whereas the impact of the stock price (Central European Blue Chip Index CETOP) was opposite. The author indicated two cases of unidirectional causality, hence the gold returns Granger-cause the stock returns, as expected. However, the latter determined the crude oil returns, which contradicts the research hypothesis. One can observe the negative impact of gold re</w:t>
      </w:r>
    </w:p>
    <w:p>
      <w:pPr>
        <w:pStyle w:val="Heading2"/>
      </w:pPr>
      <w:r>
        <w:t>521.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large;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Player Transfer Market in European Football Using Machine Learning to analyse the evolution of the European football. — https://doi.org/10.63227/652.299.56</w:t>
      </w:r>
    </w:p>
    <w:p>
      <w:pPr/>
      <w:r>
        <w:rPr>
          <w:b/>
        </w:rPr>
        <w:t>Shared claim-specific concepts:</w:t>
      </w:r>
      <w:r>
        <w:t xml:space="preserve"> analyse, evolution, insights; EU scope visible. This is a provisional connection, not an outcome finding.</w:t>
      </w:r>
    </w:p>
    <w:p>
      <w:pPr>
        <w:pStyle w:val="SourceNote"/>
      </w:pPr>
      <w:r>
        <w:rPr>
          <w:b/>
        </w:rPr>
        <w:t>Available abstract (not full text):</w:t>
      </w:r>
      <w:r>
        <w:t xml:space="preserve"> The study uses machine learning to analyse the European football transfer market from 2015 to 2025, revealing patterns in transfer fees and market values influenced by player attributes, highlighting the potential of data-driven insights.</w:t>
      </w:r>
    </w:p>
    <w:p>
      <w:pPr/>
      <w:r>
        <w:rPr>
          <w:b/>
        </w:rPr>
        <w:t>POSSIBLE 2025:</w:t>
      </w:r>
      <w:r>
        <w:t xml:space="preserve"> Evolution of the Geographic Range of a European Montane Leaf Beetle in Response to Climate Changes at the End of the Quaternary — https://doi.org/10.1111/jbi.15181</w:t>
      </w:r>
    </w:p>
    <w:p>
      <w:pPr/>
      <w:r>
        <w:rPr>
          <w:b/>
        </w:rPr>
        <w:t>Shared claim-specific concepts:</w:t>
      </w:r>
      <w:r>
        <w:t xml:space="preserve"> evolution, last, two, suggest; EU scope visible. This is a provisional connection, not an outcome finding.</w:t>
      </w:r>
    </w:p>
    <w:p>
      <w:pPr>
        <w:pStyle w:val="SourceNote"/>
      </w:pPr>
      <w:r>
        <w:rPr>
          <w:b/>
        </w:rPr>
        <w:t>Available abstract (not full text):</w:t>
      </w:r>
      <w:r>
        <w:t xml:space="preserve"> ABSTRACT Aim During the past few 100,000 years, repeated cycles of glaciation and warming episodes have radically altered the range of organisms. Numerous phylogeographic studies have investigated the impact of past climate changes on the range of temperate organisms in Europe, but we know substantially less about organisms that are adapted to colder climates. Their distributions are often currently fragmented and limited to relatively high elevations in mountainous regions and to the north of Europe. Our inferences of their range during the last glaciation appear contradictory: some studies indicate a range expansion through colonisation of the lowlands, while others suggest a range contraction because they were restricted to small refugia. In this study, we wished to identify which of these two alternative hypotheses explains best the current distribution of genetic variation in a European montane leaf beetle whose current range spans several mountains. Location Four European mountain systems: Alps, Vosges, Massif Central, Pyrenees. Time Period End of the Quaternary, focusing mainly on the last glaciation and the Holocene. Taxon Gonioctena quinquepunctata [Fabricius, 1787] (Coleoptera; Chrysomelidae). Results Modelling of the potential current and last glacial maximum species distributions suggested that climatic conditions were more favourable in the lowlands during the last</w:t>
      </w:r>
    </w:p>
    <w:p>
      <w:pPr/>
      <w:r>
        <w:rPr>
          <w:b/>
        </w:rPr>
        <w:t>POSSIBLE 2025:</w:t>
      </w:r>
      <w:r>
        <w:t xml:space="preserve"> The Evolution of Hybrid Warfare — https://doi.org/10.36250/01237_06</w:t>
      </w:r>
    </w:p>
    <w:p>
      <w:pPr/>
      <w:r>
        <w:rPr>
          <w:b/>
        </w:rPr>
        <w:t>Shared claim-specific concepts:</w:t>
      </w:r>
      <w:r>
        <w:t xml:space="preserve"> analyse, evolution, last, two, like; EU scope visible. This is a provisional connection, not an outcome finding.</w:t>
      </w:r>
    </w:p>
    <w:p>
      <w:pPr>
        <w:pStyle w:val="SourceNote"/>
      </w:pPr>
      <w:r>
        <w:rPr>
          <w:b/>
        </w:rPr>
        <w:t>Available abstract (not full text):</w:t>
      </w:r>
      <w:r>
        <w:t xml:space="preserve"> Hybrid warfare has several nuances and can be referred to various tools and means. While some of them are relative new elements related to the current international system, several others represent the last evolution of a long history. This chapter aims to contextualise the notion of hybrid warfare in the broader framework of the contemporary international relations. Hence, the chapter intends to analyse two different contexts in which the notion of hybrid warfare has been used and the way in which that notion has been integrated in the EU official documents like EUGS (European Union Global Strategy) adopted in June 2016.</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evolution, last, two, decades;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pStyle w:val="Heading2"/>
      </w:pPr>
      <w:r>
        <w:t>522.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issues, challenges, among, further, improvement;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INFORMATION SECURITY OF THE EUROPEAN UNION: CHALLENGES AND TRENDS — https://doi.org/10.21564/2663-5704.66.337888</w:t>
      </w:r>
    </w:p>
    <w:p>
      <w:pPr/>
      <w:r>
        <w:rPr>
          <w:b/>
        </w:rPr>
        <w:t>Shared claim-specific concepts:</w:t>
      </w:r>
      <w:r>
        <w:t xml:space="preserve"> also, issues, challenges, union; EU scope visible. This is a provisional connection, not an outcome finding.</w:t>
      </w:r>
    </w:p>
    <w:p>
      <w:pPr>
        <w:pStyle w:val="SourceNote"/>
      </w:pPr>
      <w:r>
        <w:rPr>
          <w:b/>
        </w:rPr>
        <w:t>Available abstract (not full text):</w:t>
      </w:r>
      <w:r>
        <w:t xml:space="preserve"> The article analyzes the current challenges and threats to the information security of the European Union. It outlines the activities of European institutions responsible for addressing information security issues and examines the relevant legislative framework in this domain. The study explores the main directions of the EU leadership’s response to information-related challenges and threats. It also highlights the key features of the European cybersecurity strategy.</w:t>
      </w:r>
    </w:p>
    <w:p>
      <w:pPr/>
      <w:r>
        <w:rPr>
          <w:b/>
        </w:rPr>
        <w:t>POSSIBLE 2025:</w:t>
      </w:r>
      <w:r>
        <w:t xml:space="preserve"> Chapter Methodological challenges in European penology — https://openalex.org/W7137666023</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Chapter Methodological challenges in European penology — https://openalex.org/W7162922291</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r>
        <w:rPr>
          <w:b/>
        </w:rPr>
        <w:t>POSSIBLE 2025:</w:t>
      </w:r>
      <w:r>
        <w:t xml:space="preserve"> Changes in the thermal stress across Europe between 1940–2023 — https://doi.org/10.1007/s00484-025-03043-x</w:t>
      </w:r>
    </w:p>
    <w:p>
      <w:pPr/>
      <w:r>
        <w:rPr>
          <w:b/>
        </w:rPr>
        <w:t>Shared claim-specific concepts:</w:t>
      </w:r>
      <w:r>
        <w:t xml:space="preserve"> also, reveal, climate; EU scope visible. This is a provisional connection, not an outcome finding.</w:t>
      </w:r>
    </w:p>
    <w:p>
      <w:pPr>
        <w:pStyle w:val="SourceNote"/>
      </w:pPr>
      <w:r>
        <w:rPr>
          <w:b/>
        </w:rPr>
        <w:t>Available abstract (not full text):</w:t>
      </w:r>
      <w:r>
        <w:t xml:space="preserve"> Long-term changes (1940-2023) in thermal stress and its drivers in Europe were investigated based on the Universal Thermal Climate Index (UTCI) extracted from the ERA5-HEAT reanalysis. Furthermore, a vulnerability index was introduced to assess the impact of thermal stress. The results reveal a rapid continental shift in thermal stress toward milder conditions. Although cold stress is declining fastest in northern regions (more than 4 hours·decade[Formula: see text]), heat stress is intensifying across southern Europe (more than 3 hours·decade[Formula: see text]). Such changes are driven by an increase in 2 m air temperature (between 0.2 up to 0.6[Formula: see text]C·decade[Formula: see text]) and mean radiant temperature, particularly over northern and central Europe, and by changes also in relative humidity and wind speed. One of the key findings of this study is the decline in wind speed in specific areas of central and eastern Europe, leading to an increase in UTCI. Monthly analyzes show that winters warm the fastest (e.g., January cold stress decreases by 1.93%·decade[Formula: see text]), while summer heat stress peaks in July (0.27%·decade[Formula: see text]). In particular, the late spring months (e.g., May) also exhibit a positive trend, contributing to an extended warm season in Europe. Although European UTCI trends generally show a migration of thermal stress categori</w:t>
      </w:r>
    </w:p>
    <w:p>
      <w:pPr>
        <w:pStyle w:val="Heading2"/>
      </w:pPr>
      <w:r>
        <w:t>523.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2025:</w:t>
      </w:r>
      <w:r>
        <w:t xml:space="preserve"> The Circular Economy in Cities and Regions of the European Union — https://doi.org/10.1787/e09c21e2-en</w:t>
      </w:r>
    </w:p>
    <w:p>
      <w:pPr/>
      <w:r>
        <w:rPr>
          <w:b/>
        </w:rPr>
        <w:t>Shared claim-specific concepts:</w:t>
      </w:r>
      <w:r>
        <w:t xml:space="preserve"> cities, policies;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Work-Domain Goal Orientation: A Theoretical Framework for the Construct and Turkish Adaptation of a Work-Domain Goal Orientation Instrument — https://doi.org/10.3390/educsci15010067</w:t>
      </w:r>
    </w:p>
    <w:p>
      <w:pPr/>
      <w:r>
        <w:rPr>
          <w:b/>
        </w:rPr>
        <w:t>Shared claim-specific concepts:</w:t>
      </w:r>
      <w:r>
        <w:t xml:space="preserve"> work, perspective, findings; EU scope not established. This is a provisional connection, not an outcome finding.</w:t>
      </w:r>
    </w:p>
    <w:p>
      <w:pPr>
        <w:pStyle w:val="SourceNote"/>
      </w:pPr>
      <w:r>
        <w:rPr>
          <w:b/>
        </w:rPr>
        <w:t>Available abstract (not full text):</w:t>
      </w:r>
      <w:r>
        <w:t xml:space="preserve"> This study brings a novel perspective to the relationship between higher education and work life by examining work-domain goal orientation as a critical factor in preparing students for professional environments. Through an extensive literature review, it highlights the role of work-domain goal orientation in aligning higher education curricula with the demands of the modern workplace, emphasizing how students’ goal orientation influences their future professional success. Additionally, this study adapts and validates a work-domain goal orientation instrument into Turkish, offering a reliable tool for use in Turkish contexts. A sample of 729 undergraduate students from various academic disciplines participated in the study. Exploratory and confirmatory factor analyses confirmed a three-factor structure (learning, proving, avoiding), accounting for 68.4% of the variance. The internal consistency was reliable, with Cronbach’s alpha values ranging from 0.84 to 0.86 across subscales. The study provides a dual contribution by offering theoretical insights into work-domain goal orientation and delivering a psychometrically validated tool for assessing students’ readiness for professional life in a non-Western context. These findings address gaps in the literature on goal orientation and its application in diverse cultural settings, advancing both academic understanding and practical </w:t>
      </w:r>
    </w:p>
    <w:p>
      <w:pPr/>
      <w:r>
        <w:rPr>
          <w:b/>
        </w:rPr>
        <w:t>POSSIBLE 2025:</w:t>
      </w:r>
      <w:r>
        <w:t xml:space="preserve"> Defining the Optimal Characteristics of Autonomous Vehicles for Public Passenger Transport in European Cities with Constrained Urban Spaces — https://doi.org/10.3390/vehicles7040125</w:t>
      </w:r>
    </w:p>
    <w:p>
      <w:pPr/>
      <w:r>
        <w:rPr>
          <w:b/>
        </w:rPr>
        <w:t>Shared claim-specific concepts:</w:t>
      </w:r>
      <w:r>
        <w:t xml:space="preserve"> cities, transport, energy, urban, empirical, findings; EU scope visible. This is a provisional connection, not an outcome finding.</w:t>
      </w:r>
    </w:p>
    <w:p>
      <w:pPr>
        <w:pStyle w:val="SourceNote"/>
      </w:pPr>
      <w:r>
        <w:rPr>
          <w:b/>
        </w:rPr>
        <w:t>Available abstract (not full text):</w:t>
      </w:r>
      <w:r>
        <w:t xml:space="preserve"> This research addresses the complex challenge of integrating modern public transport into historic medieval city centers. These unique urban environments are characterized by narrow streets, protected heritage status, and topographical constraints, which are incompatible with conventional transit vehicles. The introduction of standard bus routes often aggravates traffic congestion and fails to meet the specific mobility needs of residents and visitors. This paper suggests that autonomous electric buses represent a viable and sustainable solution, capable of navigating these constrained environments while aligning with modern energy efficiency goals. The central challenge lies in the optimal selection of an autonomous electric bus that can operate safely and efficiently within the tight streets of historic city centers while satisfying the travel demands of passengers. To address this, a comprehensive study was conducted, analyzing resident mobility patterns—including key routes and hourly passenger loads—and the specific geometric constraints of the road network. Based on this empirical data, a vehicle dynamics model was developed in Matlab®. This model simulates various operational scenarios by calculating the instantaneous forces (rolling resistance, aerodynamic drag, inertial forces) and the corresponding power required for different electric bus configurations to follow pre</w:t>
      </w:r>
    </w:p>
    <w:p>
      <w:pPr>
        <w:pStyle w:val="Heading2"/>
      </w:pPr>
      <w:r>
        <w:t>524.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r>
        <w:rPr>
          <w:b/>
        </w:rPr>
        <w:t>POSSIBLE 2025:</w:t>
      </w:r>
      <w:r>
        <w:t xml:space="preserve"> Cadmium and other metallic contaminants in cacao: Update on current knowledge and mitigation strategies — https://doi.org/10.1051/ocl/2025019</w:t>
      </w:r>
    </w:p>
    <w:p>
      <w:pPr/>
      <w:r>
        <w:rPr>
          <w:b/>
        </w:rPr>
        <w:t>Shared claim-specific concepts:</w:t>
      </w:r>
      <w:r>
        <w:t xml:space="preserve"> discuss, current, knowledge, exposure; EU scope visible. This is a provisional connection, not an outcome finding.</w:t>
      </w:r>
    </w:p>
    <w:p>
      <w:pPr>
        <w:pStyle w:val="SourceNote"/>
      </w:pPr>
      <w:r>
        <w:rPr>
          <w:b/>
        </w:rPr>
        <w:t>Available abstract (not full text):</w:t>
      </w:r>
      <w:r>
        <w:t xml:space="preserve"> Cadmium (Cd) is a non-essential metal classified as class 1 carcinogen, which can induce detrimental effects for humans. Food is the main route of Cd exposure for the general population (except smokers). Chocolate products account for 4% and 9% of the dietary Cd intake for adults and children, respectively, in Europe. Since 2019, the EU limits Cd concentration in chocolate. The maximum permitted concentration (MPC) varies from 0.30 to 0.80 mg Cd kg−1 depending on the% of total cocoa solids in the final product. Cacao (Theobroma cacao L.) producers in Latin America and the Caribbean, who provide 19.4% of global cacao production, are strongly impacted because a significant fraction of their production exceeds these limits. In this review, the current knowledge on the factors influencing the soil Cd enrichments and Cd phytoavailability is discussed. The Cd transfer to cacao trees and to beans, and the responses of cacao trees to Cd exposure are also presented. Then, various mitigation strategies, including post-harvest treatments, soil amendments, microbial remediation (or bioremediation), breeding programs and grafting, are summarized. We also discuss the transfer of knowledge to stakeholders in the cacao supply chain. Finally, current knowledge on the presence of other metallic contaminants in cacao beans, particularly nickel (Ni), is reviewed.</w:t>
      </w:r>
    </w:p>
    <w:p>
      <w:pPr/>
      <w:r>
        <w:rPr>
          <w:b/>
        </w:rPr>
        <w:t>POSSIBLE 2025:</w:t>
      </w:r>
      <w:r>
        <w:t xml:space="preserve"> Grasslands in Europe: current status, emerging challenges, and pathways to sustainable futures — https://doi.org/10.19103/as.2025.0154.26</w:t>
      </w:r>
    </w:p>
    <w:p>
      <w:pPr/>
      <w:r>
        <w:rPr>
          <w:b/>
        </w:rPr>
        <w:t>Shared claim-specific concepts:</w:t>
      </w:r>
      <w:r>
        <w:t xml:space="preserve"> current, drivers, them; EU scope visible. This is a provisional connection, not an outcome finding.</w:t>
      </w:r>
    </w:p>
    <w:p>
      <w:pPr>
        <w:pStyle w:val="SourceNote"/>
      </w:pPr>
      <w:r>
        <w:rPr>
          <w:b/>
        </w:rPr>
        <w:t>Available abstract (not full text):</w:t>
      </w:r>
      <w:r>
        <w:t xml:space="preserve"> This chapter provides a coherent, integrated overview of grasslands in Europe, addressing: (i) their current status and use, (ii) the ecosystem services they provide, (iii) the major drivers and trends affecting them, and (iv) promising innovations and research directions. These are illustrated by a case study from the project Grazing4AgroEcology that shows how innovative farmers, researchers and other stakeholders are now jointly exploring new approaches. Throughout the chapter, we advance the central argument that grassland systems can, if appropriately managed and supported, simultaneously deliver nutritious food and multiple ecosystem services, thereby contributing to resilient agricultural futures in Europe.</w:t>
      </w:r>
    </w:p>
    <w:p>
      <w:pPr>
        <w:pStyle w:val="Heading2"/>
      </w:pPr>
      <w:r>
        <w:t>525.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r>
        <w:rPr>
          <w:b/>
        </w:rPr>
        <w:t>POSSIBLE 2023:</w:t>
      </w:r>
      <w:r>
        <w:t xml:space="preserve"> Greenhouse Gas Balance in the City of Reggio Calabria and Assessment of the Effects of Measures of Emission Reduction and Absorption — https://doi.org/10.3390/en16093615</w:t>
      </w:r>
    </w:p>
    <w:p>
      <w:pPr/>
      <w:r>
        <w:rPr>
          <w:b/>
        </w:rPr>
        <w:t>Shared claim-specific concepts:</w:t>
      </w:r>
      <w:r>
        <w:t xml:space="preserve"> incisive, climate, neutrality; EU scope not established. This is a provisional connection, not an outcome finding.</w:t>
      </w:r>
    </w:p>
    <w:p>
      <w:pPr>
        <w:pStyle w:val="SourceNote"/>
      </w:pPr>
      <w:r>
        <w:rPr>
          <w:b/>
        </w:rPr>
        <w:t>Available abstract (not full text):</w:t>
      </w:r>
      <w:r>
        <w:t xml:space="preserve"> Climate change and its ascertained attribution to anthropic activity need to be tackled with extreme urgency and must not be postponed. The need to reduce greenhouse gas emissions require a change in the energy paradigm, mainly affecting the construction and mobility sectors. Countries need to move towards climate neutrality with a widespread adoption of innovative models, systems, and technologies, reducing dependence on non-renewable sources and increasing energy efficiency. Measures to be adopted to achieve the prefixed decarbonization targets should involve, in addition to central governments, local communities. In this paper, in order to contribute to the definition of mitigation measures by the local administration, the balance of emissions and removal of greenhouse gases, assessed following the IPCC guidelines, for an Italian city (Reggio Calabria) on the date of 1 January 2020 is presented. Several hypotheses concerning reduction measures to be applied to the building and transport sectors, together with absorption interventions, have been developed and we have analyzed the effectiveness of each of them and their global effects on 1 January 2030. The proposed measures allow a reduction of 17% of total emissions, indicating that to reach carbon neutrality in 2050, more incisive and wide range interventions are required.</w:t>
      </w:r>
    </w:p>
    <w:p>
      <w:pPr/>
      <w:r>
        <w:rPr>
          <w:b/>
        </w:rPr>
        <w:t>POSSIBLE 2023:</w:t>
      </w:r>
      <w:r>
        <w:t xml:space="preserve"> Hot climates in urban South Asia: Negotiating the right to and the politics of shade at the everyday scale in Karachi — https://doi.org/10.1177/00420980231195204</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Although the climate has admittedly always been hot and humid in cities like Karachi, increasingly hotter temperatures are exacerbating the impact of heat on informal, precariously employed outdoor workers such as street vendors, guards and rickshaw drivers, who must negotiate their right and access to shade at the everyday scale. Recalling Mike Davis’ radical, political claim that shade is an inalienable human right, this paper proposes that few people working in the outdoor spaces of the South Asian city today understand or experience shade in these terms. Rather shade is something that must be claimed, alongside other rights and entitlements. Moreover, shade alone is insufficient as it cannot reduce the exposure of bodies to harmful ambient radiations and overall thermal discomfort. This paper makes three broad propositions for outlining a theory for the social study of shade in the South Asian city. By paying closer attention to the ways that outdoor workers negotiate shade in Karachi, this paper opens up for analysis a wider spectrum of claims-making activity in changing South Asian urban climates. It places workers’ search for shade in the broader context of shade policing and urban management aimed at creating spatial as well as social order. Finally, this article emphasises key directions and questions for future research.</w:t>
      </w:r>
    </w:p>
    <w:p>
      <w:pPr>
        <w:pStyle w:val="Heading2"/>
      </w:pPr>
      <w:r>
        <w:t>526.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2025:</w:t>
      </w:r>
      <w:r>
        <w:t xml:space="preserve"> Data driven inventory consensus control for a supply chain system with a design change — https://doi.org/10.61822/amcs-2025-0050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The production and supply chain system is a complex nonlinear network comprising suppliers, manufacturers, distributors, retailers, and other entities. The collaborative evolution process for such a system is vitally important, especially when the system undergoes design changes. In this paper, the data-driven inventory consensus problem for production and supply chain systems is studied while considering design changes. Firstly, the production and supply chain system is modeled as a multi-agent one and the collaborative process of the production and supply chain is formulated as the system topology structure switching. Secondly, a digraph data-driven consensus control protocol is proposed to achieve inventory level consensus tracking with respect to a predefined reference trajectory in production and supply chain systems. Thirdly, when a design change occurs, the saturation function is introduced for the protocol design, which helps address the productivity limitation problem. Lastly, with the help of the contracting mapping principle, the convergence analysis is carried out, demonstrating the effectiveness of the proposed data-driven consensus approach through a numerical simulation example.</w:t>
      </w:r>
    </w:p>
    <w:p>
      <w:pPr/>
      <w:r>
        <w:rPr>
          <w:b/>
        </w:rPr>
        <w:t>POSSIBLE 2025:</w:t>
      </w:r>
      <w:r>
        <w:t xml:space="preserve"> Consensus of Fractional-Order Fuzzy Multiagent Systems: Exploring Impulsive Security Protocols — https://doi.org/10.1109/tcns.2025.3543754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article investigates impulsive security protocols with the goal of achieving consensus of fractional-order fuzzy multiagent systems (FOFMASs). In contrast to multiagent systems characterized by ordinary differential equations, FOFMASs are created using Takagi–Sugeno fuzzy rules and fractional-order differential equations, which allow for nonlinearities with parameter uncertainties and also manage memory effects. Due to the potential of denial-of-service (DoS) attacks, the topology among nodes may change, and it is necessary to gain insight into the security consensus under topology switching. This article tackles the security protocol problem by designing a distributed impulsive control for each agent, relying on global delayed communications and topology switching resulting from DoS attacks. Analyzing the stability of impulse-free error systems is a salient problem. Supported by the Lyapunov method and average impulsive interval method, for two cases of self-stabilization or instability of the error system in the absence of impulse, some sufficient conditions are presented to ensure the exponential consensus of FOFMASs under distributed impulsive control with communication delays. Besides, several corollaries are provided to guarantee the consensus under distributed impulsive control without communication delays. Finally, two numerical examples are provided, and some nume</w:t>
      </w:r>
    </w:p>
    <w:p>
      <w:pPr/>
      <w:r>
        <w:rPr>
          <w:b/>
        </w:rPr>
        <w:t>POSSIBLE 2025:</w:t>
      </w:r>
      <w:r>
        <w:t xml:space="preserve"> Consensus-Based Resilience Assurance for System of Systems — https://doi.org/10.1109/access.2025.3535519</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The complexity of a System of Systems makes resilience one of its key attributes. Numerous studies have focused on the quantitative assessment of resilience by trailing indicators, yet discussions on resilience assurance through monitoring leading indicators remain scarce. Resilience assurance in SoS faces two major challenges: lack of structured argumentation work related to resilience and conflicts among multiple independent stakeholders. To address these challenges, this paper first introduces a resilience argumentation approach based on STAMP (Systems-Theoretic Accident Model and Processes), then employs cooperative consensus process model to seek consensus on resilience assurance. Additionally, under the requirements of the international standard IEC 62853 for open systems dependability, a consensus based resilience assurance framework is proposed. Within the framework, the resilient team can discuss the specific implementation details of failure response, accountability, and change accommodation based on stakeholder consensus. Finally, two SoS case studies, Microgrid and Mobility as a Service, are used to demonstrate the application of the proposed approach.</w:t>
      </w:r>
    </w:p>
    <w:p>
      <w:pPr>
        <w:pStyle w:val="Heading2"/>
      </w:pPr>
      <w:r>
        <w:t>527.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2025:</w:t>
      </w:r>
      <w:r>
        <w:t xml:space="preserve"> Parliamentarism - conceptual basis of european constitutionalism — https://doi.org/10.59295/stctce2025.15</w:t>
      </w:r>
    </w:p>
    <w:p>
      <w:pPr/>
      <w:r>
        <w:rPr>
          <w:b/>
        </w:rPr>
        <w:t>Shared claim-specific concepts:</w:t>
      </w:r>
      <w:r>
        <w:t xml:space="preserve"> article, institutional, democratic; EU scope visible. This is a provisional connection, not an outcome finding.</w:t>
      </w:r>
    </w:p>
    <w:p>
      <w:pPr>
        <w:pStyle w:val="SourceNote"/>
      </w:pPr>
      <w:r>
        <w:rPr>
          <w:b/>
        </w:rPr>
        <w:t>Available abstract (not full text):</w:t>
      </w:r>
      <w:r>
        <w:t xml:space="preserve">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pPr/>
      <w:r>
        <w:rPr>
          <w:b/>
        </w:rPr>
        <w:t>POSSIBLE 2025:</w:t>
      </w:r>
      <w:r>
        <w:t xml:space="preserve"> ERS Congress 2024: highlights from the Allied Respiratory Professionals Assembly — https://doi.org/10.1183/23120541.01145-2024</w:t>
      </w:r>
    </w:p>
    <w:p>
      <w:pPr/>
      <w:r>
        <w:rPr>
          <w:b/>
        </w:rPr>
        <w:t>Shared claim-specific concepts:</w:t>
      </w:r>
      <w:r>
        <w:t xml:space="preserve"> article, highlights, intelligence, different; EU scope visible. This is a provisional connection, not an outcome finding.</w:t>
      </w:r>
    </w:p>
    <w:p>
      <w:pPr>
        <w:pStyle w:val="SourceNote"/>
      </w:pPr>
      <w:r>
        <w:rPr>
          <w:b/>
        </w:rPr>
        <w:t>Available abstract (not full text):</w:t>
      </w:r>
      <w:r>
        <w:t xml:space="preserve"> Extract This article presents the highlights of the 2024 European Respiratory Society (ERS) Congress as experienced by the early career allied respiratory professionals (Assembly 9) across the different groups. These highlights are grouped under the themes of 1) digital health and artificial intelligence (AI), 2) self-management, and 3) use of race and ethnicity in pulmonary function testing. The themes were selected by the early career members based on their novelty and attention during the congress. We combine highlights from symposia with novel findings presented in abstract presentations. The theme of the ERS Congress 2024 was “Humans and machines: getting the balance right”.</w:t>
      </w:r>
    </w:p>
    <w:p>
      <w:pPr/>
      <w:r>
        <w:rPr>
          <w:b/>
        </w:rPr>
        <w:t>POSSIBLE 2025:</w:t>
      </w:r>
      <w:r>
        <w:t xml:space="preserve"> The Principle of Good Administration in European Administrative Law and Its Influence on Romania — https://doi.org/10.62768/plpa/2025/14/4/06</w:t>
      </w:r>
    </w:p>
    <w:p>
      <w:pPr/>
      <w:r>
        <w:rPr>
          <w:b/>
        </w:rPr>
        <w:t>Shared claim-specific concepts:</w:t>
      </w:r>
      <w:r>
        <w:t xml:space="preserve"> article, highlights, combined; EU scope visible. This is a provisional connection, not an outcome finding.</w:t>
      </w:r>
    </w:p>
    <w:p>
      <w:pPr>
        <w:pStyle w:val="SourceNote"/>
      </w:pPr>
      <w:r>
        <w:rPr>
          <w:b/>
        </w:rPr>
        <w:t>Available abstract (not full text):</w:t>
      </w:r>
      <w:r>
        <w:t xml:space="preserve"> This paper analyses the principle of good administration as the foundation of European administrative law and its influence on the evolution of public administration in Romania. Based on the case law of the Court of Justice of the European Union, the article examines how this principle has been consolidated as a general standard of legality and fairness in the work of administrative authorities. The study highlights the convergence between European Union law and Romanian administrative law, in particular through the Administrative Code and the Administrative Litigation Law No. 554/2004, which enshrines the right of individuals to transparent, impartial and fair administration. At the same time, the implications of European standards on transparency, public ethics and administrative cooperation between Member States are analysed, with a focus on sensitive areas such as taxation and environmental protection. The article highlights the importance of effective legal protection against administrative abuse and of guaranteeing the right to a fair trial, in accordance with the combined case law of the CJEU and the ECHR. The conclusions point to the ongoing need to adapt Romanian administrative law to the requirements of good European administration, as a prerequisite for strengthening the rule of law and citizens' trust in public institutions.</w:t>
      </w:r>
    </w:p>
    <w:p>
      <w:pPr>
        <w:pStyle w:val="Heading2"/>
      </w:pPr>
      <w:r>
        <w:t>528.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r>
        <w:rPr>
          <w:b/>
        </w:rPr>
        <w:t>POSSIBLE 2025:</w:t>
      </w:r>
      <w:r>
        <w:t xml:space="preserve"> Continued Augmentation in Metahuman Systems: Phase of Trust Building — https://doi.org/10.5465/amproc.2025.22130abstract</w:t>
      </w:r>
    </w:p>
    <w:p>
      <w:pPr/>
      <w:r>
        <w:rPr>
          <w:b/>
        </w:rPr>
        <w:t>Shared claim-specific concepts:</w:t>
      </w:r>
      <w:r>
        <w:t xml:space="preserve"> building, phase, combination, different, usual, two; EU scope not established. This is a provisional connection, not an outcome finding.</w:t>
      </w:r>
    </w:p>
    <w:p>
      <w:pPr>
        <w:pStyle w:val="SourceNote"/>
      </w:pPr>
      <w:r>
        <w:rPr>
          <w:b/>
        </w:rPr>
        <w:t>Available abstract (not full text):</w:t>
      </w:r>
      <w:r>
        <w:t xml:space="preserve"> The paper brings together two major research areas: the effects of technology in workplaces and trust in technology, in the context of Artificial Intelligence’s (AI) proliferation. By doing so, the paper answers the call to go beyond the automation augmentation debate to understand the nuances caused by the continuance of augmentation on knowledge workers within AI systems. We introduce a theory of trust in AI systems, proposing a dynamic form of trust that emerges when the usual epistemic relationship between trust and knowing (that technology delivers an expected result) is broken. The creation of doubts in the system, due to the occurrences of different types of errors, questions the veracity of the AI model’s results. The implications of this theory are shown in the context of different AI models used in a Department of Radiology, through an extensive ethnographic fieldwork. Unlike previous workplace technologies, where trust is developed gradually, the trust-building process for each AI model follows a unique path, offering a combination of two forms of trust: fleeting and stable. In order to further understanding this phenomenon, the data suggests integrating trusting building with social actions, system functions and the daily work context within the department. The study points to the transient nature of trust in AI systems, which depends on the context and features of </w:t>
      </w:r>
    </w:p>
    <w:p>
      <w:pPr/>
      <w:r>
        <w:rPr>
          <w:b/>
        </w:rPr>
        <w:t>POSSIBLE 2025:</w:t>
      </w:r>
      <w:r>
        <w:t xml:space="preserve"> Towards the understanding of Keim'sche Mineralfarben in architectural paints: Material characterization and phase quantification on selected historical pigment admixtures — https://doi.org/10.1016/j.dyepig.2025.113285</w:t>
      </w:r>
    </w:p>
    <w:p>
      <w:pPr/>
      <w:r>
        <w:rPr>
          <w:b/>
        </w:rPr>
        <w:t>Shared claim-specific concepts:</w:t>
      </w:r>
      <w:r>
        <w:t xml:space="preserve"> phase, different, selected; EU scope not established. This is a provisional connection, not an outcome finding.</w:t>
      </w:r>
    </w:p>
    <w:p>
      <w:pPr>
        <w:pStyle w:val="SourceNote"/>
      </w:pPr>
      <w:r>
        <w:rPr>
          <w:b/>
        </w:rPr>
        <w:t>Available abstract (not full text):</w:t>
      </w:r>
      <w:r>
        <w:t xml:space="preserve"> ‘ Keim’sche Mineralfarben’ are widely recognized silicate-based paints historically employed for painting and decorating architectural surfaces, as well as in the conservation and restoration of historic buildings and monuments, particularly where high-quality architectural finishes are required. Comprehensive knowledge of the composition of historical Keim’sche Mineralfarben pigment admixtures and their evolution—particularly for dating purposes—remains limited within the field of architectural conservation. The study demonstrates the effectiveness of a multi-analytical approach in characterizing the composition and phase quantification of selected yellow-to brownish-toned historical Keimfarben pigment admixtures and suggests a methodology for the characterization of this product on site, offering new perspectives on understanding the chronology of the paint layers, thus planning future restoration interventions. A multi-analytical approach was employed, combining optical microscopy, X-ray fluorescence, in situ Raman and micro-Raman spectroscopy, ATR-FTIR, and X-ray powder diffraction with Rietveld refinement. The results show that the studied Keimfarben pigment admixtures are composed of calcite, fluorite, kaolinite, quartz, barite, rutile, and witherite, as well as different quantities of hematite, goethite, and eskolaite depending on the hue. Certain identified phases have </w:t>
      </w:r>
    </w:p>
    <w:p>
      <w:pPr/>
      <w:r>
        <w:rPr>
          <w:b/>
        </w:rPr>
        <w:t>POSSIBLE 2025:</w:t>
      </w:r>
      <w:r>
        <w:t xml:space="preserve"> Life Cycle Assessment in the Early Design Phase of Buildings: Strategies, Tools, and Future Directions — https://doi.org/10.3390/buildings15101612</w:t>
      </w:r>
    </w:p>
    <w:p>
      <w:pPr/>
      <w:r>
        <w:rPr>
          <w:b/>
        </w:rPr>
        <w:t>Shared claim-specific concepts:</w:t>
      </w:r>
      <w:r>
        <w:t xml:space="preserve"> building, phase, trends; EU scope not established. This is a provisional connection, not an outcome finding.</w:t>
      </w:r>
    </w:p>
    <w:p>
      <w:pPr>
        <w:pStyle w:val="SourceNote"/>
      </w:pPr>
      <w:r>
        <w:rPr>
          <w:b/>
        </w:rPr>
        <w:t>Available abstract (not full text):</w:t>
      </w:r>
      <w:r>
        <w:t xml:space="preserve"> The construction industry plays a significant role in global warming, accounting for 42% of primary energy use and 39% of greenhouse gas (GHG) emissions worldwide. Life Cycle Assessment (LCA) has emerged as a key methodology for evaluating environmental impacts throughout a building’s life cycle, yet its integration in the early design phase remains limited. This review aims to examine strategies and tools for incorporating LCA in the early design phase to enhance sustainability in building construction. The objectives of this study are: (1) to identify the main challenges in integrating LCA into early design workflows, (2) to analyze and compare LCA tools suitable for early-stage assessments, and (3) to explore emerging trends and technological advancements. A systematic literature review was employed using the Scopus database to analyze existing literature, identifying current practices, challenges, and technological advancements in early-stage LCA implementation. A total of 56 studies were identified for the review. The results highlight the growing adoption of Building Information Modeling (BIM), Artificial Intelligence (AI), and parametric modeling in streamlining LCA integration. Despite these advancements, barriers such as data scarcity, lack of standardization, and interoperability issues persist. Key findings suggest that simplified and computational LCA tools can impr</w:t>
      </w:r>
    </w:p>
    <w:p>
      <w:pPr/>
      <w:r>
        <w:rPr>
          <w:b/>
        </w:rPr>
        <w:t>POSSIBLE 2025:</w:t>
      </w:r>
      <w:r>
        <w:t xml:space="preserve"> From Rating System to Thought Leadership: The Evolution of the Canada Green Building Council — https://doi.org/10.1111/beer.70070</w:t>
      </w:r>
    </w:p>
    <w:p>
      <w:pPr/>
      <w:r>
        <w:rPr>
          <w:b/>
        </w:rPr>
        <w:t>Shared claim-specific concepts:</w:t>
      </w:r>
      <w:r>
        <w:t xml:space="preserve"> building, selected, case; EU scope not established. This is a provisional connection, not an outcome finding.</w:t>
      </w:r>
    </w:p>
    <w:p>
      <w:pPr>
        <w:pStyle w:val="SourceNote"/>
      </w:pPr>
      <w:r>
        <w:rPr>
          <w:b/>
        </w:rPr>
        <w:t>Available abstract (not full text):</w:t>
      </w:r>
      <w:r>
        <w:t xml:space="preserve"> ABSTRACT Green Building Social Movement Organizations encourage the adoption of green buildings, primarily by promoting sustainability rating tools. While numerous papers have explored the market impact of these sustainability rating tools, very few have examined either the lengthy and protracted process of their selection and enrollment by organizations, or even their impact upon the structure and governance of organizations. This paper fills these gaps by presenting a 20‐year case study of organizational evolution. It identifies five distinct periods through which the chosen organization variously selected, developed, established, lost control, and transcended its relationship with LEED (Leadership in Energy and Environmental Design; a ‘green building’ rating tool) in Canada. Conceptually, our analysis has roots within the Sociology of Translation and (Scandinavian) Institutional Theory. In this, we treat the technical mediation of sustainability rating tools as institutional work activities to understand their role(s) in organizational evolution. The empirical basis for our analysis is data acquired through 21 semi‐structured interviews with organization founders and key personnel in each period, as well as a comprehensive analysis of archival records. Our findings offer significant insights for organizations that have bound themselves to a tool, certification, or standard a</w:t>
      </w:r>
    </w:p>
    <w:p>
      <w:pPr>
        <w:pStyle w:val="Heading2"/>
      </w:pPr>
      <w:r>
        <w:t>529.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530.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Shorter and Warmer Winters Expand the Hibernation Area of Bats in Europe — https://doi.org/10.1111/ele.70119</w:t>
      </w:r>
    </w:p>
    <w:p>
      <w:pPr/>
      <w:r>
        <w:rPr>
          <w:b/>
        </w:rPr>
        <w:t>Shared claim-specific concepts:</w:t>
      </w:r>
      <w:r>
        <w:t xml:space="preserve"> winter, temperature, climate, area; EU scope visible. This is a provisional connection, not an outcome finding.</w:t>
      </w:r>
    </w:p>
    <w:p>
      <w:pPr>
        <w:pStyle w:val="SourceNote"/>
      </w:pPr>
      <w:r>
        <w:rPr>
          <w:b/>
        </w:rPr>
        <w:t>Available abstract (not full text):</w:t>
      </w:r>
      <w:r>
        <w:t xml:space="preserve"> Predicting species range shifts in response to environmental change requires the determination of regions where individuals maintain a positive energy budget. For hibernating animals, this budget depends on two physiological states (normothermy and torpor) that alternate in response to ambient temperature. To study range shifts of hibernators like the common noctule (Nyctalus noctula), we developed an ecophysiological approach that integrates metabolic rates, physiological states, and environmental conditions. Our model accurately hindcasted the northward range shift of this migratory bat over the past 50 years. Under climate change forecasts SSP1-2.6, SSP2-4.5, SSP3-7.0, and SSP5-8.5, for which winters will shorten by 1.4-41 days and warm by 0.11°C-2.3°C, the hibernation area is predicted to shift by 78-732 km and expand north-eastward by 5.8%-14% by 2100. Mean ambient temperature and winter duration prove sufficient to approximate the hibernation niche and may be used to predict changes in hibernation areas where collecting physiological measurements is difficult.</w:t>
      </w:r>
    </w:p>
    <w:p>
      <w:pPr>
        <w:pStyle w:val="Heading2"/>
      </w:pPr>
      <w:r>
        <w:t>531.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r>
        <w:rPr>
          <w:b/>
        </w:rPr>
        <w:t>POSSIBLE 2024:</w:t>
      </w:r>
      <w:r>
        <w:t xml:space="preserve"> MODELING THE ENTRY OF AIR CONTAMINANTS INTO A ROOM — https://doi.org/10.31650/2618-0650-2024-6-2-58-76</w:t>
      </w:r>
    </w:p>
    <w:p>
      <w:pPr/>
      <w:r>
        <w:rPr>
          <w:b/>
        </w:rPr>
        <w:t>Shared claim-specific concepts:</w:t>
      </w:r>
      <w:r>
        <w:t xml:space="preserve"> room, carbon, possible; EU scope not established. This is a provisional connection, not an outcome finding.</w:t>
      </w:r>
    </w:p>
    <w:p>
      <w:pPr>
        <w:pStyle w:val="SourceNote"/>
      </w:pPr>
      <w:r>
        <w:rPr>
          <w:b/>
        </w:rPr>
        <w:t>Available abstract (not full text):</w:t>
      </w:r>
      <w:r>
        <w:t xml:space="preserve"> A mathematical model of air contaminant (products of human activity) inflow into the isolated air space has been developed. On the basis of the formula modified by us the simulation of human respiration with carbon dioxide, water vapor and heat emission is implemented. The model also takes into account the heat input from the human body through clothing. Applying numerical modelling ANSYS CFD (Computational Fluid Dynamics) on the basis of continuity equations and Reynolds-Averaged Navier-Stokes equations "RANS" (Reynolds-Averaged Navier-Stokes) the following results on air medium state change in the isolated space were obtained: - the human respiratory cycle is modelled at simultaneous heat transfer from the body surface through clothes into the studied air space; - the exponential equation of the trend line of concentration to observation time was obtained; - monitoring and rendering (visualization) of changes in concentration, temperature and relative humidity in the space under study by time along the room height was performed. These results and regularities served as initial data for solving a number of model non-stationary problems on aerodynamics and heat and mass transfer in the room. The inverse problem of general exchange ventilation was to be solved. Changes in the state of the air environment initially contaminated with carbon dioxide, heat and water vapors were stud</w:t>
      </w:r>
    </w:p>
    <w:p>
      <w:pPr/>
      <w:r>
        <w:rPr>
          <w:b/>
        </w:rPr>
        <w:t>POSSIBLE 2024:</w:t>
      </w:r>
      <w:r>
        <w:t xml:space="preserve"> Modelling potential distribution of the invasive box tree moth across Asia, Europe, and North America — https://doi.org/10.1371/journal.pone.0302259</w:t>
      </w:r>
    </w:p>
    <w:p>
      <w:pPr/>
      <w:r>
        <w:rPr>
          <w:b/>
        </w:rPr>
        <w:t>Shared claim-specific concepts:</w:t>
      </w:r>
      <w:r>
        <w:t xml:space="preserve"> further, possible; EU scope visible. This is a provisional connection, not an outcome finding.</w:t>
      </w:r>
    </w:p>
    <w:p>
      <w:pPr>
        <w:pStyle w:val="SourceNote"/>
      </w:pPr>
      <w:r>
        <w:rPr>
          <w:b/>
        </w:rPr>
        <w:t>Available abstract (not full text):</w:t>
      </w:r>
      <w:r>
        <w:t xml:space="preserve"> The box tree moth Cydalima perspectalis (Walker) (Lepidoptera: Crambidae) (BTM) is a native moth throughout eastern Asia, having recently become invasive in Europe (2007) where it feeds on boxwood (= box tree), Buxus spp. The moth rapidly spread across Europe and the Caucasus causing damage to both ornamental and wild Buxus. In 2018, C. perspectalis was found in Toronto, ON, Canada, and has since spread south into the US. To better predict where the moth will establish and have significant impact on ornamental trade in North America, we used most recent scientific literature and distribution points to update the temperature and diapause indices of an existing ecoclimatic CLIMEX model. The model parameters provided a good fit for the potential distribution of BTM compared to its known distribution across eastern Asia and in Europe. Interestingly, our results suggest that the current native distribution in Asia is incomplete and that further expansion is also possible in its introduced range, especially in northern Europe, along the Mediterranean coast of Africa, and eastward to central Russia. In North America, the model predicts that most of North America should be climatically suitable for the moth's establishment, with the exception of Alaska and the northern territories of Canada, as well as higher elevations in the Rocky Mountains and southern hot and dry areas. Our study h</w:t>
      </w:r>
    </w:p>
    <w:p>
      <w:pPr>
        <w:pStyle w:val="Heading2"/>
      </w:pPr>
      <w:r>
        <w:t>532.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r>
        <w:rPr>
          <w:b/>
        </w:rPr>
        <w:t>POSSIBLE 2024:</w:t>
      </w:r>
      <w:r>
        <w:t xml:space="preserve"> Predictive coding with spiking neurons and feedforward gist signaling — https://doi.org/10.3389/fncom.2024.1338280</w:t>
      </w:r>
    </w:p>
    <w:p>
      <w:pPr/>
      <w:r>
        <w:rPr>
          <w:b/>
        </w:rPr>
        <w:t>Shared claim-specific concepts:</w:t>
      </w:r>
      <w:r>
        <w:t xml:space="preserve"> uses, alternative, plausible; EU scope not established. This is a provisional connection, not an outcome finding.</w:t>
      </w:r>
    </w:p>
    <w:p>
      <w:pPr>
        <w:pStyle w:val="SourceNote"/>
      </w:pPr>
      <w:r>
        <w:rPr>
          <w:b/>
        </w:rPr>
        <w:t>Available abstract (not full text):</w:t>
      </w:r>
      <w:r>
        <w:t xml:space="preserve"> Abstract Predictive coding (PC) is an influential theory in neuroscience, which suggests the existence of a cortical architecture that is constantly generating and updating predictive representations of sensory inputs. Owing to its hierarchical and generative nature, PC has inspired many computational models of perception in the literature. However, the biological plausibility of existing models has not been sufficiently explored due to their use of artificial neural network features such as a non-linear, continuous, and clock-driven function approximator as basic unit of computation. Therefore, we have developed a spiking neural network for predictive coding (SNN-PC), in which neurons communicate using event-driven and asynchronous spikes. While adopting the hierarchical structure and Hebbian learning algorithms from previous PC neural network models, SNN-PC introduces two novel features: 1) a fast feedforward sweep from the input to higher areas, which generates a spatially reduced and abstract representation of input (i.e., a neural code for the gist of a scene) and provides a neurobiological alternative to an arbitrary choice of priors; and 2) a separation of positive and negative error-computing neurons, which counters the biological implausibility of a bi-directional error neuron with a very high basal firing rate. After training with the MNIST handwritten digit dataset, </w:t>
      </w:r>
    </w:p>
    <w:p>
      <w:pPr/>
      <w:r>
        <w:rPr>
          <w:b/>
        </w:rPr>
        <w:t>POSSIBLE 2024:</w:t>
      </w:r>
      <w:r>
        <w:t xml:space="preserve"> Biased expectations about future choice options predict sequential economic decisions — https://doi.org/10.1038/s44271-024-00172-8</w:t>
      </w:r>
    </w:p>
    <w:p>
      <w:pPr/>
      <w:r>
        <w:rPr>
          <w:b/>
        </w:rPr>
        <w:t>Shared claim-specific concepts:</w:t>
      </w:r>
      <w:r>
        <w:t xml:space="preserve"> predict, version, several; EU scope not established. This is a provisional connection, not an outcome finding.</w:t>
      </w:r>
    </w:p>
    <w:p>
      <w:pPr>
        <w:pStyle w:val="SourceNote"/>
      </w:pPr>
      <w:r>
        <w:rPr>
          <w:b/>
        </w:rPr>
        <w:t>Available abstract (not full text):</w:t>
      </w:r>
      <w:r>
        <w:t xml:space="preserve"> Considerable research has shown that people make biased decisions in "optimal stopping problems", where options are encountered sequentially, and there is no opportunity to recall rejected options or to know upcoming options in advance (e.g. when flat hunting or choosing a spouse). Here, we used computational modelling to identify the mechanisms that best explain decision bias in the context of an especially realistic version of this problem: the full-information problem. We eliminated a number of factors as potential instigators of bias. Then, we examined sequence length and payoff scheme: two manipulations where an optimality model recommends adjusting the sampling rate. Here, participants were more reluctant to increase their sampling rates when it was optimal to do so, leading to increased undersampling bias. Our comparison of several computational models of bias demonstrates that many participants maintain these relatively low sampling rates because of suboptimally pessimistic expectations about the quality of future options (i.e. a mis-specified prior distribution). These results support a new theory about how humans solve full information problems. Understanding the causes of decision error could enhance how we conduct real world sequential searches for options, for example how online shopping or dating applications present options to users.</w:t>
      </w:r>
    </w:p>
    <w:p>
      <w:pPr/>
      <w:r>
        <w:rPr>
          <w:b/>
        </w:rPr>
        <w:t>POSSIBLE 2024:</w:t>
      </w:r>
      <w:r>
        <w:t xml:space="preserve"> Predicting the Pathway Involvement of Metabolites Based on Combined Metabolite and Pathway Features — https://doi.org/10.3390/metabo14050266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 major limitation of most metabolomics datasets is the sparsity of pathway annotations of detected metabolites. It is common for less than half of identified metabolites in these datasets to have known metabolic pathway involvement. Trying to address this limitation, machine learning models have been developed to predict the association of a metabolite with a "pathway category", as defined by one of the metabolic knowledgebases like the Kyoto Encyclopedia of Gene and Genomes. Most of these models are implemented as a single binary classifier specific to a single pathway category, requiring a set of binary classifiers for generating predictions for multiple pathway categories. This single binary classifier per pathway category approach both multiplies the computational resources necessary for training while diluting the positive entries in gold standard datasets needed for training. To address the limitations of training separate classifiers, we propose a generalization of the metabolic pathway prediction problem using a single binary classifier that accepts both features representing a metabolite and features representing a generic pathway category and then predicts whether the given metabolite is involved in the corresponding pathway category. We demonstrate that this metabolite-pathway features-pair approach is not only competitive with the combined performance of training s</w:t>
      </w:r>
    </w:p>
    <w:p>
      <w:pPr/>
      <w:r>
        <w:rPr>
          <w:b/>
        </w:rPr>
        <w:t>POSSIBLE 2024:</w:t>
      </w:r>
      <w:r>
        <w:t xml:space="preserve"> Predicting pharmaceutical prices. Advances based on purchase-level data and machine learning — https://doi.org/10.1186/s12889-024-19171-9</w:t>
      </w:r>
    </w:p>
    <w:p>
      <w:pPr/>
      <w:r>
        <w:rPr>
          <w:b/>
        </w:rPr>
        <w:t>Shared claim-specific concepts:</w:t>
      </w:r>
      <w:r>
        <w:t xml:space="preserve"> uses, based, policies; EU scope not established. This is a provisional connection, not an outcome finding.</w:t>
      </w:r>
    </w:p>
    <w:p>
      <w:pPr>
        <w:pStyle w:val="SourceNote"/>
      </w:pPr>
      <w:r>
        <w:rPr>
          <w:b/>
        </w:rPr>
        <w:t>Available abstract (not full text):</w:t>
      </w:r>
      <w:r>
        <w:t xml:space="preserve"> BACKGROUND: Increased costs in the health sector have put considerable strain on the public budgets allocated to pharmaceutical purchases. Faced with such pressures amplified by financial crises and pandemics, national purchasing authorities are presented with a puzzle: how to procure pharmaceuticals of the highest quality for the lowest price. The literature explored a range of impactful factors using data on producer and reference prices, but largely foregone the use of data on individual purchases by diverse public buyers. METHODS: Leveraging the availability of open data in public procurement from official government portals, the article examines the relationship between unit prices and a host of predictors that account for policies that can be amended nationally or locally. The study uses traditional linear regression (OLS) and a machine learning model, random forest, to identify the best models for predicting pharmaceutical unit prices. To explore the association between a wide variety of predictors and unit prices, the study relies on more than 200,000 purchases in more than 800 standardized pharmaceutical product categories from 10 countries and territories. RESULTS: = 0.85) and lower prediction error (RMSE = 0.81). CONCLUSIONS: The results demonstrate the potential of i) tapping into large quantities of purchase-level data in the health care sector and ii) using machin</w:t>
      </w:r>
    </w:p>
    <w:p>
      <w:pPr>
        <w:pStyle w:val="Heading2"/>
      </w:pPr>
      <w:r>
        <w:t>533.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2025:</w:t>
      </w:r>
      <w:r>
        <w:t xml:space="preserve"> Changes in Ageism and LGBTIA Clinical Competency Following an LGBTIA Older Adult Competency Training — https://doi.org/10.1093/geroni/igaf122.3728</w:t>
      </w:r>
    </w:p>
    <w:p>
      <w:pPr/>
      <w:r>
        <w:rPr>
          <w:b/>
        </w:rPr>
        <w:t>Shared claim-specific concepts:</w:t>
      </w:r>
      <w:r>
        <w:t xml:space="preserve"> found, lack, skills, necessary; EU scope not established. This is a provisional connection, not an outcome finding.</w:t>
      </w:r>
    </w:p>
    <w:p>
      <w:pPr>
        <w:pStyle w:val="SourceNote"/>
      </w:pPr>
      <w:r>
        <w:rPr>
          <w:b/>
        </w:rPr>
        <w:t>Available abstract (not full text):</w:t>
      </w:r>
      <w:r>
        <w:t xml:space="preserve"> Abstract Lesbian, gay, bisexual, transgender, intersex, agender/asexual, and other sexual and gender minority (LGBTIA) older adults face health disparities relative to the general population (Lampe et al., 2023), due in part to unmet health needs through available healthcare and aging services (Gibson et al., 2019). Lack of culturally competent services emerged in a community needs assessment as a concern among LGBTIA older adults (Winberry, 2023). To address this, we conducted an LGBTIA older adult cultural competency training focused on preparing healthcare and other service providers with the knowledge and skills necessary to meet the needs of this population. Using paired sample t-tests, we examined how the training impacted ageist attitudes and LGBTIA clinical competency among participants (n = 43). The training reduced ageist attitudes among participants, t(33) = -3.94, p &lt; .001 with a moderate effect size (d = .47; Cohen, 1988). We also found that the training improved self-perceived clinical competency for working with LGBTQ+ individuals among participants, t(37) = 7.64, p &lt; .001 with a moderate effect size (d = .58; Cohen, 1988). We found similar results for clinical preparedness, t(39) = 2.57, p = .014 with a moderate effect size (d = .53; Cohen, 1988); attitudes toward LGBTIA individuals, t(39) = 2.57, p = .014 with a small effect size (d = .22; Cohen, 1988); and kno</w:t>
      </w:r>
    </w:p>
    <w:p>
      <w:pPr>
        <w:pStyle w:val="Heading2"/>
      </w:pPr>
      <w:r>
        <w:t>534.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2025:</w:t>
      </w:r>
      <w:r>
        <w:t xml:space="preserve"> De welvaartsstaat hervormen in de 21e eeuw: Publieke steun en de politieke haalbaarheid van voorstellen voor een basisinkomen — https://openalex.org/W7113667282</w:t>
      </w:r>
    </w:p>
    <w:p>
      <w:pPr/>
      <w:r>
        <w:rPr>
          <w:b/>
        </w:rPr>
        <w:t>Shared claim-specific concepts:</w:t>
      </w:r>
      <w:r>
        <w:t xml:space="preserve"> approach, microsimulation, project, labour, traditional, increase; EU scope visible. This is a provisional connection, not an outcome finding.</w:t>
      </w:r>
    </w:p>
    <w:p>
      <w:pPr>
        <w:pStyle w:val="SourceNote"/>
      </w:pPr>
      <w:r>
        <w:rPr>
          <w:b/>
        </w:rPr>
        <w:t>Available abstract (not full text):</w:t>
      </w:r>
      <w:r>
        <w:t xml:space="preserve"> A basic income (BI) differs radically from traditional public benefits because it breaks the link between contribution and benefit on the one hand and between need and benefit on the other. Although a BI is often presented as a simple idea, discussing concrete policy proposals quickly ends in a Tower of Babel-like argument. In many of these debates, it appears that proponents, and respectively opponents, often have different types of BI schemes in mind when advocating or criticizing the idea. However, it is quite clear that the actual outcomes of a BI will depend largely on the concrete policy design in terms of eligibility, eligibility criteria, benefit levels, financing, and implementation modalities. These aspects will have a major impact on the extent to which a BI will encourage or discourage paid work or any work at all, increase or decrease gender inequality in work and care, and end the myriad problems associated with income-dependent welfare benefits. Unfortunately, we lack empirical research on many of these outcomes. This is the main focus of the BAsic income in BELgium (BABEL) project. The BABEL project aims to close the gap between dream and deed regarding basic income. The project has several objectives. First, it aims to investigate the actual labour supply effects of BI. To this end, a quasi-experimental approach is applied, where we use administrative data to e</w:t>
      </w:r>
    </w:p>
    <w:p>
      <w:pPr>
        <w:pStyle w:val="Heading2"/>
      </w:pPr>
      <w:r>
        <w:t>535.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Species traits and invasion history as predictors of freshwater fish invasion success in Europe — https://doi.org/10.3391/mbi.2025.16.1.16</w:t>
      </w:r>
    </w:p>
    <w:p>
      <w:pPr/>
      <w:r>
        <w:rPr>
          <w:b/>
        </w:rPr>
        <w:t>Shared claim-specific concepts:</w:t>
      </w:r>
      <w:r>
        <w:t xml:space="preserve"> primarily, management, established; EU scope visible. This is a provisional connection, not an outcome finding.</w:t>
      </w:r>
    </w:p>
    <w:p>
      <w:pPr>
        <w:pStyle w:val="SourceNote"/>
      </w:pPr>
      <w:r>
        <w:rPr>
          <w:b/>
        </w:rPr>
        <w:t>Available abstract (not full text):</w:t>
      </w:r>
      <w:r>
        <w:t xml:space="preserve"> Despite the growing literature on the topic of freshwater fish invasions, few studies have employed a comprehensive analysis of the stages characterizing the invasion process with reference to the invasion pathway.There is therefore a need to understand more fully invasion pathways to avoid incomplete and biased conclusions and to support adequate management strategies.This study aims to provide a complete analysis of the species traits and invasion history that are associated with the successful passage of an alien freshwater fish species through the invasion pathway stages in European river basins.To predict how likely a freshwater fish species moves from each stage of the invasion pathway (release, establishment, spread and impact) to the next, generalized linear mixed models were run, using 23 species traits and seven variables describing introduction history as predictors for 127 established alien freshwater fish species in Europe.The results showed that the release and spread stages were driven primarily by variables related to invasion history (i.e. the type and number of causes of introduction).The establishment stage was driven mainly by functional and ecological traits, while the impact stage was driven both by functional and ecological traits and invasion history.Identifying the main drivers of alien species success at each invasion stage is key to designing stage-sp</w:t>
      </w:r>
    </w:p>
    <w:p>
      <w:pPr/>
      <w:r>
        <w:rPr>
          <w:b/>
        </w:rPr>
        <w:t>POSSIBLE 2024:</w:t>
      </w:r>
      <w:r>
        <w:t xml:space="preserve"> Buy It, Steal It, Print It: How Right-Wing Extremists in Europe Acquire Firearms and What To Do About It — https://doi.org/10.19165/2024.9820</w:t>
      </w:r>
    </w:p>
    <w:p>
      <w:pPr/>
      <w:r>
        <w:rPr>
          <w:b/>
        </w:rPr>
        <w:t>Shared claim-specific concepts:</w:t>
      </w:r>
      <w:r>
        <w:t xml:space="preserve"> about, methods, based; EU scope visible. This is a provisional connection, not an outcome finding.</w:t>
      </w:r>
    </w:p>
    <w:p>
      <w:pPr>
        <w:pStyle w:val="SourceNote"/>
      </w:pPr>
      <w:r>
        <w:rPr>
          <w:b/>
        </w:rPr>
        <w:t>Available abstract (not full text):</w:t>
      </w:r>
      <w:r>
        <w:t xml:space="preserve"> This policy brief examines the methods of firearms acquisition by right-wing extremists (RWEs) in Europe between 2019 and 2024. Based on a dataset of 118 cases, it reveals that RWEs resort to diverse legal and illegal acquisition strategies, including the use of illicit markets, legal possession, theft from military and law enforcement sources, and private manufacture, particularly 3D printing. The policy brief further discusses current EU countermeasures and their effectiveness in addressing RWE-specific acquisition methods. It identifies gaps in existing policies and enforcement, particularly regarding background checks in issuing and reviewing weapon licences, screening of military and law enforcement personnel, and regulation of emerging technologies like 3D printing. The authors call for further research to increase the understanding of the RWE-firearms nexus and to develop more targeted prevention strategies.</w:t>
      </w:r>
    </w:p>
    <w:p>
      <w:pPr/>
      <w:r>
        <w:rPr>
          <w:b/>
        </w:rPr>
        <w:t>POSSIBLE 2023:</w:t>
      </w:r>
      <w:r>
        <w:t xml:space="preserve"> A Lexicographic Practice Map of Europe — https://doi.org/10.1093/ijl/ecad023</w:t>
      </w:r>
    </w:p>
    <w:p>
      <w:pPr/>
      <w:r>
        <w:rPr>
          <w:b/>
        </w:rPr>
        <w:t>Shared claim-specific concepts:</w:t>
      </w:r>
      <w:r>
        <w:t xml:space="preserve"> identify, affect, based, trends; EU scope visible. This is a provisional connection, not an outcome finding.</w:t>
      </w:r>
    </w:p>
    <w:p>
      <w:pPr>
        <w:pStyle w:val="SourceNote"/>
      </w:pPr>
      <w:r>
        <w:rPr>
          <w:b/>
        </w:rPr>
        <w:t>Available abstract (not full text):</w:t>
      </w:r>
      <w:r>
        <w:t xml:space="preserve">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pPr>
        <w:pStyle w:val="Heading2"/>
      </w:pPr>
      <w:r>
        <w:t>536.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Review of: "The Limitations and Challenges of Researching Mass Casualty Incidents and Disasters in Europe" — https://doi.org/10.32388/9sm5gm</w:t>
      </w:r>
    </w:p>
    <w:p>
      <w:pPr/>
      <w:r>
        <w:rPr>
          <w:b/>
        </w:rPr>
        <w:t>Shared claim-specific concepts:</w:t>
      </w:r>
      <w:r>
        <w:t xml:space="preserve"> recognizing, urgent, need, concrete, information, pathways; EU scope visible. This is a provisional connection, not an outcome finding.</w:t>
      </w:r>
    </w:p>
    <w:p>
      <w:pPr>
        <w:pStyle w:val="SourceNote"/>
      </w:pPr>
      <w:r>
        <w:rPr>
          <w:b/>
        </w:rPr>
        <w:t>Available abstract (not full text):</w:t>
      </w:r>
      <w:r>
        <w:t xml:space="preserve">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pPr>
        <w:pStyle w:val="Heading2"/>
      </w:pPr>
      <w:r>
        <w:t>537.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2025:</w:t>
      </w:r>
      <w:r>
        <w:t xml:space="preserve"> EMA – Eighth European Medicines Agency (EMA) and Medicines for Europe bilateral meeting - 15 December 2025 — https://doi.org/10.58079/15bvb</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pPr/>
      <w:r>
        <w:rPr>
          <w:b/>
        </w:rPr>
        <w:t>POSSIBLE 2025:</w:t>
      </w:r>
      <w:r>
        <w:t xml:space="preserve"> Insights from the European Medicines Agency on digital health technology derived endpoints — https://doi.org/10.1016/j.drudis.2025.104388</w:t>
      </w:r>
    </w:p>
    <w:p>
      <w:pPr/>
      <w:r>
        <w:rPr>
          <w:b/>
        </w:rPr>
        <w:t>Shared claim-specific concepts:</w:t>
      </w:r>
      <w:r>
        <w:t xml:space="preserve"> context, medicines, agency; EU scope visible. This is a provisional connection, not an outcome finding.</w:t>
      </w:r>
    </w:p>
    <w:p>
      <w:pPr>
        <w:pStyle w:val="SourceNote"/>
      </w:pPr>
      <w:r>
        <w:rPr>
          <w:b/>
        </w:rPr>
        <w:t>Available abstract (not full text):</w:t>
      </w:r>
      <w:r>
        <w:t xml:space="preserve">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pPr/>
      <w:r>
        <w:rPr>
          <w:b/>
        </w:rPr>
        <w:t>POSSIBLE 2025:</w:t>
      </w:r>
      <w:r>
        <w:t xml:space="preserve"> Populations Addressed in Vaccines Approved via the European Medicines Agency — https://doi.org/10.1002/cpt.3694</w:t>
      </w:r>
    </w:p>
    <w:p>
      <w:pPr/>
      <w:r>
        <w:rPr>
          <w:b/>
        </w:rPr>
        <w:t>Shared claim-specific concepts:</w:t>
      </w:r>
      <w:r>
        <w:t xml:space="preserve"> medicines, agency; EU scope visible. This is a provisional connection, not an outcome finding.</w:t>
      </w:r>
    </w:p>
    <w:p>
      <w:pPr>
        <w:pStyle w:val="SourceNote"/>
      </w:pPr>
      <w:r>
        <w:rPr>
          <w:b/>
        </w:rPr>
        <w:t>Available abstract (not full text):</w:t>
      </w:r>
      <w:r>
        <w:t xml:space="preserve">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context, medicines, agency, early, discussed;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pStyle w:val="Heading2"/>
      </w:pPr>
      <w:r>
        <w:t>538.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539.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2025:</w:t>
      </w:r>
      <w:r>
        <w:t xml:space="preserve"> Export Controls and the Green Agenda in the European Union — https://doi.org/10.1017/s0020589325000119</w:t>
      </w:r>
    </w:p>
    <w:p>
      <w:pPr/>
      <w:r>
        <w:rPr>
          <w:b/>
        </w:rPr>
        <w:t>Shared claim-specific concepts:</w:t>
      </w:r>
      <w:r>
        <w:t xml:space="preserve"> evident, trade, between, agenda, objectives, progress; EU scope visible. This is a provisional connection, not an outcome finding.</w:t>
      </w:r>
    </w:p>
    <w:p>
      <w:pPr>
        <w:pStyle w:val="SourceNote"/>
      </w:pPr>
      <w:r>
        <w:rPr>
          <w:b/>
        </w:rPr>
        <w:t>Available abstract (not full text):</w:t>
      </w:r>
      <w:r>
        <w:t xml:space="preserve"> Abstract This article argues that critical and emerging technologies, evolving geopolitical dynamics and the urgent need to pursue the green agenda are changing the traditional approach of the European Union (EU) and its Member States towards their trade and security strategies, and this is particularly evident in the domain of export controls. In search of a balance between green energy, security and technological progress, this article explores the potential for a more cohesive and comprehensive regulatory framework for export controls at the EU level. It takes the debate beyond a technical level of export control lists to discuss geopolitical and strategic assumptions surrounding inter-State cooperation on the regulation of critical and emerging technologies and their components. The article underscores, in particular, the potential unintended repercussions of controls for the EU's technological future and the prospects of the green transition in Europe and beyond. Finally, it advocates for what is often overlooked in discussions: the necessity for the EU to set clear, long-term objectives for its export controls and to align them with the purposes and objectives of other EU economic instruments.</w:t>
      </w:r>
    </w:p>
    <w:p>
      <w:pPr/>
      <w:r>
        <w:rPr>
          <w:b/>
        </w:rPr>
        <w:t>POSSIBLE 2025:</w:t>
      </w:r>
      <w:r>
        <w:t xml:space="preserve"> Green Economy, Trade, and Consumers – Interactions in European Green Transition — https://doi.org/10.7494/geom.2025.19.2.25</w:t>
      </w:r>
    </w:p>
    <w:p>
      <w:pPr/>
      <w:r>
        <w:rPr>
          <w:b/>
        </w:rPr>
        <w:t>Shared claim-specific concepts:</w:t>
      </w:r>
      <w:r>
        <w:t xml:space="preserve"> trade, achieving, all, interactions, goals, achieve;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Market Power Europe and the research agenda on geopoliticisation and economic security — https://doi.org/10.1080/23745118.2025.2576708</w:t>
      </w:r>
    </w:p>
    <w:p>
      <w:pPr/>
      <w:r>
        <w:rPr>
          <w:b/>
        </w:rPr>
        <w:t>Shared claim-specific concepts:</w:t>
      </w:r>
      <w:r>
        <w:t xml:space="preserve"> between, agenda, objectives, all; EU scope visible. This is a provisional connection, not an outcome finding.</w:t>
      </w:r>
    </w:p>
    <w:p>
      <w:pPr>
        <w:pStyle w:val="SourceNote"/>
      </w:pPr>
      <w:r>
        <w:rPr>
          <w:b/>
        </w:rPr>
        <w:t>Available abstract (not full text):</w:t>
      </w:r>
      <w:r>
        <w:t xml:space="preserve"> The global system is experiencing a geopolitical turn, which is encouraging coercive policy responses from governments while fuelling the emergence of a new scholarly research agenda. To understand these changes and their potential effects on European Union (EU) institutions and policies, this article employs the conceptual framework of Market Power Europe (MPE). Guided by three central characteristics that MPE draws from the Comparative and International Political Economy literature – market size, institutional capacity and domestic interest contestation – the article undertakes a qualitative content analysis of the design and objectives of the EU's 2023 European Economic Security Strategy. The evidence shows that these three characteristics help to shape the EU's exercise of power in a geopoliticising environment and reveal the important role of external factors and increasing linkages between market and security objectives. The findings reinforce the analytical importance of considering all three characteristics of MPE, which complements the propositions raised in this Special Issue and contributes to the emerging research agenda on the new challenges of geopoliticisation and economic security.</w:t>
      </w:r>
    </w:p>
    <w:p>
      <w:pPr>
        <w:pStyle w:val="Heading2"/>
      </w:pPr>
      <w:r>
        <w:t>540.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r>
        <w:rPr>
          <w:b/>
        </w:rPr>
        <w:t>POSSIBLE 2025:</w:t>
      </w:r>
      <w:r>
        <w:t xml:space="preserve"> Paediatric invasive group A streptococcal infections and associations with viral infections in 15 European countries after lifting non-pharmaceutical interventions against SARS-CoV-2: an interrupted time-series analysis — https://doi.org/10.1016/j.lanepe.2025.101497</w:t>
      </w:r>
    </w:p>
    <w:p>
      <w:pPr/>
      <w:r>
        <w:rPr>
          <w:b/>
        </w:rPr>
        <w:t>Shared claim-specific concepts:</w:t>
      </w:r>
      <w:r>
        <w:t xml:space="preserve"> estimated, number, cases, until, increase, between; EU scope visible. This is a provisional connection, not an outcome finding.</w:t>
      </w:r>
    </w:p>
    <w:p>
      <w:pPr>
        <w:pStyle w:val="SourceNote"/>
      </w:pPr>
      <w:r>
        <w:rPr>
          <w:b/>
        </w:rPr>
        <w:t>Available abstract (not full text):</w:t>
      </w:r>
      <w:r>
        <w:t xml:space="preserve"> Background: After lifting non-pharmaceutical interventions (NPIs) against the transmission of SARS-CoV-2, various countries experienced an increase in invasive Group A Streptococcal (iGAS) infections. We aimed to characterise the paediatric outbreak across Europe and to analyse the influence of viral infections. Methods: We conducted an interrupted time-series analysis based on data from 15 European countries from the PEGASUS consortium. We assessed the evolution of the number of iGAS cases aged 1 month to 18 years between 01/01/2018 and 03/31/2024, comparing the post-NPIs period (01-04-2022 until 31-03-2024) to the baseline period (01-01-2018 until 31-03-2020). Further analyses were performed by country, clinical phenotype, age and severity, including sensitivity analyses. We then explored whether certain iGAS phenotypes correlated with trends in RSV, influenza and VZV across countries over time using Google Trends data. Findings: We included 2091 iGAS cases over the study period; 79 children (3.6%) died and 580 (27.7%) required PICU admission. We estimated an overall increase of +229.8% (95% CI (141.9-341.6)) among iGAS cases from October 2022 to March 2024, compared to the baseline period. The observed increases varied across clinical phenotypes, ranging from +62.7% (95% CI (8.3-157.9)) for osteo-articular infections to +238.7% (95% CI 75.8-464.8) for pneumonia. We observed </w:t>
      </w:r>
    </w:p>
    <w:p>
      <w:pPr/>
      <w:r>
        <w:rPr>
          <w:b/>
        </w:rPr>
        <w:t>POSSIBLE 2025:</w:t>
      </w:r>
      <w:r>
        <w:t xml:space="preserve"> European Post-Consumer Steel Scrap in 2050: A Review of Estimates and Modeling Assumptions — https://doi.org/10.3390/recycling10010021</w:t>
      </w:r>
    </w:p>
    <w:p>
      <w:pPr/>
      <w:r>
        <w:rPr>
          <w:b/>
        </w:rPr>
        <w:t>Shared claim-specific concepts:</w:t>
      </w:r>
      <w:r>
        <w:t xml:space="preserve"> until, between, approximately; EU scope visible. This is a provisional connection, not an outcome finding.</w:t>
      </w:r>
    </w:p>
    <w:p>
      <w:pPr>
        <w:pStyle w:val="SourceNote"/>
      </w:pPr>
      <w:r>
        <w:rPr>
          <w:b/>
        </w:rPr>
        <w:t>Available abstract (not full text):</w:t>
      </w:r>
      <w:r>
        <w:t xml:space="preserve"> This paper studies the availability of post-consumer steel scrap in Europe until 2050. We introduce the indicator potentially available domestic post-consumer scrap (PADPS) which measures the amount of (steel) scrap from obsolete products available for recycling, prior to trade in scrap. We analyze material flow studies from the academic literature and international organizations to quantify this indicator. The studies suggest a rising trend of post-consumer scrap amounts until a saturation level when the expected yearly steel product obsolescence of the system stabilizes. Between 2010 and 2050, PADPS is expected to rise annually by approximately 1.6% per year. We identify in-use steel stocks, recycling rates, and product lifetimes as the three commonly gauged factors determining PADPS. While recycling rates and product lifetimes range comparatively close in the studies, the estimation of in-use stocks displays much greater variation and introduces an element of uncertainty in estimating the post-consumer scrap amounts that can be expected in the coming decades.</w:t>
      </w:r>
    </w:p>
    <w:p>
      <w:pPr>
        <w:pStyle w:val="Heading2"/>
      </w:pPr>
      <w:r>
        <w:t>541.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r>
        <w:rPr>
          <w:b/>
        </w:rPr>
        <w:t>POSSIBLE 2025:</w:t>
      </w:r>
      <w:r>
        <w:t xml:space="preserve"> Spatial Distribution Patterns, Environmental Drivers, and Hotspot Dynamics of the European Rabbit on a Mediterranean Island: Implications for Conservation and Management — https://doi.org/10.3390/biology14030225</w:t>
      </w:r>
    </w:p>
    <w:p>
      <w:pPr/>
      <w:r>
        <w:rPr>
          <w:b/>
        </w:rPr>
        <w:t>Shared claim-specific concepts:</w:t>
      </w:r>
      <w:r>
        <w:t xml:space="preserve"> assess, environmental, implications, balancing; EU scope visible. This is a provisional connection, not an outcome finding.</w:t>
      </w:r>
    </w:p>
    <w:p>
      <w:pPr>
        <w:pStyle w:val="SourceNote"/>
      </w:pPr>
      <w:r>
        <w:rPr>
          <w:b/>
        </w:rPr>
        <w:t>Available abstract (not full text):</w:t>
      </w:r>
      <w:r>
        <w:t xml:space="preserve"> The European rabbit (Oryctolagus cuniculus) presents a significant conservation and management challenge in Greece. While it has been listed in national biodiversity assessments, its population dynamics on the island of Lemnos demonstrate the characteristics of a highly adaptable and rapidly expanding species, exerting substantial ecological and economic impacts. Addressing this issue requires a spatially explicit understanding of its distribution patterns and habitat preferences, particularly given its extensive population growth over the past three decades. To this end, we conducted 40 field surveys across the island, documenting 1534 presence records of the species. We applied Kernel Density Estimation, Getis-Ord Gi *, and Anselin Local Moran’s I to identify the spatial distribution patterns and significant hotspots. A spatial lag model was used to quantify hotspot intensity and clustering dynamics, while abiotic, biotic, and anthropogenic factors were analyzed to assess habitat associations. Our results revealed that rabbit hotspots are predominantly concentrated in fertile lowland agroecosystems, with nearly 60% of high-density areas overlapping conservation zones. Soil and field conditions, grazing-supporting landscapes, and arable and subsidized agricultural areas emerged as significant predictors of O. cuniculus presence. The observed spatial dependencies indicated that</w:t>
      </w:r>
    </w:p>
    <w:p>
      <w:pPr/>
      <w:r>
        <w:rPr>
          <w:b/>
        </w:rPr>
        <w:t>POSSIBLE 2025:</w:t>
      </w:r>
      <w:r>
        <w:t xml:space="preserve"> ASSESSING THE ENVIRONMENTAL AND SOCIOECONOMIC CONSEQUENCES OF FOSSIL FUEL ACTIVITIES IN NIGERIA: IMPLICATIONS FOR SUSTAINABLE DEVELOPMENT AND CLIMATE RESILIENCE — https://doi.org/10.32936/pssj.v9i3.752</w:t>
      </w:r>
    </w:p>
    <w:p>
      <w:pPr/>
      <w:r>
        <w:rPr>
          <w:b/>
        </w:rPr>
        <w:t>Shared claim-specific concepts:</w:t>
      </w:r>
      <w:r>
        <w:t xml:space="preserve"> environmental, implications; EU scope not established. This is a provisional connection, not an outcome finding.</w:t>
      </w:r>
    </w:p>
    <w:p>
      <w:pPr>
        <w:pStyle w:val="SourceNote"/>
      </w:pPr>
      <w:r>
        <w:rPr>
          <w:b/>
        </w:rPr>
        <w:t>Available abstract (not full text):</w:t>
      </w:r>
      <w:r>
        <w:t xml:space="preserve"> This study critically examines the environmental and social impacts of Nigeria’s fossil fuel dependency, focusing on pollution levels, health outcomes, and climate risk exposure within oil-producing regions. Utilizing a comprehensive dataset spanning 2015 to 2023, the analysis employs panel regression and instrumental variable techniques to address potential endogeneity and capture dynamic relationships. Results indicate that fossil fuel extraction and associated activities contribute to environmental degradation and increased vulnerability to climate risks, though the direct statistical significance of some effects remains limited, potentially due to data constraints. The findings underscore the complex interplay between economic development, environmental sustainability, and social wellbeing in resource-rich contexts. Policy recommendations emphasize the importance of strengthening regulatory frameworks, promoting renewable energy transitions, and enhancing community health infrastructure to mitigate adverse effects. The study contributes to the growing body of literature on sustainable development in fossil fuel-dependent economies and highlights avenues for future interdisciplinary research.</w:t>
      </w:r>
    </w:p>
    <w:p>
      <w:pPr/>
      <w:r>
        <w:rPr>
          <w:b/>
        </w:rPr>
        <w:t>POSSIBLE 2025:</w:t>
      </w:r>
      <w:r>
        <w:t xml:space="preserve"> ASSESSING THE IMPACT OF CLIMATE CHANGE ON SUSTAINABLE AGRICULTURAL SYSTEMS IN EASTERN EUROPE: THE ROLE OF LANGUAGE IN ENVIRONMENTAL AWARENESS — https://doi.org/10.59463/rjas.2025.3.39</w:t>
      </w:r>
    </w:p>
    <w:p>
      <w:pPr/>
      <w:r>
        <w:rPr>
          <w:b/>
        </w:rPr>
        <w:t>Shared claim-specific concepts:</w:t>
      </w:r>
      <w:r>
        <w:t xml:space="preserve"> assess, environmental, novel, approach; EU scope visible. This is a provisional connection, not an outcome finding.</w:t>
      </w:r>
    </w:p>
    <w:p>
      <w:pPr>
        <w:pStyle w:val="SourceNote"/>
      </w:pPr>
      <w:r>
        <w:rPr>
          <w:b/>
        </w:rPr>
        <w:t>Available abstract (not full text):</w:t>
      </w:r>
      <w:r>
        <w:t xml:space="preserve"> Climate change poses a significant threat to agricultural sustainability in Eastern Europe, a region characterized by its economic reliance on farming and high vulnerability to climatic shifts.This study adopts a novel, transdisciplinary approach to assess this challenge, integrating agronomic analysis with sociolinguistic inquiry.We investigate the dual hypothesis that climate change is directly impacting the biophysical foundations of sustainable agricultural systems (e.g., soil health, water availability, crop yields) in the region, and that the efficacy of adaptation and mitigation strategies is critically mediated by language and communication.The research employed a mixed-methods design, combining quantitative analysis of climate and agricultural data from national and EU databases with qualitative discourse analysis of agricultural policy documents and media reports, alongside surveys and focus group discussions with farmers in Poland, Romania, and Bulgaria.Our findings confirm a significant trend of rising temperatures, altered precipitation patterns, and increased frequency of extreme weather events, which correlate with heightened soil erosion and water stress, challenging the principles of sustainability.Crucially, the linguistic analysis revealed that the framing of climate change and sustainable practices varies dramatically across different discourse communities.S</w:t>
      </w:r>
    </w:p>
    <w:p>
      <w:pPr/>
      <w:r>
        <w:rPr>
          <w:b/>
        </w:rPr>
        <w:t>POSSIBLE 2025:</w:t>
      </w:r>
      <w:r>
        <w:t xml:space="preserve"> Assessing the environmental, social and economic sustainability of beekeeping activities — https://doi.org/10.1080/00218839.2025.2531315</w:t>
      </w:r>
    </w:p>
    <w:p>
      <w:pPr/>
      <w:r>
        <w:rPr>
          <w:b/>
        </w:rPr>
        <w:t>Shared claim-specific concepts:</w:t>
      </w:r>
      <w:r>
        <w:t xml:space="preserve"> here, environmental, union, diagnostic, approach; EU scope visible. This is a provisional connection, not an outcome finding.</w:t>
      </w:r>
    </w:p>
    <w:p>
      <w:pPr>
        <w:pStyle w:val="SourceNote"/>
      </w:pPr>
      <w:r>
        <w:rPr>
          <w:b/>
        </w:rPr>
        <w:t>Available abstract (not full text):</w:t>
      </w:r>
      <w:r>
        <w:t xml:space="preserve"> The beekeeping sector faces several socio-economic problems and environmental stressors, from increased prices of pharmaceuticals to habitat loss or pesticides. Our study aims to better understand the variables driving the performance of beekeeping activities across the environmental, social, and economic dimensions and derive a diagnostic system. We gathered data on 29 basic indicators from a survey of 66 beekeeping activities located in Lombardy region (Italy), covering a wide range of sizes, experience, and management strategies. We applied a stepwise simplification of the information by which the 29 basic indicators are synthetized in 13 “sub-dimensions” and lastly in three “dimensions” through: (1) identification of the range of variation and normalization and (2) weighting and aggregation. The end user can make a quantitative analysis by relating beekeeping activity performance to the theoretical optimum. Here, years of experience together with activity size were the most relevant factors affecting sustainability. Beekeepers with more experience and larger activities showed higher economic sustainability together with a greater environmental pollination service. Transhumance practice and geographical location were also relevant, with exclusively or partially transhumant beekeepers showing higher economic sustainability than stationary ones, and apiaries located in the low</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pStyle w:val="Heading2"/>
      </w:pPr>
      <w:r>
        <w:t>542.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conclude, implications, foresight, approach, regions;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Exploring Pathways for Change: A Practice‐Oriented Integration of Foresight and Sustainability Transitions — https://doi.org/10.1002/ffo2.209</w:t>
      </w:r>
    </w:p>
    <w:p>
      <w:pPr/>
      <w:r>
        <w:rPr>
          <w:b/>
        </w:rPr>
        <w:t>Shared claim-specific concepts:</w:t>
      </w:r>
      <w:r>
        <w:t xml:space="preserve"> potential, foresight, sustainable, transformation; EU scope not established. This is a provisional connection, not an outcome finding.</w:t>
      </w:r>
    </w:p>
    <w:p>
      <w:pPr>
        <w:pStyle w:val="SourceNote"/>
      </w:pPr>
      <w:r>
        <w:rPr>
          <w:b/>
        </w:rPr>
        <w:t>Available abstract (not full text):</w:t>
      </w:r>
      <w:r>
        <w:t xml:space="preserve"> ABSTRACT The world is on a trajectory to exceed the 1.5‐degree target set by the Paris Agreement. As the effects of climate change become increasingly evident, there is a pressing need to fundamentally transform our societies towards just and sustainable futures. This paper presents a practical methodology for guiding collaborative transformation processes towards sustainability. Our aim is to contribute to the development of tools that combine insights from foresight with theories from the sustainability transitions literature, specifically scenario planning and multi‐level perspective (MLP) approaches. Foresight and sustainability transitions both aim to understand long‐term trends shaping production and consumption systems and guide transitions to more desirable socio‐technical regimes. However, few scholars have examined overlaps between the fields and explored the potential for practical integration in workshop settings. The MLP can benefit from scenario planning by incorporating directionality and pluralism of futures in transition processes, while the MLP provides a structure for understanding system dynamics and socio‐technical change to scenario planning. In this paper, we share our experiences using an integrated MLP‐scenario planning framework in a workshop setting where actors from the Swedish food system explored prospective transitions. Using backcasting and pre‐m</w:t>
      </w:r>
    </w:p>
    <w:p>
      <w:pPr/>
      <w:r>
        <w:rPr>
          <w:b/>
        </w:rPr>
        <w:t>POSSIBLE 2025:</w:t>
      </w:r>
      <w:r>
        <w:t xml:space="preserve"> Exploring the future of occupational safety research: A strategic foresight approach — https://doi.org/10.1080/15459624.2025.2537397</w:t>
      </w:r>
    </w:p>
    <w:p>
      <w:pPr/>
      <w:r>
        <w:rPr>
          <w:b/>
        </w:rPr>
        <w:t>Shared claim-specific concepts:</w:t>
      </w:r>
      <w:r>
        <w:t xml:space="preserve"> potential, foresight, approach; EU scope not established. This is a provisional connection, not an outcome finding.</w:t>
      </w:r>
    </w:p>
    <w:p>
      <w:pPr>
        <w:pStyle w:val="SourceNote"/>
      </w:pPr>
      <w:r>
        <w:rPr>
          <w:b/>
        </w:rPr>
        <w:t>Available abstract (not full text):</w:t>
      </w:r>
      <w:r>
        <w:t xml:space="preserve"> A team from the U.S. National Institute for Occupational Safety and Health conducted a strategic foresight project to explore the future of occupational safety research (OSR). Data collected via systematic horizon scanning and key informant interviews were synthesized into six drivers of OSR change: (1) technological advancement, (2) partnerships and public trust, (3) prioritizing research investments, (4) safety and health integration, (5) data and science quality, and (6) worker protections. These drivers served as the basis for envisioning four potential OSR futures. Analysis of the resulting scenarios identified opportunities to enhance and advance OSR methods and approaches, innovation, systems thinking, interpersonal networks and connections, and the ethical application of scientific findings as we move into the future of work.</w:t>
      </w:r>
    </w:p>
    <w:p>
      <w:pPr/>
      <w:r>
        <w:rPr>
          <w:b/>
        </w:rPr>
        <w:t>POSSIBLE 2025:</w:t>
      </w:r>
      <w:r>
        <w:t xml:space="preserve"> The role of foresight in public policy: lessons from deliberative democracy and perspectival realism — https://doi.org/10.1186/s40309-024-00246-0</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Abstract Foresight plays an important role in public policy development. The foresight learning process brings together various actors in the policy community and incentivizes them to think about the future. It encourages new ways of thinking and approaches to strategy and is a practical approach to using the future to inform decisions and actions in the present. Foresight faces challenges in becoming embedded in the policy process. One of these challenges is in establishing its epistemic authority when compared to natural science and social science disciplines. This paper argues foresight can benefit from developments in political theory and philosophy of science. Democratic deliberation is an approach to public discourse which emphasizes pluralism in debate and provides a detailed account of how reason-giving can add epistemic depth to foresight’s contribution to policy. Perspectival realism is a theory in philosophy of science which identifies the interplay between separate epistemic communities as the key mechanism in scientific development. The modal models that these epistemic communities create present a new way of understanding foresight’s study of the future and its part in the weave of scientific evidence, opinion and analysis that constitute policy development in a democratic society.</w:t>
      </w:r>
    </w:p>
    <w:p>
      <w:pPr>
        <w:pStyle w:val="Heading2"/>
      </w:pPr>
      <w:r>
        <w:t>543.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2025:</w:t>
      </w:r>
      <w:r>
        <w:t xml:space="preserve"> 14. (How) Can the Energy Transition in Europe be a Just Transition? — https://doi.org/10.11647/obp.0499.14</w:t>
      </w:r>
    </w:p>
    <w:p>
      <w:pPr/>
      <w:r>
        <w:rPr>
          <w:b/>
        </w:rPr>
        <w:t>Shared claim-specific concepts:</w:t>
      </w:r>
      <w:r>
        <w:t xml:space="preserve"> transition, emissions;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pStyle w:val="Heading2"/>
      </w:pPr>
      <w:r>
        <w:t>544.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r>
        <w:rPr>
          <w:b/>
        </w:rPr>
        <w:t>POSSIBLE 2025:</w:t>
      </w:r>
      <w:r>
        <w:t xml:space="preserve"> Health and relationship quality of sexual minorities in Europe — https://doi.org/10.1007/s00148-025-01077-4</w:t>
      </w:r>
    </w:p>
    <w:p>
      <w:pPr/>
      <w:r>
        <w:rPr>
          <w:b/>
        </w:rPr>
        <w:t>Shared claim-specific concepts:</w:t>
      </w:r>
      <w:r>
        <w:t xml:space="preserve"> rich, member, states; EU scope visible. This is a provisional connection, not an outcome finding.</w:t>
      </w:r>
    </w:p>
    <w:p>
      <w:pPr>
        <w:pStyle w:val="SourceNote"/>
      </w:pPr>
      <w:r>
        <w:rPr>
          <w:b/>
        </w:rPr>
        <w:t>Available abstract (not full text):</w:t>
      </w:r>
      <w:r>
        <w:t xml:space="preserve"> Abstract A growing body of literature investigates inequalities between sexual minorities and their heterosexual peers. This paper deals with disparities in health, health-related behaviours, and relationship quality among LGB+ individuals. We use a novel data set that allows for a wide cross-national analysis (27 EU member states) of disparities between sexual minorities and the rest of the population, as well as differences in reporting sexual orientation. We consider a rich set of social stressors, individual-specific behavioural factors, and health outcomes, as well as novel para-data (i.e., individuals’ response times) that are not available in other large surveys. The results indicate that sexual minorities are more exposed to stigma-related social stressors (both in childhood and adulthood), report worse physical and mental health conditions, feel more lonely, and are more likely to engage in coping strategies aimed at reducing or adapting to stressful conditions. Some of these findings significantly differ across gay, lesbian, and bisexual individuals and with respect to household income, the country’s enforcement of sexual minorities’ rights, and relationship status.</w:t>
      </w:r>
    </w:p>
    <w:p>
      <w:pPr>
        <w:pStyle w:val="Heading2"/>
      </w:pPr>
      <w:r>
        <w:t>545.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2025:</w:t>
      </w:r>
      <w:r>
        <w:t xml:space="preserve"> Using Douglas Fir and European Larch Needles for the Assessment of Their Retention Capacity for Atmospheric Heavy Metals — https://doi.org/10.3390/f16060980</w:t>
      </w:r>
    </w:p>
    <w:p>
      <w:pPr/>
      <w:r>
        <w:rPr>
          <w:b/>
        </w:rPr>
        <w:t>Shared claim-specific concepts:</w:t>
      </w:r>
      <w:r>
        <w:t xml:space="preserve"> retention, over, used; EU scope visible. This is a provisional connection, not an outcome finding.</w:t>
      </w:r>
    </w:p>
    <w:p>
      <w:pPr>
        <w:pStyle w:val="SourceNote"/>
      </w:pPr>
      <w:r>
        <w:rPr>
          <w:b/>
        </w:rPr>
        <w:t>Available abstract (not full text):</w:t>
      </w:r>
      <w:r>
        <w:t xml:space="preserve"> Among numerous global problems, one of the most significant is air pollution. In this paper, unwashed (U) and water-washed (W) needles of two conifers—European larch and Douglas fir—were used to assess their capacity for the retention and accumulation of heavy metals. The needle samples were used to represent the atmospheric deposition of heavy metals located on the surface of the needles. The sampled European larch and Douglas fir plantations were situated at three locations in Serbia: a least polluted (Kučevo), a moderately polluted (Avala), and a very polluted (Lazarevac) site. The content of five heavy metals (Ni, Cu, Co, Cd, Pb) was investigated in the study. The concentration of cadmium (Cd) was higher in the European larch needles compared to Douglas fir, while the differences in the content of the other heavy metals between the species studied were insignificant. For both species, the following trend applied with respect to the heavy metal content in their needles: Ni ˃ Cu ˃ Co ˃ Pb ˃ Cd. Based on the results obtained, we deduced that the concentrations of all investigated heavy metals at all three locations for both species were within the allowed limits, except for nickel (Ni) content, which was over the predicted limit values for both species in the highly polluted area (Lazarevac). A PCA (principal component analysis) undertaken suggests that European larch has a gr</w:t>
      </w:r>
    </w:p>
    <w:p>
      <w:pPr/>
      <w:r>
        <w:rPr>
          <w:b/>
        </w:rPr>
        <w:t>POSSIBLE 2025:</w:t>
      </w:r>
      <w:r>
        <w:t xml:space="preserve"> Active Food Packaging Based On Cassava Residues/Seriguela Residue Extract/nanoZnO — https://doi.org/10.24857/rgsa.v19n5-066</w:t>
      </w:r>
    </w:p>
    <w:p>
      <w:pPr/>
      <w:r>
        <w:rPr>
          <w:b/>
        </w:rPr>
        <w:t>Shared claim-specific concepts:</w:t>
      </w:r>
      <w:r>
        <w:t xml:space="preserve"> residues, retention, approach; EU scope not established. This is a provisional connection, not an outcome finding.</w:t>
      </w:r>
    </w:p>
    <w:p>
      <w:pPr>
        <w:pStyle w:val="SourceNote"/>
      </w:pPr>
      <w:r>
        <w:rPr>
          <w:b/>
        </w:rPr>
        <w:t>Available abstract (not full text):</w:t>
      </w:r>
      <w:r>
        <w:t xml:space="preserve"> Objective: Produce and characterize films based on starch production using extraction from industrial cassava processing as a polymeric matrix, incorporated with nanoZnO and the extract of residues from seriguela processing, with a focus on obtaining active biomaterial for application in food packaging. Theoretical Framework: The production of sustainable materials based on renewable natural resources, such as agricultural crop by-products, produced in large quantities and with little or no added value, has become an increasingly urgent global need, especially for the packaging sector. Method: The cassava residue was supplied by two processing units: the peels by the company José C. da Silva - Farinha (Farinha Quatis ®) located in Lagoa de Itaenga /PE, and the bagasse by Prata Fina® located in the city of Lagoa Salgada /RN. Then, they (peels and bagasse) were subjected to drying at 50 °C, in an oven with air circulation (MA035/5 - MARCONI, Brazil), until a moisture content equal to or less than 10%, and then ground in a multipurpose mill. Subsequently, films were produced with the residue produced with the addition of seriguela extract and nanoZnO. Results and Discussion: CRF presented significant starch content (74.53 g.100g -1 ) and SRE a high phenolic content (1013.7 μgEAG.mL -1 ) with strong antioxidant capacity, but additive films showed low phenolic retention, reinforcing</w:t>
      </w:r>
    </w:p>
    <w:p>
      <w:pPr/>
      <w:r>
        <w:rPr>
          <w:b/>
        </w:rPr>
        <w:t>POSSIBLE 2024:</w:t>
      </w:r>
      <w:r>
        <w:t xml:space="preserve"> Soil bulk density assessment in Europe — https://doi.org/10.1016/j.agee.2024.108907</w:t>
      </w:r>
    </w:p>
    <w:p>
      <w:pPr/>
      <w:r>
        <w:rPr>
          <w:b/>
        </w:rPr>
        <w:t>Shared claim-specific concepts:</w:t>
      </w:r>
      <w:r>
        <w:t xml:space="preserve"> stocks, over, used, spatial;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Bifenthrin Residues in Table Grapevine: Method Optimization, Dissipation and Removal of Residues in Grapes and Grape Leaves — https://doi.org/10.3390/plants13121695</w:t>
      </w:r>
    </w:p>
    <w:p>
      <w:pPr/>
      <w:r>
        <w:rPr>
          <w:b/>
        </w:rPr>
        <w:t>Shared claim-specific concepts:</w:t>
      </w:r>
      <w:r>
        <w:t xml:space="preserve"> residues, calculated, over; EU scope visible. This is a provisional connection, not an outcome finding.</w:t>
      </w:r>
    </w:p>
    <w:p>
      <w:pPr>
        <w:pStyle w:val="SourceNote"/>
      </w:pPr>
      <w:r>
        <w:rPr>
          <w:b/>
        </w:rPr>
        <w:t>Available abstract (not full text):</w:t>
      </w:r>
      <w:r>
        <w:t xml:space="preserve"> The QuEChERS method was adjusted to determine bifenthrin residues in grapes and grape leaves. Extraction and cleanup procedures were optimized to decrease co-extracted materials and enhance the detection of bifenthrin. The method was validated per the European Union (EU) Guidelines criteria. Accuracy ranged from 98.8% to 93.5% for grapes and grape leaves, respectively. Precision values were 5.5 and 6.4 (RSDr) and 7.4 and 6.7 (RSDR) for grapes and grape leaves, respectively. LOQs (the lowest spiking level) were 2 and 20 µg/kg for grapes and grape leaves, respectively. Linearity as determination coefficient (R2) values were 0.9997 and 0.9964 for grapes and grape leaves, respectively, in a matrix over 1–100 µg/L range of analyte concentration. This was very close to the value in the pure solvent (0.9999), showing the efficiency of the cleanup in removing the co-extracted and co-injected materials; the matrix effect was close to zero in both sample matrices. Dissipation of bifenthrin was studied in a supervised trial conducted in a grapevine field during the summer of 2023 at the recommended dose and double the dose. Dissipation factor k values were 0.1549 and 0.1672 (recommended dose) and 0.235 and 0.208 (double dose) for grapes and grape leaves, respectively. Pre-harvest interval (PHI) was calculated for the Maximum Residue Limit (MRL) values of the EU database. Residues of bifen</w:t>
      </w:r>
    </w:p>
    <w:p>
      <w:pPr/>
      <w:r>
        <w:rPr>
          <w:b/>
        </w:rPr>
        <w:t>POSSIBLE 2024:</w:t>
      </w:r>
      <w:r>
        <w:t xml:space="preserve"> Towards the Magic Radioactive Bullet: Improving Targeted Radionuclide Therapy by Reducing the Renal Retention of Radioligands — https://doi.org/10.3390/ph17020256</w:t>
      </w:r>
    </w:p>
    <w:p>
      <w:pPr/>
      <w:r>
        <w:rPr>
          <w:b/>
        </w:rPr>
        <w:t>Shared claim-specific concepts:</w:t>
      </w:r>
      <w:r>
        <w:t xml:space="preserve"> retention, reduced, over, used; EU scope not established. This is a provisional connection, not an outcome finding.</w:t>
      </w:r>
    </w:p>
    <w:p>
      <w:pPr>
        <w:pStyle w:val="SourceNote"/>
      </w:pPr>
      <w:r>
        <w:rPr>
          <w:b/>
        </w:rPr>
        <w:t>Available abstract (not full text):</w:t>
      </w:r>
      <w:r>
        <w:t xml:space="preserve"> Targeted radionuclide therapy (TRT) is an emerging field and has the potential to become a major pillar in effective cancer treatment. Several pharmaceuticals are already in routine use for treating cancer, and there is still a high potential for new compounds for this application. But, a major issue for many radiolabeled low-to-moderate-molecular-weight molecules is their clearance via the kidneys and their subsequent reuptake. High renal accumulation of radioactive compounds may lead to nephrotoxicity, and therefore, the kidneys are often the dose-limiting organs in TRT with these radioligands. Over the years, different strategies have been developed aiming for reduced kidney retention and enhanced therapeutic efficacy of radioligands. In this review, we will give an overview of the efforts and achievements of the used strategies, with focus on the therapeutic potential of low-to-moderate-molecular-weight molecules. Among the strategies discussed here is coadministration of compounds that compete for binding to the endocytic receptors in the proximal tubuli. In addition, the influence of altering the molecular design of radiolabeled ligands on pharmacokinetics is discussed, which includes changes in their physicochemical properties and implementation of cleavable linkers or albumin-binding moieties. Furthermore, we discuss the influence of chelator and radionuclide choice on </w:t>
      </w:r>
    </w:p>
    <w:p>
      <w:pPr>
        <w:pStyle w:val="Heading2"/>
      </w:pPr>
      <w:r>
        <w:t>546.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2025:</w:t>
      </w:r>
      <w:r>
        <w:t xml:space="preserve"> Implications of window opening assumptions in English overheating regulation on assessing residential heat resilience under uncertain climate — https://doi.org/10.26868/25222708.2025.1494</w:t>
      </w:r>
    </w:p>
    <w:p>
      <w:pPr/>
      <w:r>
        <w:rPr>
          <w:b/>
        </w:rPr>
        <w:t>Shared claim-specific concepts:</w:t>
      </w:r>
      <w:r>
        <w:t xml:space="preserve"> uncertain, role, climate, however, implications; EU scope not established. This is a provisional connection, not an outcome finding.</w:t>
      </w:r>
    </w:p>
    <w:p>
      <w:pPr>
        <w:pStyle w:val="SourceNote"/>
      </w:pPr>
      <w:r>
        <w:rPr>
          <w:b/>
        </w:rPr>
        <w:t>Available abstract (not full text):</w:t>
      </w:r>
      <w:r>
        <w:t xml:space="preserve"> Climate change causes more frequent and severe heat- waves in temperate regions, posing a grave risk of heat exposure to dwellings. To address this, the United Kingdom government recently implemented regula- tions to mitigate overheating in English and Welsh homes. Approved Document O (ADO), as its accom- panying technical guidance, recommends a modelling approach to demonstrating regulatory compliance for summertime thermal comfort, which is based on the Technical Memorandum 59 (TM59) methodology with modifications to the standardised window control be- haviours. Previous studies have highlighted adaptive ventilation as a crucial measure to enhance heat resi- lience of future homes; however, the impact of such modifications on overheating prediction has not been quantitatively discussed, particularly in consideration of climate uncertainty. This paper aims to investigate the implications of the tailored window control rule- sets in ADO on heat resilience evaluation for future homes under uncertain climatic conditions. Results suggest a statistically significant difference (p &lt; 0.001) in overheating assessment results between TM59 and ADO, with the greatest effect observed on the expected overheating risk in nocturnal bedrooms. Quantitat- ive evidence also reveals the critical role of nighttime ventilation in enhancing thermal comfort in future summers regarding both effectiven</w:t>
      </w:r>
    </w:p>
    <w:p>
      <w:pPr/>
      <w:r>
        <w:rPr>
          <w:b/>
        </w:rPr>
        <w:t>POSSIBLE 2025:</w:t>
      </w:r>
      <w:r>
        <w:t xml:space="preserve"> A Review of Food Security Crisis in Uncertain Times — https://doi.org/10.54536/ajfst.v4i1.3622</w:t>
      </w:r>
    </w:p>
    <w:p>
      <w:pPr/>
      <w:r>
        <w:rPr>
          <w:b/>
        </w:rPr>
        <w:t>Shared claim-specific concepts:</w:t>
      </w:r>
      <w:r>
        <w:t xml:space="preserve"> uncertain, role, potential, climate, other, implications; EU scope not established. This is a provisional connection, not an outcome finding.</w:t>
      </w:r>
    </w:p>
    <w:p>
      <w:pPr>
        <w:pStyle w:val="SourceNote"/>
      </w:pPr>
      <w:r>
        <w:rPr>
          <w:b/>
        </w:rPr>
        <w:t>Available abstract (not full text):</w:t>
      </w:r>
      <w:r>
        <w:t xml:space="preserve"> Hunger and poverty are not the only issues linked to the food insecurity challenge. Increased violence, terrorism, natural catastrophes, climate change, and the most recent worldwide pandemic known as the COVID-19 Pandemic have all drawn attention to the issue of food poverty. Before the world’s economy fully recovered from the COVID-19 pandemic, the globe was particularly affected by the Russian invasion of Ukraine and the grain crisis, which intensified the situation to never-before-seen proportions. This article describes the numerous complex issues underlying the food shortage and how it affects the world’s least developed nations and individuals. This article analyses the challenges of global food scarcity, especially during the COVID-19 pandemic. The method of study involved conducting a comprehensive literature search on electronic databases, including PubMed, Google Scholar, and Embase. The relevant results were then recorded in a qualitative descriptive form. It examines the impact of the pandemic on food systems, its implications for the worldwide supply chain, and food and addressing the shortage. The review also explores factors contributing to food scarcity, such as the controversial role of biofuels. The article discusses the extent of hunger and food insecurity, emphasizing the moral implications of unhealthy eating practices and the relationship between food sec</w:t>
      </w:r>
    </w:p>
    <w:p>
      <w:pPr/>
      <w:r>
        <w:rPr>
          <w:b/>
        </w:rPr>
        <w:t>POSSIBLE 2025:</w:t>
      </w:r>
      <w:r>
        <w:t xml:space="preserve"> Dependent Infrastructure Service Disruption Mapping (DISruptionMap): A method to assess cascading service disruptions in disaster scenarios — https://doi.org/10.1038/s41598-025-89469-0</w:t>
      </w:r>
    </w:p>
    <w:p>
      <w:pPr/>
      <w:r>
        <w:rPr>
          <w:b/>
        </w:rPr>
        <w:t>Shared claim-specific concepts:</w:t>
      </w:r>
      <w:r>
        <w:t xml:space="preserve"> assess, transport, other; EU scope visible. This is a provisional connection, not an outcome finding.</w:t>
      </w:r>
    </w:p>
    <w:p>
      <w:pPr>
        <w:pStyle w:val="SourceNote"/>
      </w:pPr>
      <w:r>
        <w:rPr>
          <w:b/>
        </w:rPr>
        <w:t>Available abstract (not full text):</w:t>
      </w:r>
      <w:r>
        <w:t xml:space="preserve"> Critical infrastructures provide essential services for our modern society. Large-scale natural hazards, such as floods or storms, can disrupt multiple critical infrastructures at once. In addition, a localized failure of one service can trigger a cascade of failures of other dependent services. This makes it challenging to anticipate and prepare adequately for direct and indirect consequences of such events. Existing methods that are spatially explicit and consider service dependencies currently lack practicality, as they require large amounts of data. To address this gap, we propose a novel method called DISruptionMap which analyzes complex disruptions to critical infrastructure services. The proposed method combines (i) spatial service models to assess direct service disruptions with (ii) a service dependency model to assess indirect (cascading) service disruptions. A fault tree-based approach is implemented, resulting in a significant decrease in the information required to set up the service dependency model. We demonstrate the effectiveness of our method in a case study examining the impact of an extreme flood on health, transport, and power services in Cologne, Germany.</w:t>
      </w:r>
    </w:p>
    <w:p>
      <w:pPr/>
      <w:r>
        <w:rPr>
          <w:b/>
        </w:rPr>
        <w:t>POSSIBLE 2025:</w:t>
      </w:r>
      <w:r>
        <w:t xml:space="preserve"> Sri Lankan Migrant Women’s Uncertain COVID-19 Conditions in the Middle East — https://doi.org/10.47836/pjssh.33.2.04</w:t>
      </w:r>
    </w:p>
    <w:p>
      <w:pPr/>
      <w:r>
        <w:rPr>
          <w:b/>
        </w:rPr>
        <w:t>Shared claim-specific concepts:</w:t>
      </w:r>
      <w:r>
        <w:t xml:space="preserve"> owing, uncertain, however; EU scope not established. This is a provisional connection, not an outcome finding.</w:t>
      </w:r>
    </w:p>
    <w:p>
      <w:pPr>
        <w:pStyle w:val="SourceNote"/>
      </w:pPr>
      <w:r>
        <w:rPr>
          <w:b/>
        </w:rPr>
        <w:t>Available abstract (not full text):</w:t>
      </w:r>
      <w:r>
        <w:t xml:space="preserve"> The discrimination and exploitation encountered by Sri Lankan migrant women in the Middle East labour market have aggravated, which engenders significant challenges for numerous families, especially during the COVID-19 pandemic. The current study aims to explore Sri Lankan women’s uncertain living conditions with families during the COVID-19 pandemic. A qualitative research method was employed to collect data through a semi-structured interview guide and produce a descriptive analysis using the thematic analysis technique. Purposive sampling was performed to recruit Sri Lankan migrant women who stayed with their respective families in Bahrain. A total of 13 online in-depth interviews were conducted. Resultantly, Sri Lankan migrant women experienced significant challenges during the pandemic due to frequent humiliation and termination by employers, which significantly increased the pressure of living. The crisis negatively impacted Sri Lankan migrant women’s lives owing to increased family responsibilities, which led to high challenges in achieving a balance between work and family. Working in the Middle East and resettling in Sri Lanka were not as favourable as expected at their stage of work, which required them to adopt coping mechanisms to achieve their economic goal. However, the amount of relevant materials and social support for the migrant women was minimal. The present </w:t>
      </w:r>
    </w:p>
    <w:p>
      <w:pPr>
        <w:pStyle w:val="Heading2"/>
      </w:pPr>
      <w:r>
        <w:t>547.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2025:</w:t>
      </w:r>
      <w:r>
        <w:t xml:space="preserve"> The Mediating Role of Climate Targets in Corporate Emission Reductions — https://doi.org/10.1002/bse.70364</w:t>
      </w:r>
    </w:p>
    <w:p>
      <w:pPr/>
      <w:r>
        <w:rPr>
          <w:b/>
        </w:rPr>
        <w:t>Shared claim-specific concepts:</w:t>
      </w:r>
      <w:r>
        <w:t xml:space="preserve"> climate, target, carbon; EU scope not established. This is a provisional connection, not an outcome finding.</w:t>
      </w:r>
    </w:p>
    <w:p>
      <w:pPr>
        <w:pStyle w:val="SourceNote"/>
      </w:pPr>
      <w:r>
        <w:rPr>
          <w:b/>
        </w:rPr>
        <w:t>Available abstract (not full text):</w:t>
      </w:r>
      <w:r>
        <w:t xml:space="preserve"> ABSTRACT Corporations worldwide increasingly commit to Sustainable Development Goal 13 (SDG 13), yet the extent to which such commitments translate into measurable greenhouse gas (GHG) reductions remains uncertain. Drawing on Institutional and Legitimacy Theory, this paper examines the mediating role of climate targets in the relationship between SDG 13 adoption and corporate emission outcomes. We compile a balanced panel of 152 publicly listed firms across 32 countries and seven carbon‐intensive industries, resulting in 760 firm‐year observations for the period 2020–2024, using data from Refinitiv Datastream. Structural equation modeling (SEM) is employed to test whether long‐term and short‐term GHG emission reduction targets serve as pathways through which SDG 13 commitments affect subsequent GHG performance. Our results show that SDG 13 adoption strongly predicts the establishment of long‐term targets, which are significantly associated with lower emissions. By contrast, short‐term targets are less frequently adopted and display weaker effects. Temporal analysis indicates a rapid institutionalization of SDG 13 commitments and target adoption during the 2020–2024 period, consistent with coercive, normative, and mimetic pressures. These findings suggest that while visible commitments enhance legitimacy, substantive emission reductions require embedding long‐term targets into c</w:t>
      </w:r>
    </w:p>
    <w:p>
      <w:pPr/>
      <w:r>
        <w:rPr>
          <w:b/>
        </w:rPr>
        <w:t>POSSIBLE 2025:</w:t>
      </w:r>
      <w:r>
        <w:t xml:space="preserve"> Carbon leakage in production networks under asymmetric climate policies — https://doi.org/10.1016/j.jedc.2025.105241</w:t>
      </w:r>
    </w:p>
    <w:p>
      <w:pPr/>
      <w:r>
        <w:rPr>
          <w:b/>
        </w:rPr>
        <w:t>Shared claim-specific concepts:</w:t>
      </w:r>
      <w:r>
        <w:t xml:space="preserve"> climate, carbon, leakage; EU scope not established. This is a provisional connection, not an outcome finding.</w:t>
      </w:r>
    </w:p>
    <w:p>
      <w:pPr>
        <w:pStyle w:val="SourceNote"/>
      </w:pPr>
      <w:r>
        <w:rPr>
          <w:b/>
        </w:rPr>
        <w:t>Available abstract (not full text):</w:t>
      </w:r>
      <w:r>
        <w:t xml:space="preserve"> Climate policies are typically designed at the regional level. This generates differences in implicit carbon prices across countries that can alter the structure of trade patterns and undermine the effectiveness of environmental regulations through carbon leakage. The paper examines the macroeconomic consequences of asymmetric climate policies, focusing on how they affect the international structure of production. The purpose is twofold: assessing the impact of uncoordinated climate policies on the outsourcing of production and studying the effectiveness of a border carbon adjustment mechanism aimed at safeguarding countries’ competitiveness. To this end, we develop and simulate a theoretical agent-based model in which supply chains are endogenously determined by downstream firms’ sourcing strategies; such firms select a supplier of intermediate goods, whose production generates emissions and is subjected to environmental regulations. Focusing on bottom-up interactions among heterogeneous and boundedly rational agents, this approach provides novel insights into how environmental policies rewire firm linkages within global production networks, and how this reshaping affects overall carbon emissions.</w:t>
      </w:r>
    </w:p>
    <w:p>
      <w:pPr/>
      <w:r>
        <w:rPr>
          <w:b/>
        </w:rPr>
        <w:t>POSSIBLE 2025:</w:t>
      </w:r>
      <w:r>
        <w:t xml:space="preserve"> Pathways to climate neutrality: Europe's energy transition under the Green Deal — https://doi.org/10.1016/j.rser.2025.116272</w:t>
      </w:r>
    </w:p>
    <w:p>
      <w:pPr/>
      <w:r>
        <w:rPr>
          <w:b/>
        </w:rPr>
        <w:t>Shared claim-specific concepts:</w:t>
      </w:r>
      <w:r>
        <w:t xml:space="preserve"> stringent, climate, target, leakage, implementing, reduce; EU scope visible. This is a provisional connection, not an outcome finding.</w:t>
      </w:r>
    </w:p>
    <w:p>
      <w:pPr>
        <w:pStyle w:val="SourceNote"/>
      </w:pPr>
      <w:r>
        <w:rPr>
          <w:b/>
        </w:rPr>
        <w:t>Available abstract (not full text):</w:t>
      </w:r>
      <w:r>
        <w:t xml:space="preserve"> The EU committed to reducing 55 % of its greenhouse gas emissions by 2030 and achieving climate neutrality by 2050 through its Green Deal and Fit for 55 policy package. This study employs the TIMES-Europe model to assess multiple pathways for the required energy transition and their cost implications, while explicitly accounting for the interplay between existing EU energy policies. We do so by analysing, from both a pan-European and a national perspective, the impact of the proposed 2040 climate target, the energy efficiency-first principle, and various collaboration frameworks such as fairness-based burden-sharing. Our projections show that under the most ambitious policy scenarios, renewable electricity could contribute up to 44 % of Europe's Primary Energy Consumption mix by 2050. Domestic fossil fuel shares decline from 51 % to 12 %. However, import dependency increases to 49 %, with a shift from crude oil to refined petroleum products, raising concerns over emissions leakage. Residual emissions of ∼0.3 GtCO 2 persist under current policy trajectories, which highlights the need for more stringent measures to achieve net-zero emissions by 2050. Implementing the 2040 climate target and the EU Energy Efficiency Directive could reduce cumulative emissions by an additional 10.62 GtCO 2 but at a 100–116 % increase in policy costs. The application of equitable burden-sharing fram</w:t>
      </w:r>
    </w:p>
    <w:p>
      <w:pPr/>
      <w:r>
        <w:rPr>
          <w:b/>
        </w:rPr>
        <w:t>POSSIBLE 2025:</w:t>
      </w:r>
      <w:r>
        <w:t xml:space="preserve"> Unilateral climate policy design should account for the effectiveness of different anti-leakage policies — https://doi.org/10.1038/s43247-025-02258-5</w:t>
      </w:r>
    </w:p>
    <w:p>
      <w:pPr/>
      <w:r>
        <w:rPr>
          <w:b/>
        </w:rPr>
        <w:t>Shared claim-specific concepts:</w:t>
      </w:r>
      <w:r>
        <w:t xml:space="preserve"> climate, carbon, leakage, cbam, reduce; EU scope visible. This is a provisional connection, not an outcome finding.</w:t>
      </w:r>
    </w:p>
    <w:p>
      <w:pPr>
        <w:pStyle w:val="SourceNote"/>
      </w:pPr>
      <w:r>
        <w:rPr>
          <w:b/>
        </w:rPr>
        <w:t>Available abstract (not full text):</w:t>
      </w:r>
      <w:r>
        <w:t xml:space="preserve"> Abstract Identifying the effectiveness of anti-leakage policies across competitiveness, demand, and energy channels is crucial for unilateral climate policy design. Here we combine a global equilibrium model and channel decomposition approach to unravel the effectiveness of anti-leakage policies—free allocation system, carbon border adjustment mechanism (CBAM), and climate clubs—within the European Union Emissions Trading System. Free allocation (excluding power sector) and indirect emission cost aids modestly reduce carbon leakage across all channels. CBAM achieves negative leakage in competitiveness and demand channels, but increases leakage in the energy channel. Voluntary climate clubs without penalties, mainly mitigate leakage among member countries, but are less effective for non-members in the demand channel. The Buchanan club with imposing penalties on non-members, achieves the negative leakage, suggesting its potential to fully resolve leakage. However, these policies are less effective in the energy channel, potentially undermining efforts in other channels.</w:t>
      </w:r>
    </w:p>
    <w:p>
      <w:pPr/>
      <w:r>
        <w:rPr>
          <w:b/>
        </w:rPr>
        <w:t>POSSIBLE 2025:</w:t>
      </w:r>
      <w:r>
        <w:t xml:space="preserve"> The European Union’s CBAM: averting emissions leakage or promoting the diffusion of carbon pricing? — https://doi.org/10.1080/1523908x.2025.2591794</w:t>
      </w:r>
    </w:p>
    <w:p>
      <w:pPr/>
      <w:r>
        <w:rPr>
          <w:b/>
        </w:rPr>
        <w:t>Shared claim-specific concepts:</w:t>
      </w:r>
      <w:r>
        <w:t xml:space="preserve"> climate, carbon, leakage, cbam, implementation, several; EU scope visible. This is a provisional connection, not an outcome finding.</w:t>
      </w:r>
    </w:p>
    <w:p>
      <w:pPr>
        <w:pStyle w:val="SourceNote"/>
      </w:pPr>
      <w:r>
        <w:rPr>
          <w:b/>
        </w:rPr>
        <w:t>Available abstract (not full text):</w:t>
      </w:r>
      <w:r>
        <w:t xml:space="preserve"> Adopted in 2023, the Carbon Border Adjustment Mechanism (CBAM) is a significant component of the European Union’s ambitious decarbonization strategy under the European Green Deal. This article questions the output effectiveness of the CBAM in achieving its stated objective, prevention of carbon leakage, while demonstrating its impact effectiveness as an instrument for advancing the global diffusion of carbon pricing. Empirical evidence for carbon leakage remains sparse, and implementation challenges might limit the capacity of the CBAM to counteract leakage even where it occurs. Nonetheless, the CBAM has already demonstrated a powerful spillover effect by incentivizing the acceleration of carbon pricing roadmaps across EU trade partners, suggesting that trade-related climate measures can effectively encourage global climate action. As the EU navigates the complexities of operationalizing the CBAM, it must balance several tradeoffs to maintain this important spillover effect. If successful, the CBAM could catalyze a virtuous cycle of carbon pricing adoption, reinforcing its potentially pivotal role in the EU’s toolbox to manage the environment-trade nexus.</w:t>
      </w:r>
    </w:p>
    <w:p>
      <w:pPr/>
      <w:r>
        <w:rPr>
          <w:b/>
        </w:rPr>
        <w:t>POSSIBLE 2025:</w:t>
      </w:r>
      <w:r>
        <w:t xml:space="preserve"> Europe’s Carbon Border Adjustment Mechanism (CBAM): From Design to Implementation — https://doi.org/10.1017/9781839704635.006</w:t>
      </w:r>
    </w:p>
    <w:p>
      <w:pPr/>
      <w:r>
        <w:rPr>
          <w:b/>
        </w:rPr>
        <w:t>Shared claim-specific concepts:</w:t>
      </w:r>
      <w:r>
        <w:t xml:space="preserve"> stringent, climate, carbon, leakage, cbam, implementation; EU scope visible. This is a provisional connection, not an outcome finding.</w:t>
      </w:r>
    </w:p>
    <w:p>
      <w:pPr>
        <w:pStyle w:val="SourceNote"/>
      </w:pPr>
      <w:r>
        <w:rPr>
          <w:b/>
        </w:rPr>
        <w:t>Available abstract (not full text):</w:t>
      </w:r>
      <w:r>
        <w:t xml:space="preserve"> INTRODUCTION Adopted in May 2023, the European Union (EU) Carbon Border Adjustment Mechanism (CBAM) is representative of a paradigmatic shift in European climate policy, entailing use of unilateral measures to address the intersection of international trade and climate change. Following decades of theoretical discussion of border carbon adjustments (BCAs) as a policy to level the economic playing field in a world of uneven climate action, the CBAM imposes carbon costs on certain categories of imported goods equivalent to those faced by domestic producers under the EU Emissions Trading System (EU ETS). It is thus primarily aimed at preventing carbon leakage – where economic activity and the associated emissions shift to countries with less stringent climate policies – while trying to maintain the competitiveness of European industry. Despite its conceptual appeal and compelling rationale, the evolution of the CBAM from design to implementation has been characterised by political, legal, and economic challenges. Its trajectory to date underscores the EU commitment to ambitious climate action amidst geopolitical tensions and a fragmented, highly competitive global economy, influenced by factors such as the persistent asymmetry of domestic climate efforts under the Paris Agreement, the unsteady participation of the United States in international climate cooperation, and the recent </w:t>
      </w:r>
    </w:p>
    <w:p>
      <w:pPr>
        <w:pStyle w:val="Heading2"/>
      </w:pPr>
      <w:r>
        <w:t>548.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The role of nuclear energy in reducing carbon dioxide emissions — https://doi.org/10.5937/pim25235g</w:t>
      </w:r>
    </w:p>
    <w:p>
      <w:pPr/>
      <w:r>
        <w:rPr>
          <w:b/>
        </w:rPr>
        <w:t>Shared claim-specific concepts:</w:t>
      </w:r>
      <w:r>
        <w:t xml:space="preserve"> nuclear, energy, low-carbon, electricity, source, power; EU scope not established. This is a provisional connection, not an outcome finding.</w:t>
      </w:r>
    </w:p>
    <w:p>
      <w:pPr>
        <w:pStyle w:val="SourceNote"/>
      </w:pPr>
      <w:r>
        <w:rPr>
          <w:b/>
        </w:rPr>
        <w:t>Available abstract (not full text):</w:t>
      </w:r>
      <w:r>
        <w:t xml:space="preserve"> Nuclear energy plays an important role in reducing carbon dioxide (CO₂) emissions since it allows the production of large amounts of electricity without the direct combustion of fossil fuels. Unlike coal and gas-fired power plants, nuclear power plants do not emit CO₂ during the operation, making them a significant factor in the fight against climate change. Furthermore, unlike renewable sources that depend on weather conditions, nuclear energy provides a stable and reliable source of electricity generation. Although there are challenges, such as solutions for radioactive waste and high initial costs, advancements in technology, particularly the development of fourth-generation reactors and small modular reactors, could further enhance the sustainability of this energy source. In combination with renewable sources, nuclear energy can contribute to reducing global fossil fuel consumption and facilitate the transition to a low-carbon economy.</w:t>
      </w:r>
    </w:p>
    <w:p>
      <w:pPr/>
      <w:r>
        <w:rPr>
          <w:b/>
        </w:rPr>
        <w:t>POSSIBLE 2025:</w:t>
      </w:r>
      <w:r>
        <w:t xml:space="preserve"> Resolving China's Energy Trilemma: Nuclear Power Synergy in the Dual-Carbon Transition — https://doi.org/10.1051/matecconf/202541001016</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China currently accounts for the largest share of global CO₂ emissions, faces immense pressure to achieve its “dual-carbon” goals amid a coal-dominated energy structure and rising emissions. The energy trilemma theory highlights inherent conflicts among energy security, affordability, and sustainability, yet existing studies inadequately address regional heterogeneity and dynamic synergies. This study evaluates China’s energy transition pathways by analyzing the trade-offs and synergies of photovoltaic, wind, and nuclear power within the trilemma framework. Through a comparative analysis of technical efficiency, economic costs, and environmental impacts, we demonstrate that nuclear power outperforms renewables in stability (7,805 annual utilization hours vs. 2,127 for wind), cost-effectiveness (¥0.28/kWh levelized cost), and near-zero emissions. Despite challenges in waste management and public acceptance, nuclear energy’s high energy density and grid reliability position it as a critical solution for balancing the trilemma. The findings advocate for prioritizing advanced nuclear technologies and stringent regulatory frameworks to accelerate decarbonization while ensuring energy security.</w:t>
      </w:r>
    </w:p>
    <w:p>
      <w:pPr/>
      <w:r>
        <w:rPr>
          <w:b/>
        </w:rPr>
        <w:t>POSSIBLE 2025:</w:t>
      </w:r>
      <w:r>
        <w:t xml:space="preserve"> The Nuclear Future of the Republic of Bulgaria – Trends in the Development of the Regulatory Framework for the Construction and Operation of Nuclear Power Plants, Problems and Recommendations for Improvement — https://doi.org/10.21029/jael.2025.38.9</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In the article, the author conducts an analysis of the national nuclear characteristics of the Republic of Bulgaria, addressing the prospects of nuclear energy in the country, its strategic position in the national energy policy and the envisioned development for the construction of new nuclear power plants. It further considers public opinion on nuclear energy. The composition and institutional positioning of the national regulatory body are delineated, with particular attention paid to the safeguards ensuring its indepen- dence within the administrative framework of the state. The legislation in the Republic of Bulgaria that regulates the use of nuclear energy is notably extensive. In addition to the main nuclear law, public relations are also regulated by other laws, further elaborated through an array of subordinate normative acts. The article proceeds to outline, albeit briefly, the principal constitutional provisions, statutory laws, and regulatory by-laws pertinent to the licensing stages of nuclear power plants. Moreover, the analysis extends to the salient characteristics of the nuclear projects planned for implementation, issues arising in the context of contractual arrangements related to construction, as well as the national public procurement procedure for the construction of nuclear power plants. The discourse also encompasses the increasingly salient issue of sma</w:t>
      </w:r>
    </w:p>
    <w:p>
      <w:pPr/>
      <w:r>
        <w:rPr>
          <w:b/>
        </w:rPr>
        <w:t>POSSIBLE 2025:</w:t>
      </w:r>
      <w:r>
        <w:t xml:space="preserve"> The Economic and Regulatory Landscape of Nuclear Power: Implications for Malaysia — https://doi.org/10.54313/journalmp.v5i.150</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As Malaysia reconsiders integrating nuclear power into its energy mix, this paper advances the national discourse by analysing the critical economic and regulatory dimensions of its development. Drawing on a comprehensive literature review and field interviews, the study first delineates the prevailing legal, policy, and administrative environment for energy projects. Within this context, it identifies specific market and operational challenges and risks pertinent to nuclear power and proposes eight mitigation strategies. These strategies are strategically linked with the Four Symbols (四象) of Chinese cosmology, presenting a comprehensive, interdependent, and balanced policy framework. The paper further examines the establishment of a robust and efficient regulatory framework for nuclear power, guided by international best practices. Based on this analysis, the study offers recommendations for Malaysia, encompassing areas such as market and operational risks, regulatory frameworks, public engagement and communication, geopolitical realities and strategic partnerships, crucial for navigating nuclear power integration amidst a dynamic energy transition.</w:t>
      </w:r>
    </w:p>
    <w:p>
      <w:pPr/>
      <w:r>
        <w:rPr>
          <w:b/>
        </w:rPr>
        <w:t>POSSIBLE 2025:</w:t>
      </w:r>
      <w:r>
        <w:t xml:space="preserve"> Peaceful Uses of Nuclear Energy in Less Industrialized Countries: Challenges, Opportunities, and Acceptance — https://doi.org/10.3390/en18040858</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This paper introduces a holistic framework to assist less industrialized countries in adopting nuclear energy (NE) for peaceful purposes considering the challenges and opportunities this entails. It underscores the pressing need for sustainable and secure energy solutions, proposing NE as a viable option. The study aims to delve into the technical, social, economic, regulatory, and policy aspects of NE’s development and its broader applications beyond conventional power generation, such as industrial processes, medical applications, agricultural advancements, and mining activities, explicitly targeting less industrialized regions. Employing a systematic review of existing practices, the paper identifies and examines barriers to NE adoption alongside strategies to mitigate these issues. Findings suggest that NE can play a pivotal role in fostering economic growth and scientific progress, potentially sparking the emergence of new industries within these countries. However, significant obstacles—namely governance, public acceptance, safety, security, development of expertise, and securing financing—pose considerable challenges. The paper concludes that a strategic and well-coordinated deployment of NE is essential for driving socio-economic growth and environmental sustainability in less industrialized countries. It emphasizes the necessity for comprehensive planning and internati</w:t>
      </w:r>
    </w:p>
    <w:p>
      <w:pPr>
        <w:pStyle w:val="Heading2"/>
      </w:pPr>
      <w:r>
        <w:t>549.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2025:</w:t>
      </w:r>
      <w:r>
        <w:t xml:space="preserve"> Building an Ethical Framework for European Pharmacists in e-Pharmacies — https://doi.org/10.2196/64750</w:t>
      </w:r>
    </w:p>
    <w:p>
      <w:pPr/>
      <w:r>
        <w:rPr>
          <w:b/>
        </w:rPr>
        <w:t>Shared claim-specific concepts:</w:t>
      </w:r>
      <w:r>
        <w:t xml:space="preserve"> building, well, health, benefits; EU scope visible. This is a provisional connection, not an outcome finding.</w:t>
      </w:r>
    </w:p>
    <w:p>
      <w:pPr>
        <w:pStyle w:val="SourceNote"/>
      </w:pPr>
      <w:r>
        <w:rPr>
          <w:b/>
        </w:rPr>
        <w:t>Available abstract (not full text):</w:t>
      </w:r>
      <w:r>
        <w:t xml:space="preserve"> Patients using e-pharmacies benefit substantially from their privacy and accessibility; however, they must also be aware of the health and safety risks. These risks can be mitigated through the implementation of robust legal and ethical frameworks. European pharmacists working in e-pharmacies are obligated to respect the legal frameworks governing the remote sale of medicines, as well as the rules of professional ethics, while considering the unique benefits and challenges of establishing online therapeutic relationships with patients. This Viewpoint paper aims to propose a comprehensive ethical framework for European pharmacists in e-pharmacies that promotes consistency and ensures patient rights while fostering professional integrity and responsibility. To this end, the codes of ethics of pharmacists in the European Union (EU) member states were explored to determine the extent to which they address e-pharmacies and to begin from their provisions the building of a shared ethical framework, supported by previously published findings. The ethical guidance provided by professional associations and other competent authorities of European pharmacists varies significantly across member states. In most EU member states, pharmacists' codes of ethics do not contain rules addressing e-pharmacies. Only 8 EU member states have adopted rules guiding pharmacists' conduct in e-pharmacies, p</w:t>
      </w:r>
    </w:p>
    <w:p>
      <w:pPr>
        <w:pStyle w:val="Heading2"/>
      </w:pPr>
      <w:r>
        <w:t>550.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2024:</w:t>
      </w:r>
      <w:r>
        <w:t xml:space="preserve"> Becoming European: Mid- and Short-Term Development of a European Identity Among Adolescents — https://doi.org/10.1080/15283488.2024.2394874</w:t>
      </w:r>
    </w:p>
    <w:p>
      <w:pPr/>
      <w:r>
        <w:rPr>
          <w:b/>
        </w:rPr>
        <w:t>Shared claim-specific concepts:</w:t>
      </w:r>
      <w:r>
        <w:t xml:space="preserve"> understand, assessed; EU scope visible. This is a provisional connection, not an outcome finding.</w:t>
      </w:r>
    </w:p>
    <w:p>
      <w:pPr>
        <w:pStyle w:val="SourceNote"/>
      </w:pPr>
      <w:r>
        <w:rPr>
          <w:b/>
        </w:rPr>
        <w:t>Available abstract (not full text):</w:t>
      </w:r>
      <w:r>
        <w:t xml:space="preserve">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pPr/>
      <w:r>
        <w:rPr>
          <w:b/>
        </w:rPr>
        <w:t>POSSIBLE 2024:</w:t>
      </w:r>
      <w:r>
        <w:t xml:space="preserve"> MODELLING THE RELATIONSHIP BETWEEN RETAIL DEVELOPMENT AND ECONOMIC INDICATORS IN EUROPEAN COUNTRIES — https://doi.org/10.29038/2786-4618-2024-01-124-134</w:t>
      </w:r>
    </w:p>
    <w:p>
      <w:pPr/>
      <w:r>
        <w:rPr>
          <w:b/>
        </w:rPr>
        <w:t>Shared claim-specific concepts:</w:t>
      </w:r>
      <w:r>
        <w:t xml:space="preserve"> order, understand, about; EU scope visible. This is a provisional connection, not an outcome finding.</w:t>
      </w:r>
    </w:p>
    <w:p>
      <w:pPr>
        <w:pStyle w:val="SourceNote"/>
      </w:pPr>
      <w:r>
        <w:rPr>
          <w:b/>
        </w:rPr>
        <w:t>Available abstract (not full text):</w:t>
      </w:r>
      <w:r>
        <w:t xml:space="preserve">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pPr/>
      <w:r>
        <w:rPr>
          <w:b/>
        </w:rPr>
        <w:t>POSSIBLE 2024:</w:t>
      </w:r>
      <w:r>
        <w:t xml:space="preserve"> Exploring how Europeans understand solidarity in the EU — https://doi.org/10.4324/9781032690902-3</w:t>
      </w:r>
    </w:p>
    <w:p>
      <w:pPr/>
      <w:r>
        <w:rPr>
          <w:b/>
        </w:rPr>
        <w:t>Shared claim-specific concepts:</w:t>
      </w:r>
      <w:r>
        <w:t xml:space="preserve"> understand, about, approach;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The Green Economy in the Context of Sustainable Development. Study Case: European Union — https://doi.org/10.2478/picbe-2024-0243</w:t>
      </w:r>
    </w:p>
    <w:p>
      <w:pPr/>
      <w:r>
        <w:rPr>
          <w:b/>
        </w:rPr>
        <w:t>Shared claim-specific concepts:</w:t>
      </w:r>
      <w:r>
        <w:t xml:space="preserve"> order, understand, transition, main, obtained, transformation; EU scope visible. This is a provisional connection, not an outcome finding.</w:t>
      </w:r>
    </w:p>
    <w:p>
      <w:pPr>
        <w:pStyle w:val="SourceNote"/>
      </w:pPr>
      <w:r>
        <w:rPr>
          <w:b/>
        </w:rPr>
        <w:t>Available abstract (not full text):</w:t>
      </w:r>
      <w:r>
        <w:t xml:space="preserve">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pPr>
        <w:pStyle w:val="Heading2"/>
      </w:pPr>
      <w:r>
        <w:t>551.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r>
        <w:rPr>
          <w:b/>
        </w:rPr>
        <w:t>POSSIBLE 2025:</w:t>
      </w:r>
      <w:r>
        <w:t xml:space="preserve"> The Early Years of Ireland in the European Economic Community — https://doi.org/10.4324/9781003184188</w:t>
      </w:r>
    </w:p>
    <w:p>
      <w:pPr/>
      <w:r>
        <w:rPr>
          <w:b/>
        </w:rPr>
        <w:t>Shared claim-specific concepts:</w:t>
      </w:r>
      <w:r>
        <w:t xml:space="preserve"> same, time, community; EU scope visible. This is a provisional connection, not an outcome finding.</w:t>
      </w:r>
    </w:p>
    <w:p>
      <w:pPr>
        <w:pStyle w:val="SourceNote"/>
      </w:pPr>
      <w:r>
        <w:rPr>
          <w:b/>
        </w:rPr>
        <w:t>Available abstract (not full text):</w:t>
      </w:r>
      <w:r>
        <w:t xml:space="preserve"> Ireland’s accession to the European Economic Community (EEC) in 1973 provided great opportunities, as well as significant challenges to its relatively small civil service. This book traces Ireland’s internal adaptation to managing membership. The long wait for accession to the EEC had instigated administrative and management patterns during negotiations which were difficult for Ireland to untangle and alter afterwards. There was friction between departments on how to approach relations with the EEC in some policy areas after membership. At times, this effectively slowed and even hampered Ireland’s adaptation to membership. At the same time, the EEC provided an important new frame of reference for Irish society. Discussions on social progress drew from that wider context and challenged Ireland in new ways. This volume explores this development through an analysis of empirical files from the National Archives of Ireland and the Historical Archives of the European Union, newspapers, and secondary sources. This book is intended for scholars and students of Irish history, European Studies, political science, diplomatic studies, and administrative history.</w:t>
      </w:r>
    </w:p>
    <w:p>
      <w:pPr/>
      <w:r>
        <w:rPr>
          <w:b/>
        </w:rPr>
        <w:t>POSSIBLE 2025:</w:t>
      </w:r>
      <w:r>
        <w:t xml:space="preserve"> Cultural Aspects and Sustainability in Gastronomic Places: Analysis in Tourist Cities in Brazil and Europe — https://doi.org/10.55892/jrg.v8i18.1933</w:t>
      </w:r>
    </w:p>
    <w:p>
      <w:pPr/>
      <w:r>
        <w:rPr>
          <w:b/>
        </w:rPr>
        <w:t>Shared claim-specific concepts:</w:t>
      </w:r>
      <w:r>
        <w:t xml:space="preserve"> same, time, use, techniques, practices, considering; EU scope visible. This is a provisional connection, not an outcome finding.</w:t>
      </w:r>
    </w:p>
    <w:p>
      <w:pPr>
        <w:pStyle w:val="SourceNote"/>
      </w:pPr>
      <w:r>
        <w:rPr>
          <w:b/>
        </w:rPr>
        <w:t>Available abstract (not full text):</w:t>
      </w:r>
      <w:r>
        <w:t xml:space="preserve"> Introduction: Gastronomic tourism has emerged as an important aspect of cultural tourism, offering authentic experiences that reflect the identity and traditions of a region. In tourist cities, both in Brazil and in Europe, gastronomy plays a crucial role in promoting cultural aspects and implementing sustainable practices. The intersection between culture, sustainability and gastronomy is a field of study that deserves attention, as these dynamics can influence both cultural preservation and sustainable economic development in these regions. Objective: This study aims to analyze the relationship between cultural aspects and sustainability practices in gastronomic venues located in tourist cities in Brazil and Europe. The research seeks to identify how local gastronomy can serve as a vehicle for promoting culture and at the same time fostering sustainable practices, contributing to responsible tourism and the preservation of local resources. Method: To achieve this objective, a scoping review was conducted, which included the analysis of scientific articles, reports from international organizations and case studies published in the last ten years. The scoping review allows mapping the available evidence on the relationship between culture, sustainability and gastronomy in tourism contexts, offering a comprehensive view of the practices and strategies adopted in different region</w:t>
      </w:r>
    </w:p>
    <w:p>
      <w:pPr>
        <w:pStyle w:val="Heading2"/>
      </w:pPr>
      <w:r>
        <w:t>552.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r>
        <w:rPr>
          <w:b/>
        </w:rPr>
        <w:t>POSSIBLE 2025:</w:t>
      </w:r>
      <w:r>
        <w:t xml:space="preserve"> The Long-Run and Intergenerational Effects of Conditional Cash Transfers: Evidence from Chile’s Indigenous Grants — https://doi.org/10.3386/w33798</w:t>
      </w:r>
    </w:p>
    <w:p>
      <w:pPr/>
      <w:r>
        <w:rPr>
          <w:b/>
        </w:rPr>
        <w:t>Shared claim-specific concepts:</w:t>
      </w:r>
      <w:r>
        <w:t xml:space="preserve"> conditional, labor; EU scope not established. This is a provisional connection, not an outcome finding.</w:t>
      </w:r>
    </w:p>
    <w:p>
      <w:pPr>
        <w:pStyle w:val="SourceNote"/>
      </w:pPr>
      <w:r>
        <w:rPr>
          <w:b/>
        </w:rPr>
        <w:t>Available abstract (not full text):</w:t>
      </w:r>
      <w:r>
        <w:t xml:space="preserve"> Since 1991, Chile has provided large, renewable cash grants to indigenous children in lowerincome households, conditional on school enrollment.We estimate intent-to-treat effects of grant exposure on indigenous adults and their children, leveraging variation in expected grant exposure across birth cohorts and never-treated adults, and using fixed effects to absorb unobserved variables shared by adults born in the same year and community.Cohorts with the greatest exposure had 0.6 more years of schooling, 10% more hours worked, and 22% higher labor earnings, reducing pre-treatment ethnic differences.Mothers' exposure increased their children's early-grade test scores and reduced second-generation grant receipt.</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Estimating Conditional Average Treatment Effects via Sufficient Representation Learning — https://doi.org/10.24963/ijcai.2024/541</w:t>
      </w:r>
    </w:p>
    <w:p>
      <w:pPr/>
      <w:r>
        <w:rPr>
          <w:b/>
        </w:rPr>
        <w:t>Shared claim-specific concepts:</w:t>
      </w:r>
      <w:r>
        <w:t xml:space="preserve"> conditional, estimation, not; EU scope not established. This is a provisional connection, not an outcome finding.</w:t>
      </w:r>
    </w:p>
    <w:p>
      <w:pPr>
        <w:pStyle w:val="SourceNote"/>
      </w:pPr>
      <w:r>
        <w:rPr>
          <w:b/>
        </w:rPr>
        <w:t>Available abstract (not full text):</w:t>
      </w:r>
      <w:r>
        <w:t xml:space="preserve"> Estimating the conditional average treatment effects (CATE) is very important in causal inference and has a wide range of applications across many fields. In the estimation process of CATE, the unconfoundedness assumption is typically required to ensure the identifiability of the regression problems. When estimating CATE using high-dimensional data, there have been many variable selection methods and neural network approaches based on representation learning, while these methods do not provide a way to verify whether the subset of variables after dimensionality reduction or the learned representations still satisfy the unconfoundedness assumption during the estimation process, which can lead to ineffective estimates of the treatment effects. Additionally, these methods typically use data from only the treatment or control group when estimating the regression functions for each group. This paper proposes a novel neural network approach named CrossNet to learn a sufficient representation for the features, based on which we then estimate the CATE, where cross indicates that in estimating the regression functions, we used data from their own group as well as cross-utilized data from another group. Numerical simulations and empirical results demonstrate that our method outperforms the competitive approaches.</w:t>
      </w:r>
    </w:p>
    <w:p>
      <w:pPr/>
      <w:r>
        <w:rPr>
          <w:b/>
        </w:rPr>
        <w:t>POSSIBLE 2024:</w:t>
      </w:r>
      <w:r>
        <w:t xml:space="preserve"> Manager sentiment and conditional conservatism — https://doi.org/10.1111/jbfa.12780</w:t>
      </w:r>
    </w:p>
    <w:p>
      <w:pPr/>
      <w:r>
        <w:rPr>
          <w:b/>
        </w:rPr>
        <w:t>Shared claim-specific concepts:</w:t>
      </w:r>
      <w:r>
        <w:t xml:space="preserve"> conditional, not, affect; EU scope not established. This is a provisional connection, not an outcome finding.</w:t>
      </w:r>
    </w:p>
    <w:p>
      <w:pPr>
        <w:pStyle w:val="SourceNote"/>
      </w:pPr>
      <w:r>
        <w:rPr>
          <w:b/>
        </w:rPr>
        <w:t>Available abstract (not full text):</w:t>
      </w:r>
      <w:r>
        <w:t xml:space="preserve"> Abstract This study examines the effect of manager sentiment on conditional conservatism. Manager sentiment refers to widely held beliefs of financial managers about their firms’ future economic prospects that are not justified by available economic fundamentals. Manager sentiment is likely to affect conditional conservative reporting because the decision to recognize unrealized economic losses in a timely manner flows from financial managers’ beliefs about their firms’ future cash flow prospects. We predict and find that manager sentiment is negatively associated with conditional conservatism, indicating that firms report less conservatively during periods of high manager sentiment (over‐optimism) and more conservatively during periods of low manager sentiment (over‐pessimism). Moreover, the effects of manager sentiment on conditional conservatism remain strongly negative after controlling for manager overconfidence. We further find that asset write‐offs are lower during high sentiment periods but higher in subsequent periods. Importantly, the manager sentiment effect on conservatism is incremental, and the opposite in sign, to the effect of investor sentiment, which has not been demonstrated in prior literature.</w:t>
      </w:r>
    </w:p>
    <w:p>
      <w:pPr/>
      <w:r>
        <w:rPr>
          <w:b/>
        </w:rPr>
        <w:t>POSSIBLE 2024:</w:t>
      </w:r>
      <w:r>
        <w:t xml:space="preserve"> Dissecting the Decline in Average Hours Worked in Europe — https://doi.org/10.5089/9798400261183.001</w:t>
      </w:r>
    </w:p>
    <w:p>
      <w:pPr/>
      <w:r>
        <w:rPr>
          <w:b/>
        </w:rPr>
        <w:t>Shared claim-specific concepts:</w:t>
      </w:r>
      <w:r>
        <w:t xml:space="preserve"> employment, not, labor;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Conditional Density Estimation with Histogram Trees — https://doi.org/10.52202/079017-3724</w:t>
      </w:r>
    </w:p>
    <w:p>
      <w:pPr/>
      <w:r>
        <w:rPr>
          <w:b/>
        </w:rPr>
        <w:t>Shared claim-specific concepts:</w:t>
      </w:r>
      <w:r>
        <w:t xml:space="preserve"> next, conditional, estimation; EU scope not established. This is a provisional connection, not an outcome finding.</w:t>
      </w:r>
    </w:p>
    <w:p>
      <w:pPr>
        <w:pStyle w:val="SourceNote"/>
      </w:pPr>
      <w:r>
        <w:rPr>
          <w:b/>
        </w:rPr>
        <w:t>Available abstract (not full text):</w:t>
      </w:r>
      <w:r>
        <w:t xml:space="preserve"> Conditional density estimation (CDE) goes beyond regression by modeling the full conditional distribution, providing a richer understanding of the data than just the conditional mean in regression. This makes CDE particularly useful in critical application domains. However, interpretable CDE methods are understudied. Current methods typically employ kernel-based approaches, using kernel functions directly for kernel density estimation or as basis functions in linear models. In contrast, despite their conceptual simplicity and visualization suitability, tree-based methods -- which are arguably more comprehensible -- have been largely overlooked for CDE tasks. Thus, we propose the Conditional Density Tree (CDTree), a fully non-parametric model consisting of a decision tree in which each leaf is formed by a histogram model. Specifically, we formalize the problem of learning a CDTree using the minimum description length (MDL) principle, which eliminates the need for tuning the hyperparameter for regularization. Next, we propose an iterative algorithm that, although greedily, searches the optimal histogram for every possible node split. Our experiments demonstrate that, in comparison to existing interpretable CDE methods, CDTrees are both more accurate (as measured by the log-loss) and more robust against irrelevant features. Further, our approach leads to smaller tree sizes than ex</w:t>
      </w:r>
    </w:p>
    <w:p>
      <w:pPr>
        <w:pStyle w:val="Heading2"/>
      </w:pPr>
      <w:r>
        <w:t>553.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r>
        <w:rPr>
          <w:b/>
        </w:rPr>
        <w:t>POSSIBLE 2025:</w:t>
      </w:r>
      <w:r>
        <w:t xml:space="preserve"> Challenges, motivations, and perspectives of practitioners on forest restoration across seven European countries — https://doi.org/10.1111/rec.70160</w:t>
      </w:r>
    </w:p>
    <w:p>
      <w:pPr/>
      <w:r>
        <w:rPr>
          <w:b/>
        </w:rPr>
        <w:t>Shared claim-specific concepts:</w:t>
      </w:r>
      <w:r>
        <w:t xml:space="preserve"> presents, challenges, climate; EU scope visible. This is a provisional connection, not an outcome finding.</w:t>
      </w:r>
    </w:p>
    <w:p>
      <w:pPr>
        <w:pStyle w:val="SourceNote"/>
      </w:pPr>
      <w:r>
        <w:rPr>
          <w:b/>
        </w:rPr>
        <w:t>Available abstract (not full text):</w:t>
      </w:r>
      <w:r>
        <w:t xml:space="preserve"> Forest restoration is crucial in addressing nature degradation, enhancing climate adaptation and mitigation, supporting ecosystem services, and reducing disaster risk. Understanding practitioners' perspectives is essential for identifying barriers to successful restoration and improving the effectiveness of future initiatives. This study employs a mixed‐methods approach, integrating qualitative data from seven practitioner workshops and quantitative data from an online survey conducted across seven European countries (Austria, Bulgaria, Germany, Hungary, Ireland, Poland, and Serbia). The survey included 110 respondents, while 203 practitioners participated in workshops. Their primary motivations for engaging in restoration included a desire for ecosystem stability and nature preservation, followed by knowledge acquisition, responsibility for environmental stewardship, and climate change mitigation. Despite these challenges, practitioners highlighted advances in monitoring technologies, the diversification of project objectives, and increased public engagement as positive developments. The study concludes that a collaborative approach—enhancing the involvement of practitioners in policymaking—is critical for future restoration success. Additionally, growing public interest in ecological restoration presents an opportunity for alternative funding sources, which could address fina</w:t>
      </w:r>
    </w:p>
    <w:p>
      <w:pPr>
        <w:pStyle w:val="Heading2"/>
      </w:pPr>
      <w:r>
        <w:t>554.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r>
        <w:rPr>
          <w:b/>
        </w:rPr>
        <w:t>POSSIBLE 2025:</w:t>
      </w:r>
      <w:r>
        <w:t xml:space="preserve"> An Assessment of the United States and European Union sanctions on Russia — https://doi.org/10.26881/jpgs.2025.1.02</w:t>
      </w:r>
    </w:p>
    <w:p>
      <w:pPr/>
      <w:r>
        <w:rPr>
          <w:b/>
        </w:rPr>
        <w:t>Shared claim-specific concepts:</w:t>
      </w:r>
      <w:r>
        <w:t xml:space="preserve"> united, nations, not; EU scope visible. This is a provisional connection, not an outcome finding.</w:t>
      </w:r>
    </w:p>
    <w:p>
      <w:pPr>
        <w:pStyle w:val="SourceNote"/>
      </w:pPr>
      <w:r>
        <w:rPr>
          <w:b/>
        </w:rPr>
        <w:t>Available abstract (not full text):</w:t>
      </w:r>
      <w:r>
        <w:t xml:space="preserve"> Three research questions are of great concern to this study. How can sanctions be made effective with respect to the United States and the European Union sanctions on Russia? What are the factors responsible for the noncompliance of some countries with the United States and the European Union sanctions on Russia? To what extent have the United States and the European Union sanctions modified the behaviour of Russia in the ongoing war in Ukraine? This study argues that the United States and the European Union sanctions can be made effective through collective enforcement by the UN member states. Besides, some western and non-western nations have failed to enforce the US-EU sanctions on Russian economy because of the economic benefits derived from Russian gas and the criticisms among western nations that sanctions violates human rights especially of vulnerable citizens. Again, the study further argues that sanctions have weakened the Russian economy but have not deterred Russian aggression. Lastly, the United Nations in collaboration with regional and sub-regional organisations should revisit the use of sanctions as a tool for foreign policy, bearing in mind the wellbeing of vulnerable groups such as children, women and people living with disabilities in Russia who are victims of these circumstances.</w:t>
      </w:r>
    </w:p>
    <w:p>
      <w:pPr>
        <w:pStyle w:val="Heading2"/>
      </w:pPr>
      <w:r>
        <w:t>555.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r>
        <w:rPr>
          <w:b/>
        </w:rPr>
        <w:t>POSSIBLE 2025:</w:t>
      </w:r>
      <w:r>
        <w:t xml:space="preserve"> Leveraging peri-urban forests to reduce temperature and air pollution-related urban mortality in European cities — https://doi.org/10.1038/s43247-025-03079-2</w:t>
      </w:r>
    </w:p>
    <w:p>
      <w:pPr/>
      <w:r>
        <w:rPr>
          <w:b/>
        </w:rPr>
        <w:t>Shared claim-specific concepts:</w:t>
      </w:r>
      <w:r>
        <w:t xml:space="preserve"> pollution, cities, population, different, strategies; EU scope visible. This is a provisional connection, not an outcome finding.</w:t>
      </w:r>
    </w:p>
    <w:p>
      <w:pPr>
        <w:pStyle w:val="SourceNote"/>
      </w:pPr>
      <w:r>
        <w:rPr>
          <w:b/>
        </w:rPr>
        <w:t>Available abstract (not full text):</w:t>
      </w:r>
      <w:r>
        <w:t xml:space="preserve"> Extreme temperatures and poor air quality contribute to premature mortality, increased hospital admissions and higher healthcare costs. As the majority of the world’s population lives in cities, understanding how urban vegetation mitigates temperature and pollution hazards is essential for designing strategies to enhance urban resilience and reduce mortality. However, estimating the health benefits of urban greening is challenging due to the non-linear physical, chemical, and biological processes involved. Here we use a coupled climate-chemistry model to assess the impact of different peri-urban tree planting scenarios on temperature- and pollution-related mortality and their associated costs over three Euro-Mediterranean cities. We find that peri-urban greening primarily allows to reduce mortality from non-optimal temperatures and, to a lesser extent, air pollution, with effectiveness depending on the selected trees species and local meteorological and chemical conditions. This study provides methodological insights to guide urban planners in leveraging nature-based solutions effectively while avoiding adverse health effects from poor tree selection. Across European cities, peri-urban green areas can reduce mortality from non-optimal temperatures and, to a lesser extent, air pollution, with effectiveness depending on tree species and meteorological conditions, according to a c</w:t>
      </w:r>
    </w:p>
    <w:p>
      <w:pPr/>
      <w:r>
        <w:rPr>
          <w:b/>
        </w:rPr>
        <w:t>POSSIBLE 2025:</w:t>
      </w:r>
      <w:r>
        <w:t xml:space="preserve"> High-resolution modelling of particulate matter chemical composition over Europe: brake wear pollution — https://doi.org/10.1016/j.envint.2025.109615</w:t>
      </w:r>
    </w:p>
    <w:p>
      <w:pPr/>
      <w:r>
        <w:rPr>
          <w:b/>
        </w:rPr>
        <w:t>Shared claim-specific concepts:</w:t>
      </w:r>
      <w:r>
        <w:t xml:space="preserve"> pollution, cities, increase, population, regulations; EU scope visible. This is a provisional connection, not an outcome finding.</w:t>
      </w:r>
    </w:p>
    <w:p>
      <w:pPr>
        <w:pStyle w:val="SourceNote"/>
      </w:pPr>
      <w:r>
        <w:rPr>
          <w:b/>
        </w:rPr>
        <w:t>Available abstract (not full text):</w:t>
      </w:r>
      <w:r>
        <w:t xml:space="preserve"> In today’s rapidly evolving society, the sources of atmospheric particulate matter (PM) emissions are shifting significantly. Stringent regulations on vehicle tailpipe emissions, in combination with a lack of control of non-exhaust vehicular emissions, have led to an increase in the relative contribution of non-exhaust PM in Europe. This study analyzes the spatial distribution, temporal trends, and impacts of brake wear PM pollution across Europe by modeling copper (Cu) concentrations at a high spatial resolution of ∼250 m which is a key tracer of brake-wear emissions. We integrated coarse-resolution brake-wear Cu from CAMx chemical transport model and high-resolution land use data into a random forest model to predict Cu concentrations at 250 m over whole of continental Europe. The random forest model was trained using an unprecedented dataset of over 50,000 daily Cu measurements from 152 sites. It corrected CAMx underestimation and downscaled Cu to a higher spatial resolution. In validation, the model showed robust spatial and temporal prediction with good Pearson’s correlation coefficients of 0.6 and 0.7, respectively. We generated 10 years (2010–2019) of daily Cu concentrations over Europe, revealing spatial patterns aligned with urbanization and road networks, with peaks in cities and lower values in rural areas. Temporal trends reveal that Cu concentrations generally peak</w:t>
      </w:r>
    </w:p>
    <w:p>
      <w:pPr>
        <w:pStyle w:val="Heading2"/>
      </w:pPr>
      <w:r>
        <w:t>556.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r>
        <w:rPr>
          <w:b/>
        </w:rPr>
        <w:t>POSSIBLE 2025:</w:t>
      </w:r>
      <w:r>
        <w:t xml:space="preserve"> Efficiency and Failure in the European Union — https://doi.org/10.1017/9781009646659.012</w:t>
      </w:r>
    </w:p>
    <w:p>
      <w:pPr/>
      <w:r>
        <w:rPr>
          <w:b/>
        </w:rPr>
        <w:t>Shared claim-specific concepts:</w:t>
      </w:r>
      <w:r>
        <w:t xml:space="preserve"> union, role, early, promoting; EU scope visible. This is a provisional connection, not an outcome finding.</w:t>
      </w:r>
    </w:p>
    <w:p>
      <w:pPr>
        <w:pStyle w:val="SourceNote"/>
      </w:pPr>
      <w:r>
        <w:rPr>
          <w:b/>
        </w:rPr>
        <w:t>Available abstract (not full text):</w:t>
      </w:r>
      <w:r>
        <w:t xml:space="preserve"> This chapter shifts the focus to the European Union, where effectiveness-driven arguments, including some based on failure, have been pivotal in promoting regional integration. The chapter discusses both early landmark decisions of the European Court of Justice and the role of political failure arguments in driving the Court’s expansive approach and the concept of systemic deficits in European Union law, as well as the Solange jurisprudence of the German Constitutional Court. It positions these doctrines within the functionalist interpretive framework of European Union Law. While not all of these examples strictly involve failure-based reasoning, they illustrate both the opportunities and risks of the functionalist approach to legal interpretation long dominant in EU law.</w:t>
      </w:r>
    </w:p>
    <w:p>
      <w:pPr/>
      <w:r>
        <w:rPr>
          <w:b/>
        </w:rPr>
        <w:t>POSSIBLE 2025:</w:t>
      </w:r>
      <w:r>
        <w:t xml:space="preserve"> The European Union in an illiberal world — https://openalex.org/W7134097304</w:t>
      </w:r>
    </w:p>
    <w:p>
      <w:pPr/>
      <w:r>
        <w:rPr>
          <w:b/>
        </w:rPr>
        <w:t>Shared claim-specific concepts:</w:t>
      </w:r>
      <w:r>
        <w:t xml:space="preserve"> union, international, climate;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pStyle w:val="Heading2"/>
      </w:pPr>
      <w:r>
        <w:t>557.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r>
        <w:rPr>
          <w:b/>
        </w:rPr>
        <w:t>POSSIBLE 2024:</w:t>
      </w:r>
      <w:r>
        <w:t xml:space="preserve"> Migration Crisis in the European Union: Origins, Consequences... and Directions of Change in Asylum Law — https://doi.org/10.4467/24497800rap.24.013.20231</w:t>
      </w:r>
    </w:p>
    <w:p>
      <w:pPr/>
      <w:r>
        <w:rPr>
          <w:b/>
        </w:rPr>
        <w:t>Shared claim-specific concepts:</w:t>
      </w:r>
      <w:r>
        <w:t xml:space="preserve"> directions, within, pressing; EU scope visible. This is a provisional connection, not an outcome finding.</w:t>
      </w:r>
    </w:p>
    <w:p>
      <w:pPr>
        <w:pStyle w:val="SourceNote"/>
      </w:pPr>
      <w:r>
        <w:rPr>
          <w:b/>
        </w:rPr>
        <w:t>Available abstract (not full text):</w:t>
      </w:r>
      <w:r>
        <w:t xml:space="preserve"> The European Union (EU) has faced a significant migration crisis over the past decade, driven by conflicts, economic disparities, and environmental changes. This paper examines the origins of the migration crisis, its consequences for the EU, and the subsequent changes in asylum law. By analyzing policy responses and their effectiveness, the paper aims to provide insights into the future directions of asylum law in the EU. The migration crisis in the European Union has been one of the most pressing challenges of the 21st century. This crisis, which peaked in 2015, has seen millions of people seeking refuge in Europe due to wars, persecution, and poverty in their home countries. The influx has strained the EU’s asylum systems, exposed weaknesses in its migration policies, and sparked political and social tensions across member states. This paper aims to analyze the origins of this crisis, its multifaceted consequences and the evolving legal framework for asylum within the EU.</w:t>
      </w:r>
    </w:p>
    <w:p>
      <w:pPr/>
      <w:r>
        <w:rPr>
          <w:b/>
        </w:rPr>
        <w:t>POSSIBLE 2024:</w:t>
      </w:r>
      <w:r>
        <w:t xml:space="preserve"> Lessons from Open Science across European Universities: policies, practices, and future directions — https://doi.org/10.2218/eor.2024.9642</w:t>
      </w:r>
    </w:p>
    <w:p>
      <w:pPr/>
      <w:r>
        <w:rPr>
          <w:b/>
        </w:rPr>
        <w:t>Shared claim-specific concepts:</w:t>
      </w:r>
      <w:r>
        <w:t xml:space="preserve"> directions, within, common, solutions; EU scope visible. This is a provisional connection, not an outcome finding.</w:t>
      </w:r>
    </w:p>
    <w:p>
      <w:pPr>
        <w:pStyle w:val="SourceNote"/>
      </w:pPr>
      <w:r>
        <w:rPr>
          <w:b/>
        </w:rPr>
        <w:t>Available abstract (not full text):</w:t>
      </w:r>
      <w:r>
        <w:t xml:space="preserve"> Open Science, which encompasses all scholarly disciplines, is increasingly recognised as a core feature of academic practice: it has the potential to improve the accessibility and integrity of academic outputs, as well as the culture within which academics work to pursue these. However, this recognition is neither equal nor universal across institutions and countries: open science policies, support, practices, and recognition are more advanced in some regions than others, which poses both challenges and opportunities. A challenge is to demonstrate the many benefits to those institutions and regions that are not yet recognising and embracing the potential of open science. An opportunity is to learn from the different structures and approaches that are being taken so that we can identify common challenges, best-practice solutions, and future opportunities. This talk focused on open science policies and practices among members of LERU (the League of European Research Universities) and their host nations. While Europe is at the vanguard of open science, there are many differences in the approaches taken among European universities and countries. Considering these differences will help to identify ways in which we can best realise the potential of open science.</w:t>
      </w:r>
    </w:p>
    <w:p>
      <w:pPr>
        <w:pStyle w:val="Heading2"/>
      </w:pPr>
      <w:r>
        <w:t>558.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pStyle w:val="Heading2"/>
      </w:pPr>
      <w:r>
        <w:t>559.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r>
        <w:rPr>
          <w:b/>
        </w:rPr>
        <w:t>POSSIBLE 2025:</w:t>
      </w:r>
      <w:r>
        <w:t xml:space="preserve"> On Heuristic Models, Assumptions, and Parameters — https://doi.org/10.1145/3735562</w:t>
      </w:r>
    </w:p>
    <w:p>
      <w:pPr/>
      <w:r>
        <w:rPr>
          <w:b/>
        </w:rPr>
        <w:t>Shared claim-specific concepts:</w:t>
      </w:r>
      <w:r>
        <w:t xml:space="preserve"> assumptions, society, process; EU scope not established. This is a provisional connection, not an outcome finding.</w:t>
      </w:r>
    </w:p>
    <w:p>
      <w:pPr>
        <w:pStyle w:val="SourceNote"/>
      </w:pPr>
      <w:r>
        <w:rPr>
          <w:b/>
        </w:rPr>
        <w:t>Available abstract (not full text):</w:t>
      </w:r>
      <w:r>
        <w:t xml:space="preserve">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pPr>
        <w:pStyle w:val="Heading2"/>
      </w:pPr>
      <w:r>
        <w:t>560.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r>
        <w:rPr>
          <w:b/>
        </w:rPr>
        <w:t>POSSIBLE 2025:</w:t>
      </w:r>
      <w:r>
        <w:t xml:space="preserve"> RESOLVING SEASONAL DYNAMICS OF AEROSOL SOURCES IN A FINE PARTICULATE MATTER FRACTION AT A CENTRAL EUROPEAN RURAL BACKGROUND STATION — https://openalex.org/W7135963886</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Fine particulate matter (PM) has been a key domain of investigation in atmospheric research due to its complex chemical composition, transport potential, and ability to penetrate environmental and biological systems, thereby influencing ecosystem stability and human health. Varying size fractions within fine particles are of particular concern as their physicochemical properties, sources, and atmospheric transformation processes vary considerably with particle size and meteorological conditions. Seasonal variability further modulates their composition through changes in emission patterns, boundary layer dynamics, and secondary formation pathways. In this study, we investigate elemental concentrations in the fine aerosol sub-fraction (1.15-0.35 μm) sampled at a Central European rural background site across summer and winter, followed by source apportionment analysis.</w:t>
      </w:r>
    </w:p>
    <w:p>
      <w:pPr/>
      <w:r>
        <w:rPr>
          <w:b/>
        </w:rPr>
        <w:t>POSSIBLE 2024:</w:t>
      </w:r>
      <w:r>
        <w:t xml:space="preserve"> Cooling efficacy of trees across cities is determined by background climate, urban morphology, and tree trait — https://doi.org/10.1038/s43247-024-01908-4</w:t>
      </w:r>
    </w:p>
    <w:p>
      <w:pPr/>
      <w:r>
        <w:rPr>
          <w:b/>
        </w:rPr>
        <w:t>Shared claim-specific concepts:</w:t>
      </w:r>
      <w:r>
        <w:t xml:space="preserve"> background, climate, heat, climates; EU scope not established. This is a provisional connection, not an outcome finding.</w:t>
      </w:r>
    </w:p>
    <w:p>
      <w:pPr>
        <w:pStyle w:val="SourceNote"/>
      </w:pPr>
      <w:r>
        <w:rPr>
          <w:b/>
        </w:rPr>
        <w:t>Available abstract (not full text):</w:t>
      </w:r>
      <w:r>
        <w:t xml:space="preserve">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pPr>
        <w:pStyle w:val="Heading2"/>
      </w:pPr>
      <w:r>
        <w:t>561.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2025:</w:t>
      </w:r>
      <w:r>
        <w:t xml:space="preserve"> Research Trend Analysis in the Field of Self-Driving Labs Using Network Analysis and Topic Modeling — https://doi.org/10.3390/systems13040253</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system that automates experimental design, data collection, and analysis using robotics and artificial intelligence (AI) technologies. Its significance has grown substantially in recent years. This study analyzes the overall SDL research trends, examines changes in specific topics, visualizes the relational structure between authors to identify key contributors, and extracts major themes from extensive texts to highlight essential research content. To achieve these objectives, trend analysis, network analysis, and topic modeling were conducted on 352 research papers collected from the Web of Science between 2004 and 2023. To ensure the validity of the topic modeling results, a topic correlation matrix was also performed. The results revealed three key findings. First, SDL research has surged since 2019, driven by advancements in AI technologies, reflecting heightened activity in this field. Second, modern scientific research is advancing with a focus on data-driven approaches, artificial intelligence applications, and experimental optimization through the utilization of SDLs. Third, SDL research exhibits interdisciplinary convergence, encompassing material optimization, biological processes, and AI predictive algorithms. This study underscores the growing importance of SDLs as a research tool across diverse academic disciplines and provides practical in</w:t>
      </w:r>
    </w:p>
    <w:p>
      <w:pPr/>
      <w:r>
        <w:rPr>
          <w:b/>
        </w:rPr>
        <w:t>POSSIBLE 2025:</w:t>
      </w:r>
      <w:r>
        <w:t xml:space="preserve"> A Comparative Trends of Watershed Health and Its Driving Forces — https://doi.org/10.3390/w18010095</w:t>
      </w:r>
    </w:p>
    <w:p>
      <w:pPr/>
      <w:r>
        <w:rPr>
          <w:b/>
        </w:rPr>
        <w:t>Shared claim-specific concepts:</w:t>
      </w:r>
      <w:r>
        <w:t xml:space="preserve"> identify, challenges, trends, driving, forces, water; EU scope not established. This is a provisional connection, not an outcome finding.</w:t>
      </w:r>
    </w:p>
    <w:p>
      <w:pPr>
        <w:pStyle w:val="SourceNote"/>
      </w:pPr>
      <w:r>
        <w:rPr>
          <w:b/>
        </w:rPr>
        <w:t>Available abstract (not full text):</w:t>
      </w:r>
      <w:r>
        <w:t xml:space="preserve"> In recent decades, rapid socioeconomic development and population growth have led to the degradation of river and lake health worldwide, posing severe challenges to watershed ecological management. The growing intensity of land-use has significantly contributed to the accelerated deterioration of aquatic ecosystems. River and lake health assessment has evolved from single-parameter metrics (e.g., water quality) to multidimensional frameworks integrating hydrological, biological, and anthropogenic factors. This research conducted a bibliometric analysis of 1302 publications from 1996 to 2023 in the Web of Science database to identify research trends and hotspots. Results showed that publications exhibited a three-phase growth incubation (1996–2000), expansion (2001–2012), and acceleration (2013–2023), with the U.S., China, and Australia as leading contributors characterized by regionally clustered international collaborations. Research themes have shifted from single water quality parameters to integrated assessments. “Land-use”, “water quality”, and “biotic integrity” have emerged as core hotspots, forming a synergistic assessment framework that combines physicochemical, biological, and socioeconomic factors. The research scale underwent a spatial refinement process from the whole watershed to the buffer zone of rivers and lakes, and land-use effects on aquatic ecosystems vary </w:t>
      </w:r>
    </w:p>
    <w:p>
      <w:pPr>
        <w:pStyle w:val="Heading2"/>
      </w:pPr>
      <w:r>
        <w:t>562.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2025:</w:t>
      </w:r>
      <w:r>
        <w:t xml:space="preserve"> Index assessment of the level of development of e-government in Ukraine in relation to world trends — https://doi.org/10.33108/galicianvisnyk_tntu2025.03.167</w:t>
      </w:r>
    </w:p>
    <w:p>
      <w:pPr/>
      <w:r>
        <w:rPr>
          <w:b/>
        </w:rPr>
        <w:t>Shared claim-specific concepts:</w:t>
      </w:r>
      <w:r>
        <w:t xml:space="preserve"> long-term, current, increasingly; EU scope visible. This is a provisional connection, not an outcome finding.</w:t>
      </w:r>
    </w:p>
    <w:p>
      <w:pPr>
        <w:pStyle w:val="SourceNote"/>
      </w:pPr>
      <w:r>
        <w:rPr>
          <w:b/>
        </w:rPr>
        <w:t>Available abstract (not full text):</w:t>
      </w:r>
      <w:r>
        <w:t xml:space="preserve"> Over the past few decades, the public administration sector around the world has been radically changing towards the formation of digital or electronic government. This has served as an important political priority for the effective provision of public services. Currently, the concept of digital government is no longer new, but with the rapid development of information and communication technologies, it is becoming increasingly complex, as the boundaries between physical and digital government are increasingly blurred, and the connections between different sectors are becoming more complex and interconnected. In fact, in the hybrid digital era, an integrated ecosystem of digital government is being formed, that is, a transition from traditional isolated models to more flexible and adaptive network systems that are better able to cope with the current complex needs of society [1]. Periodic large-scale UN reviews of e-government development in the world based on the EGDI Index serve as a solid basis for a detailed analysis of the main trends and national achievements from a global and regional perspective. The materials of these studies indicate that the pace of e-government development in Ukraine in recent years has outpaced both the global and average European ones. This allowed our country to take the highest positions in the ranking for the comprehensive indicator in 2024 – t</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driving, forces, current;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2024:</w:t>
      </w:r>
      <w:r>
        <w:t xml:space="preserve"> Global Megatrends Impacts on the Landscape, Analysis Based on Key Drivers of the Megatrends and Landscape Change: Case Study of Danubian Lowland, Slovakia — https://doi.org/10.2478/eko-2024-0019</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pPr>
        <w:pStyle w:val="Heading2"/>
      </w:pPr>
      <w:r>
        <w:t>563.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564.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Construction Cost Index: Political, Economic, and Financial Risk Indices Within the European Continent — https://doi.org/10.3390/su17030917</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global construction industry has encountered record growth, especially following the COVID-19 pandemic period, during which the construction industry almost entirely ceased. However, the prices of building materials used by the construction sector have increased rapidly since the COVID-19 pandemic due to interruptions in the supply chain, causing increases in interest rates, inflation rates, and wage rates, as well as changes in tax rates. This has resulted in a contraction of construction activities in the euro area that warrants investigation. The purpose of this study was to empirically evaluate the impacts of political, economic, and financial risks on the cost of construction materials, which have caused a recession in the European economy. In this study, an empirical examination of the long-term equilibrium relationship between the construction cost index and various risk indices associated with politics, economics, and finance across Europe was conducted. This study also explored the construction-led growth hypothesis in the eurozone. Fully Modified Ordinary Least Squares (FMOLSs) and Dynamic Ordinary Least Squares (DOLSs) panel estimation techniques were employed here. The panel regression results were obtained using the FMOLS technique and provided statistically significant elasticity coefficients. The results revealed that the economic risk index was statistically</w:t>
      </w:r>
    </w:p>
    <w:p>
      <w:pPr/>
      <w:r>
        <w:rPr>
          <w:b/>
        </w:rPr>
        <w:t>POSSIBLE 2025:</w:t>
      </w:r>
      <w:r>
        <w:t xml:space="preserve"> Investigating the Effects of Crises and Bilateral Agreements on Moldova's Economic Integration into the European Union Using the Trade Intensity Index Method — https://doi.org/10.55065/intraders.1788830</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main objective of this research is to evaluate the bilateral trade and economic relations between Moldova and the European Union (EU) from 2003 to 2023 using the trade intensity index analysis method. It also examines how external events such as the 2008 Global Financial Crisis and the COVID-19 pandemic, as well as bilateral agreements, have impacted Moldova's integration process into the European Union. According to the analysis results, the trade intensity score between the European Union and Moldova is above the world average, with the European Union having nearly twice the trade intensity score compared to Moldova. Positive agreements, such as the European Union Eastern Partnership Program initiated in 2009, have been found to have beneficial effects on Moldova's economic integration with the European Union. On the other hand, external events like the 2008 Global Financial Crisis and the COVID-19 pandemic have been determined to have negative impacts on Moldova's integration into the European Union and its bilateral trade and economic relations. The study indicates that while the EU Eastern Partnership Agreement has positively influenced Moldova's economic integration, the process remains vulnerable to financial crises and global disruptions, underscoring the need for resilient trade policies and strategies to revitalize economic cooperation amid declining trade volumes</w:t>
      </w:r>
    </w:p>
    <w:p>
      <w:pPr/>
      <w:r>
        <w:rPr>
          <w:b/>
        </w:rPr>
        <w:t>POSSIBLE 2025:</w:t>
      </w:r>
      <w:r>
        <w:t xml:space="preserve"> Effectiveness of European Green Deal: Malmquist Index Analysis on 25 EU Countries — https://doi.org/10.5171/2025.4531125</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The aim of the article is to assess the effectiveness of the European Green Deal (EGD) implementation in EU countries. The aim was to be achieved by using the Data Envelopment Analysis (DEA) model. The additional aim is to determine which countries are most effective in achieving the Green Deal goals by analyzing the Malmquist Index. There are only few studies assessing the relative effectiveness of the EGD implementation through a comparative approach. There is a lack of studies assessing the degree of implementation of the Green Deal. There is also no development of the methods by which member states can achieve the main goal of the Green Deal, i.e. a 55% reduction in greenhouse gases by 2030. The small number of studies on the effectiveness of the implementation of the EGD goals was considered as a research gap. The research used the DEA approach to assess the effectiveness of EGD implementation in the 25 EU countries in the period of 2013–2021, using the Eurostat indicators. An outcome-oriented DEA model was developed to examine relative efficiency, and Malmquist Index were calculated, which present the change in technical efficiency and technological changes over the two the same periods in the 25 countries studied. The geometric mean of the Malmquist Index indicates an average increase of around 9% over the period studied. The results reveal significant differences in the</w:t>
      </w:r>
    </w:p>
    <w:p>
      <w:pPr>
        <w:pStyle w:val="Heading2"/>
      </w:pPr>
      <w:r>
        <w:t>565.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benefits, increased, already;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2025:</w:t>
      </w:r>
      <w:r>
        <w:t xml:space="preserve"> Research Note: Estimating Kinship Size of Older Adults in Europe With Models and Surveys — https://doi.org/10.1215/00703370-11961236</w:t>
      </w:r>
    </w:p>
    <w:p>
      <w:pPr/>
      <w:r>
        <w:rPr>
          <w:b/>
        </w:rPr>
        <w:t>Shared claim-specific concepts:</w:t>
      </w:r>
      <w:r>
        <w:t xml:space="preserve"> two, surveys, data, between, each; EU scope visible. This is a provisional connection, not an outcome finding.</w:t>
      </w:r>
    </w:p>
    <w:p>
      <w:pPr>
        <w:pStyle w:val="SourceNote"/>
      </w:pPr>
      <w:r>
        <w:rPr>
          <w:b/>
        </w:rPr>
        <w:t>Available abstract (not full text):</w:t>
      </w:r>
      <w:r>
        <w:t xml:space="preserve">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pPr/>
      <w:r>
        <w:rPr>
          <w:b/>
        </w:rPr>
        <w:t>POSSIBLE 2025:</w:t>
      </w:r>
      <w:r>
        <w:t xml:space="preserve"> Assessing micro-mobility net benefits at the individual level: Evidence for two European countries — https://doi.org/10.1016/j.trf.2025.02.020</w:t>
      </w:r>
    </w:p>
    <w:p>
      <w:pPr/>
      <w:r>
        <w:rPr>
          <w:b/>
        </w:rPr>
        <w:t>Shared claim-specific concepts:</w:t>
      </w:r>
      <w:r>
        <w:t xml:space="preserve"> two, benefits, between, users; EU scope visible. This is a provisional connection, not an outcome finding.</w:t>
      </w:r>
    </w:p>
    <w:p>
      <w:pPr>
        <w:pStyle w:val="SourceNote"/>
      </w:pPr>
      <w:r>
        <w:rPr>
          <w:b/>
        </w:rPr>
        <w:t>Available abstract (not full text):</w:t>
      </w:r>
      <w:r>
        <w:t xml:space="preserve"> • Differences in net benefits of e-scooter usage between Portugal and Germany. • User satisfaction is important precedents of net benefits. • Hedonic motivation and use affect user satisfaction. • Importance of moderation effect of long-term orientation and perceived unsafety. This study, comparing two European countries, explores the net benefits of e-scooters in interplay with their usage and user satisfaction. We surveyed 199 e-scooter users in Germany and 184 in Portugal. A novel framework based on an established model used to evaluate information systems’ success is introduced, where net benefits, here, are ultimately expressed by the efficiency and effectiveness of e-scooters in undertaking short-distance trips. All in all, one can infer that pragmatic reasons, in terms of functionality and fulfillment of purpose, are the most important factors in the usage and satisfaction of e-scooters. Recreational reasons are, at most, a side effect. The number one explanation of e-scooter net benefits, conducting short-distance trips effectively and efficiently, is user satisfaction, which is reinforced by use. Price also plays a rather important role, while thoughts regarding sustainability and safety do matter but subordinately. Preponderantly, the countries’ subsamples align with the full-sample model’s findings, with some differences among them; nonetheless, no significant one ca</w:t>
      </w:r>
    </w:p>
    <w:p>
      <w:pPr/>
      <w:r>
        <w:rPr>
          <w:b/>
        </w:rPr>
        <w:t>POSSIBLE 2025:</w:t>
      </w:r>
      <w:r>
        <w:t xml:space="preserve"> Edible Insects as an Alternative Source of Nutrients: Benefits, Risks, and the Future of Entomophagy in Europe—A Narrative Review — https://doi.org/10.3390/foods14020270</w:t>
      </w:r>
    </w:p>
    <w:p>
      <w:pPr/>
      <w:r>
        <w:rPr>
          <w:b/>
        </w:rPr>
        <w:t>Shared claim-specific concepts:</w:t>
      </w:r>
      <w:r>
        <w:t xml:space="preserve"> indicate, there, benefits, areas; EU scope visible. This is a provisional connection, not an outcome finding.</w:t>
      </w:r>
    </w:p>
    <w:p>
      <w:pPr>
        <w:pStyle w:val="SourceNote"/>
      </w:pPr>
      <w:r>
        <w:rPr>
          <w:b/>
        </w:rPr>
        <w:t>Available abstract (not full text):</w:t>
      </w:r>
      <w:r>
        <w:t xml:space="preserve"> According to projections by the Food and Agriculture Organization of the United Nations, the global population will reach 9 billion by 2050. This raises concerns about the ability to feed such a population. In view of the above, it is necessary to search for alternative food sources. Edible insects are rich in complete protein, essential fatty acids, vitamins and micronutrients. Despite this, entomophagy is not common in Europe. In 2021, the European Union approved Acheta domesticus, Tenebrio molitor, Locusta migratoria, and Alphitobius diaperinus for consumption. However, their consumption may also be associated with certain hazards, e.g., food allergies. The purpose of this review is to present existing knowledge, discuss the possible dangers of consuming insects, and identify areas for further research. Studies in Asian populations indicate that edible insects may be responsible for 4.2–19.4% of food allergies and 18% of fatal food-induced anaphylaxis. There are also increasing reports from Europe of food allergies to edible insects. A thorough understanding of allergens, their properties, and the mechanisms of food allergies associated with edible insects’ consumption is essential for ensuring consumers’ safety. In the future, it would be worthwhile to investigate the effects of heat treatment on the allergenicity of insect proteins.</w:t>
      </w:r>
    </w:p>
    <w:p>
      <w:pPr>
        <w:pStyle w:val="Heading2"/>
      </w:pPr>
      <w:r>
        <w:t>566.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Quantifying the impacts of policies on compensating for the hard-to-abate emissions of a smart energy city — https://doi.org/10.1016/j.segy.2025.100213</w:t>
      </w:r>
    </w:p>
    <w:p>
      <w:pPr/>
      <w:r>
        <w:rPr>
          <w:b/>
        </w:rPr>
        <w:t>Shared claim-specific concepts:</w:t>
      </w:r>
      <w:r>
        <w:t xml:space="preserve"> quantify, energy, climate, objectives, reach, neutrality; EU scope visible. This is a provisional connection, not an outcome finding.</w:t>
      </w:r>
    </w:p>
    <w:p>
      <w:pPr>
        <w:pStyle w:val="SourceNote"/>
      </w:pPr>
      <w:r>
        <w:rPr>
          <w:b/>
        </w:rPr>
        <w:t>Available abstract (not full text):</w:t>
      </w:r>
      <w:r>
        <w:t xml:space="preserve">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pPr/>
      <w:r>
        <w:rPr>
          <w:b/>
        </w:rPr>
        <w:t>POSSIBLE 2025:</w:t>
      </w:r>
      <w:r>
        <w:t xml:space="preserve"> Quantifying the role of the forest-based bioeconomy in achieving green deal objectives in Latvia — https://doi.org/10.18174/681006</w:t>
      </w:r>
    </w:p>
    <w:p>
      <w:pPr/>
      <w:r>
        <w:rPr>
          <w:b/>
        </w:rPr>
        <w:t>Shared claim-specific concepts:</w:t>
      </w:r>
      <w:r>
        <w:t xml:space="preserve"> objective, quantify, energy, objectives; EU scope visible. This is a provisional connection, not an outcome finding.</w:t>
      </w:r>
    </w:p>
    <w:p>
      <w:pPr>
        <w:pStyle w:val="SourceNote"/>
      </w:pPr>
      <w:r>
        <w:rPr>
          <w:b/>
        </w:rPr>
        <w:t>Available abstract (not full text):</w:t>
      </w:r>
      <w:r>
        <w:t xml:space="preserve">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pPr>
        <w:pStyle w:val="Heading2"/>
      </w:pPr>
      <w:r>
        <w:t>567.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r>
        <w:rPr>
          <w:b/>
        </w:rPr>
        <w:t>POSSIBLE 2025:</w:t>
      </w:r>
      <w:r>
        <w:t xml:space="preserve"> A Literature Review on The Technical Efficiency of Islamic Banks: Classification and Key Findings — https://doi.org/10.56734/ijbms.v6n4a5</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This paper presents a comprehensive literature review and classification scheme to examine the technical efficiency of Islamic banks. It primarily focuses on two methodological approaches: parametric and nonparametric. Drawing on more than 100 articles on the technical efficiency of both conventional and Islamic banks, this study identifies key factors influencing efficiency levels. Articles are classified based on various criteria, including journal source, publication date, paper type, study context, bank nature, efficiency measurement approach, selected inputs and outputs, determinants of efficiency, and empirical findings. The review highlights that research on the technical efficiency of Islamic banks remains less developed compared to conventional banking. Several key findings are discussed, shedding light on the current state of knowledge in this field.</w:t>
      </w:r>
    </w:p>
    <w:p>
      <w:pPr/>
      <w:r>
        <w:rPr>
          <w:b/>
        </w:rPr>
        <w:t>POSSIBLE 2025:</w:t>
      </w:r>
      <w:r>
        <w:t xml:space="preserve"> HOW PERSONALITY SHAPES STUDENT MOTIVATION: A REVIEW OF KEY FINDINGS — https://doi.org/10.29303/prospek.v6i1.1196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article explores the relationship between personality and student learning motivation through a literature review approach, also known as library research. This method involves reading, analyzing, and comparing various literature sources, including research reports, academic journals, papers, books, and other relevant references, without requiring fieldwork. The study discusses several key aspects: the concept of personality; factors determining personality; personality patterns; the concept of learning motivation; factors influencing learning motivation; the objectives of providing motivation; indicators of student learning motivation; and the relationship between personality and student learning motivation. The findings of this study provide insights for educators, policymakers, and researchers into the importance of understanding personality traits to enhance students' learning motivation. By tailoring teaching strategies to align with different personality patterns, educators can foster a more engaging and supportive learning environment. Furthermore, the study highlights the need for educational interventions that address both personality development and motivational factors, thereby contributing to the overall improvement of student academic performance and personal growth.</w:t>
      </w:r>
    </w:p>
    <w:p>
      <w:pPr/>
      <w:r>
        <w:rPr>
          <w:b/>
        </w:rPr>
        <w:t>POSSIBLE 2025:</w:t>
      </w:r>
      <w:r>
        <w:t xml:space="preserve"> Power Utilization in Open RAN: Key Findings From a USA Testbed — https://doi.org/10.1109/lcomm.2025.3557715</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Open Radio Access Networks (Open RAN) provide flexible, scalable, and interoperable solutions to address the growing demands of mobile traffic while also aiming to reduce energy consumption. Most prior research on energy-efficient Open RAN has focused on switching techniques such as dynamic cell on/off strategies and adaptive resource allocation, primarily through simulations. This paper investigates Central Processing Unit (CPU) power utilization at the NodeB (base station) level, focusing on User Equipment (UE) connection states by making use of a USA testbed (i.e., POWDER testbed). Two scenarios are considered for the experimental setup: (1) a simulated virtual environment with a single high-powered device and (2) a physical hardware deployment using the separate low-power device for Open RAN. We present key findings from simulated and physical NodeB experiments conducted on the USA testbed, with real hardware. The findings include the relationship between power utilization and forced throughput, the impact of an increasing number of UEs on power utilization, the effects of different UE connection states (active, idle, or not connected), and the behavior of uplink and downlink throughput in both simulated and physical setups. Additionally, this paper introduces and validates power-law equations for power utilization in both setups, offering valuable insights into the effecti</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r>
        <w:rPr>
          <w:b/>
        </w:rPr>
        <w:t>POSSIBLE 2024:</w:t>
      </w:r>
      <w:r>
        <w:t xml:space="preserve"> Hydrology and Droughts in the Nile: A Review of Key Findings and Implications — https://doi.org/10.3390/w16172521</w:t>
      </w:r>
    </w:p>
    <w:p>
      <w:pPr/>
      <w:r>
        <w:rPr>
          <w:b/>
        </w:rPr>
        <w:t>Shared claim-specific concepts:</w:t>
      </w:r>
      <w:r>
        <w:t xml:space="preserve"> key, findings, large-scale; EU scope not established. This is a provisional connection, not an outcome finding.</w:t>
      </w:r>
    </w:p>
    <w:p>
      <w:pPr>
        <w:pStyle w:val="SourceNote"/>
      </w:pPr>
      <w:r>
        <w:rPr>
          <w:b/>
        </w:rPr>
        <w:t>Available abstract (not full text):</w:t>
      </w:r>
      <w:r>
        <w:t xml:space="preserve"> The Nile Basin has long been the subject of extensive research, reflecting its importance, which spans from its historical role in the development of ancient civilizations to its current significance in supporting rapidly changing socioeconomic conditions of the basin countries. This review synthesizes studies focusing on the past and future climate, hydrologic, and drought outlooks of the basin, and explores the roles played by large-scale atmospheric phenomena and water infrastructure on the basin’s climate and hydrology. Overall, the studies underscore the complexity of the Nile hydrological system and the necessity for improved modeling and data integration. This review serves as a guide to areas warranting further research by highlighting the uncertainties and inconsistencies among the different studies. It underscores the interconnectedness of climatic and hydrological processes in the basin and encourages the use of diverse data sources to address the data scarcity issue and ensemble models to reduce modeling uncertainty in future research. By summarizing the data and modeling resources employed in these studies, this review also provides a valuable resource for future modeling efforts to understand and explore of the basin’s complex climatic and hydrological dynamics.</w:t>
      </w:r>
    </w:p>
    <w:p>
      <w:pPr>
        <w:pStyle w:val="Heading2"/>
      </w:pPr>
      <w:r>
        <w:t>568.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r>
        <w:rPr>
          <w:b/>
        </w:rPr>
        <w:t>POSSIBLE 2025:</w:t>
      </w:r>
      <w:r>
        <w:t xml:space="preserve"> Balancing Innovation and Regulation: Integrating Blockchain into the European Digital Identity Framework — https://doi.org/10.1109/cyber-rci68134.2025.11384865</w:t>
      </w:r>
    </w:p>
    <w:p>
      <w:pPr/>
      <w:r>
        <w:rPr>
          <w:b/>
        </w:rPr>
        <w:t>Shared claim-specific concepts:</w:t>
      </w:r>
      <w:r>
        <w:t xml:space="preserve"> unique, framework, infrastructure; EU scope visible. This is a provisional connection, not an outcome finding.</w:t>
      </w:r>
    </w:p>
    <w:p>
      <w:pPr>
        <w:pStyle w:val="SourceNote"/>
      </w:pPr>
      <w:r>
        <w:rPr>
          <w:b/>
        </w:rPr>
        <w:t>Available abstract (not full text):</w:t>
      </w:r>
      <w:r>
        <w:t xml:space="preserve"> This paper investigates the legal implications of integrating the European Blockchain Services Infrastructure (EBSI) into the European Digital Identity (EUDI) framework. The objective is to assess EBSI's potential to support the EU Digital Identity Wallet and cross-border authentication services through a decentralized, service-oriented blockchain architecture. This research is motivated by the fragmented legal and regulatory landscape across EU Member States, which hinders the seamless implementation of EBSI. In particular, challenges related to interoperability, standardization, and compliance with the General Data Protection Regulation (GDPR) present significant obstacles to the adoption of blockchain-based identity solutions. Despite the European Commission's ambitions to promote secure and trusted digital interactions, existing digital identity frameworks lack sufficient provisions for managing these legal complexities in a decentralized environment. Using descriptive legal research and qualitative content analysis, the study examines EU regulatory texts, EBSI white papers, and international standards such as those from W3C. It also compares self-sovereign identity (SSI) models with traditional digital identity systems to identify critical legal and operational distinctions. Findings reveal that, while EBSI and the emerging Europeum-EDIC initiative signal substantial progr</w:t>
      </w:r>
    </w:p>
    <w:p>
      <w:pPr/>
      <w:r>
        <w:rPr>
          <w:b/>
        </w:rPr>
        <w:t>POSSIBLE 2025:</w:t>
      </w:r>
      <w:r>
        <w:t xml:space="preserve"> Public-Private Partnerships in Traditional Industries: A Comparative Governance Framework for Regional Revitalization in Japan and Central Europe — https://doi.org/10.61093/pgrl.1(1).1-15.2025</w:t>
      </w:r>
    </w:p>
    <w:p>
      <w:pPr/>
      <w:r>
        <w:rPr>
          <w:b/>
        </w:rPr>
        <w:t>Shared claim-specific concepts:</w:t>
      </w:r>
      <w:r>
        <w:t xml:space="preserve"> unique, framework, three; EU scope visible. This is a provisional connection, not an outcome finding.</w:t>
      </w:r>
    </w:p>
    <w:p>
      <w:pPr>
        <w:pStyle w:val="SourceNote"/>
      </w:pPr>
      <w:r>
        <w:rPr>
          <w:b/>
        </w:rPr>
        <w:t>Available abstract (not full text):</w:t>
      </w:r>
      <w:r>
        <w:t xml:space="preserve"> This paper examines how public-private partnerships in traditional industries serve as innovative governance mechanisms for regional revitalization in aging societies. Through comparative analysis of Japanese public-private brewery models and Central European cultural heritage initiatives, a novel theoretical framework (the Traditional Industry Revitalization through Governance Innovation (TIRGI) Framework) is developed. This framework advances existing PPP and public governance theories by specifically addressing how traditional industries can be transformed into instruments of public policy and regulation. Drawing on social capital theory and public value creation perspectives, the analysis reveals three key governance innovations: hybrid institutional arrangements balancing public accountability with market efficiency, multi-stakeholder coordination mechanisms integrating cultural preservation with economic development, and trust-building processes generating both bonding and bridging social capital. The TIRGI Framework demonstrates unique advantages over existing models by integrating public governance principles with cultural heritage management, providing specific regulatory mechanisms for traditional industry PPPs, and offering measurable outcomes across economic, social, cultural, and environmental dimensions. The framework contributes to public administration scholarsh</w:t>
      </w:r>
    </w:p>
    <w:p>
      <w:pPr/>
      <w:r>
        <w:rPr>
          <w:b/>
        </w:rPr>
        <w:t>POSSIBLE 2025:</w:t>
      </w:r>
      <w:r>
        <w:t xml:space="preserve"> A new theoretical framework in the analysis of the European Union’s approach to contemporary terrorist threats — https://doi.org/10.15804/athena.2025.88.01</w:t>
      </w:r>
    </w:p>
    <w:p>
      <w:pPr/>
      <w:r>
        <w:rPr>
          <w:b/>
        </w:rPr>
        <w:t>Shared claim-specific concepts:</w:t>
      </w:r>
      <w:r>
        <w:t xml:space="preserve"> unique, framework, union; EU scope visible. This is a provisional connection, not an outcome finding.</w:t>
      </w:r>
    </w:p>
    <w:p>
      <w:pPr>
        <w:pStyle w:val="SourceNote"/>
      </w:pPr>
      <w:r>
        <w:rPr>
          <w:b/>
        </w:rPr>
        <w:t>Available abstract (not full text):</w:t>
      </w:r>
      <w:r>
        <w:t xml:space="preserve"> Contemporary terrorist threats are characterised by increasing complexity, dynamism, and transnational character, which requires an innovative approach to analysing European Union (EU) security policy. Based on the dominant role of nation-states and rigid institutional structures, traditional models are becoming insufficient in the face of the adaptive and multidimensional challenges posed by 21st-century terrorism. This article aims to present a new theoretical framework that can serve as a more comprehensive study of internal security cooperation in the EU. The article examines four theoretical concepts: network theory, complex adaptation theory, resilience theory, and risk governance theory. These theories offer unique analytical tools to better understand the cooperation mechanisms between member states and EU institutions in response to contemporary terrorist threats. The analysis results indicate that integrating these theoretical approaches leads to more flexible, adaptive, and effective counter-terrorism strategies at the level of the EU and its member states.</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framework, climate, infrastructure, mitigation;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pStyle w:val="Heading2"/>
      </w:pPr>
      <w:r>
        <w:t>569.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2025:</w:t>
      </w:r>
      <w:r>
        <w:t xml:space="preserve"> On and beyond the Creative City: performative narratives, policy translation, and frontiers of ‘splashing’ acts — https://doi.org/10.1016/j.ccs.2025.100654</w:t>
      </w:r>
    </w:p>
    <w:p>
      <w:pPr/>
      <w:r>
        <w:rPr>
          <w:b/>
        </w:rPr>
        <w:t>Shared claim-specific concepts:</w:t>
      </w:r>
      <w:r>
        <w:t xml:space="preserve"> narratives, performative, narrative, two; EU scope not established. This is a provisional connection, not an outcome finding.</w:t>
      </w:r>
    </w:p>
    <w:p>
      <w:pPr>
        <w:pStyle w:val="SourceNote"/>
      </w:pPr>
      <w:r>
        <w:rPr>
          <w:b/>
        </w:rPr>
        <w:t>Available abstract (not full text):</w:t>
      </w:r>
      <w:r>
        <w:t xml:space="preserve"> The Creative City often appears in the existing literature as a policy narrative that travels widely across borders. Scholars have long debated whether this travel resulted in a homogenisation of urban cultural policies and whether the narrative still had viability for the future. The term ‘narrative’, however, has often been taken for granted. This article thus explores the implications of thinking about the Creative City as a narrative, particularly a ‘travelling narrative’. Conceptually, it builds on two major frameworks. The first is a processual approach to narration as a fundamental act of organising reality. It emphasises unification or the organisation of different layers or elements into a coherent narrative. The second is a performative approach to translation as acts of re-narration. It highlights multiplication or how a policy narrative can be translated into multi-directional, even competing, policy acts across contexts. Empirically, the article examines the narrative form and accomplishment of the Creative City as it was taken up in Vietnam through the designation of Hanoi as a member of the UNESCO Creative Cities Network (UCCN). The analysis shows both possibilities and limitations of ‘splashing’ acts that sought to engage with the narrative in ways that could move beyond the frequently criticised power structures that set the travelling narrative in motion.</w:t>
      </w:r>
    </w:p>
    <w:p>
      <w:pPr/>
      <w:r>
        <w:rPr>
          <w:b/>
        </w:rPr>
        <w:t>POSSIBLE 2025:</w:t>
      </w:r>
      <w:r>
        <w:t xml:space="preserve"> Performative Equity and Institutional Hypocrisy in Higher Education: A Critique of Leadership Narratives and Policy Contradictions — https://doi.org/10.4236/ojl.2025.143019</w:t>
      </w:r>
    </w:p>
    <w:p>
      <w:pPr/>
      <w:r>
        <w:rPr>
          <w:b/>
        </w:rPr>
        <w:t>Shared claim-specific concepts:</w:t>
      </w:r>
      <w:r>
        <w:t xml:space="preserve"> narratives, performative; EU scope visible. This is a provisional connection, not an outcome finding.</w:t>
      </w:r>
    </w:p>
    <w:p>
      <w:pPr>
        <w:pStyle w:val="SourceNote"/>
      </w:pPr>
      <w:r>
        <w:rPr>
          <w:b/>
        </w:rPr>
        <w:t>Available abstract (not full text):</w:t>
      </w:r>
      <w:r>
        <w:t xml:space="preserve"> This article critically examines the widening gap between rhetorical commitments to equity, inclusion, and innovation in higher education and the lived realities of institutional leadership and policy enforcement. Drawing on the author’s direct experience within a U.S. university setting—juxtaposed with global parallels—the paper explores how performative leadership practices mask deeper systems of exclusion, silencing, and ideological gatekeeping. Through the lens of critical policy analysis, the article reveals how institutional narratives often valorize diversity while simultaneously marginalizing dissenting voices, critical scholarship (Mountz et al., 2020), and global perspectives that challenge neoliberal or bureaucratic orthodoxy. The paper further explores the international dimensions of this hypocrisy, comparing policy contradictions in the United States with similar patterns of institutional posturing and suppression observed in higher education systems in Europe, Asia, and Africa. In doing so, it argues that the performance of equity—uncoupled from structural change—undermines the moral legitimacy of higher education institutions and erodes public trust. The article concludes with a call for policy reform grounded in authentic leadership, intellectual freedom, and justice-driven governance.</w:t>
      </w:r>
    </w:p>
    <w:p>
      <w:pPr/>
      <w:r>
        <w:rPr>
          <w:b/>
        </w:rPr>
        <w:t>POSSIBLE 2025:</w:t>
      </w:r>
      <w:r>
        <w:t xml:space="preserve"> Understanding China's Policy Narratives During Crisis: A Narrative Policy Framework Approach — https://doi.org/10.1111/1468-5973.70105</w:t>
      </w:r>
    </w:p>
    <w:p>
      <w:pPr/>
      <w:r>
        <w:rPr>
          <w:b/>
        </w:rPr>
        <w:t>Shared claim-specific concepts:</w:t>
      </w:r>
      <w:r>
        <w:t xml:space="preserve"> narratives, narrative, types, citizens; EU scope not established. This is a provisional connection, not an outcome finding.</w:t>
      </w:r>
    </w:p>
    <w:p>
      <w:pPr>
        <w:pStyle w:val="SourceNote"/>
      </w:pPr>
      <w:r>
        <w:rPr>
          <w:b/>
        </w:rPr>
        <w:t>Available abstract (not full text):</w:t>
      </w:r>
      <w:r>
        <w:t xml:space="preserve"> ABSTRACT Narratives play a crucial role in crisis communication. Using qualitative content analysis within the Narrative Policy Framework, this study examines the policy narratives in 372 open letters issued by Chinese local governments during the COVID‐19 pandemic. The findings reveal that Chinese local governments constructed a narrative in which the entire society was in crisis, while the government was comprehensively responding, a portrayal that varied according to the different stages of the crisis. As for the characters, public servants were constructed as both heroes and victims, the COVID‐19 was cast as the villain, and citizens were portrayed as both victims and heroes. In terms of the moral, the open letters urged public servants to fulfil their professional duties, citizens to comply with existing policies, and broader social forces to actively participate. Finally, regarding the plot, the open letters constructed three distinct plot types centred on the interactions between public servants, the COVID‐19, and citizens, which collectively manifested as an overarching “People's Campaign” plot. This study offers insights into crisis communication by public organisations in non‐Western contexts and contributes to the understanding of policy narratives during the crisis.</w:t>
      </w:r>
    </w:p>
    <w:p>
      <w:pPr>
        <w:pStyle w:val="Heading2"/>
      </w:pPr>
      <w:r>
        <w:t>570.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2025:</w:t>
      </w:r>
      <w:r>
        <w:t xml:space="preserve"> Artificial intelligence regulation in the European Union: regression or progress? — https://openalex.org/W7154551769</w:t>
      </w:r>
    </w:p>
    <w:p>
      <w:pPr/>
      <w:r>
        <w:rPr>
          <w:b/>
        </w:rPr>
        <w:t>Shared claim-specific concepts:</w:t>
      </w:r>
      <w:r>
        <w:t xml:space="preserve"> challenges, depend, progress, national; EU scope visible. This is a provisional connection, not an outcome finding.</w:t>
      </w:r>
    </w:p>
    <w:p>
      <w:pPr>
        <w:pStyle w:val="SourceNote"/>
      </w:pPr>
      <w:r>
        <w:rPr>
          <w:b/>
        </w:rPr>
        <w:t>Available abstract (not full text):</w:t>
      </w:r>
      <w:r>
        <w:t xml:space="preserve"> The rapid development of artificial intelligence can help transform national economies by increasing productivity, ensuring the quality and availability of services, helping businesses and public administrations to optimise their operations, and making it easier to identify stakeholder needs and opportunities for service development. However, such development can also have negative consequences for the economy through job transformation and risks related to the protection of ethics, security and privacy.The paper analyses the European Union's Artificial Intelligence (AI) Act to assess whether its regulation represents progress or, on the contrary, limits the development of technology. The main focus is on the content of the AI Act and its possible consequences for society and stakeholders. The analysis of legal documents and scientific literature highlights the main regulatory principles, risk categories and obligations. It is also found that the purpose of the AI Act is to promote the development of human-centred and reliable artificial intelligence by supporting innovation, but that the impact of such regulation on the development of AI may present additional challenges. The paper concludes that while the AI Act is a progressive legislative step - the world's first horizontal regulatory framework for AI - its success will depend on the sustainability and proportionality of pr</w:t>
      </w:r>
    </w:p>
    <w:p>
      <w:pPr/>
      <w:r>
        <w:rPr>
          <w:b/>
        </w:rPr>
        <w:t>POSSIBLE 2025:</w:t>
      </w:r>
      <w:r>
        <w:t xml:space="preserve"> Popularization Education and National Progress: Real Challenges and Future Outlook — https://doi.org/10.70693/itphss.v2i1.19</w:t>
      </w:r>
    </w:p>
    <w:p>
      <w:pPr/>
      <w:r>
        <w:rPr>
          <w:b/>
        </w:rPr>
        <w:t>Shared claim-specific concepts:</w:t>
      </w:r>
      <w:r>
        <w:t xml:space="preserve"> challenges, progress, national, interventions; EU scope not established. This is a provisional connection, not an outcome finding.</w:t>
      </w:r>
    </w:p>
    <w:p>
      <w:pPr>
        <w:pStyle w:val="SourceNote"/>
      </w:pPr>
      <w:r>
        <w:rPr>
          <w:b/>
        </w:rPr>
        <w:t>Available abstract (not full text):</w:t>
      </w:r>
      <w:r>
        <w:t xml:space="preserve"> This paper discusses the key role of universal education in promoting national development and solving occupational maladjustment. Emphasizing the influence of education on economic growth, social stability, innovation and cultural protection is very important for improving national competitiveness and sustainable development. This research has been widely investigated in all parts of China, which proves that education can improve skills, promote social harmony, stimulate creativity and protect cultural heritage. However, an important problem is the dislocation between episode and professional role, which wastes human capital and reduces the return on education and investment. In order to meet these challenges, the article suggests combining educational courses with the needs of the labor market to reduce the unsatisfactory majors.we concluded that emphasizes the quality and relevance of education to ensure that learners acquire relevant skills. Promoting life, study and training can enhance the adaptability and resilience of labor. These strategic interventions are aimed at creating an effective education system to promote economic prospects and enable individuals to develop their full potential. These measures have enhanced national competitiveness and are essential for long-term sustainable development.</w:t>
      </w:r>
    </w:p>
    <w:p>
      <w:pPr>
        <w:pStyle w:val="Heading2"/>
      </w:pPr>
      <w:r>
        <w:t>571.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Pacing space: futuring practices and temporal ownership in the European space sector — https://doi.org/10.1093/scipol/scaf067</w:t>
      </w:r>
    </w:p>
    <w:p>
      <w:pPr/>
      <w:r>
        <w:rPr>
          <w:b/>
        </w:rPr>
        <w:t>Shared claim-specific concepts:</w:t>
      </w:r>
      <w:r>
        <w:t xml:space="preserve"> strategic, foresight, policy-making; EU scope visible. This is a provisional connection, not an outcome finding.</w:t>
      </w:r>
    </w:p>
    <w:p>
      <w:pPr>
        <w:pStyle w:val="SourceNote"/>
      </w:pPr>
      <w:r>
        <w:rPr>
          <w:b/>
        </w:rPr>
        <w:t>Available abstract (not full text):</w:t>
      </w:r>
      <w:r>
        <w:t xml:space="preserve"> Abstract This paper investigates futuring practices in European space policy-making. European space policy is marked by diverse actors and institutions and an interplay of competing temporalities, where long-term ambitions intersect with short-term political pressures, budget constraints, and shifting geopolitical dynamics. Policymakers are often challenged to navigate slow, consensus-driven mechanisms while responding to the accelerating demands of global space competition. We argue that temporal control—how futures are timed, paced, and sequenced—is a crucial yet underexplored dimension of science, technology, and innovation policies. Bridging science and technology studies and futures studies, we develop further the notion of temporal ownership to examine how European actors engage in temporal experimentation to align with global developments and articulate distinctive policy trajectories. Drawing on document analysis, expert interviews, conference ethnographies, and foresight workshops, the study empirically and conceptually contributes to scholarship on public policy by showing how temporal politics shape strategic decision-making in technoscientific governance.</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r>
        <w:rPr>
          <w:b/>
        </w:rPr>
        <w:t>POSSIBLE 2024:</w:t>
      </w:r>
      <w:r>
        <w:t xml:space="preserve"> Navigating New Horizons: A global foresight report on planetary health and human wellbeing — https://doi.org/10.59117/20.500.11822/45890</w:t>
      </w:r>
    </w:p>
    <w:p>
      <w:pPr/>
      <w:r>
        <w:rPr>
          <w:b/>
        </w:rPr>
        <w:t>Shared claim-specific concepts:</w:t>
      </w:r>
      <w:r>
        <w:t xml:space="preserve"> strategic, planning, foresight; EU scope not established. This is a provisional connection, not an outcome finding.</w:t>
      </w:r>
    </w:p>
    <w:p>
      <w:pPr>
        <w:pStyle w:val="SourceNote"/>
      </w:pPr>
      <w:r>
        <w:rPr>
          <w:b/>
        </w:rPr>
        <w:t>Available abstract (not full text):</w:t>
      </w:r>
      <w:r>
        <w:t xml:space="preserve"> To help navigate current and future uncertainty and disruptive change, while effectively delivering on its mandate, UNEP has been implementing an institutionalized approach to strategic foresight and horizon scanning with the view to developing an anticipatory and future-oriented culture. This mirrors the growing interest and demand for foresight that is also reinforced by the United Nations reform agenda and the Secretary-General’s report on ‘Our Common Agenda’, which calls for all UN agencies, as well as all UN member states, to engage foresight practices more deeply and apply the derived insights to address global systemic risks. This process has culminated in the development of the present report “Navigating New Horizons – A Global Foresight Report on Planetary Health and Human Wellbeing”, produced by UNEP in collaboration with the International Science Council. The report calls for the world to pay heed and respond to a range of emerging challenges that could disrupt planetary health and wellbeing. It presents insights on eight critical global shifts that are accelerating the triple planetary crisis of climate change, biodiversity and nature loss and pollution and waste. Eighteen signals of change – identified by hundreds of global experts and distilled through regional and stakeholder consultations that included youth – offer a glimpse into potential disruptions, both pos</w:t>
      </w:r>
    </w:p>
    <w:p>
      <w:pPr>
        <w:pStyle w:val="Heading2"/>
      </w:pPr>
      <w:r>
        <w:t>572.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2025:</w:t>
      </w:r>
      <w:r>
        <w:t xml:space="preserve"> Towards the Establishment of Protocols for Defining the Requirements of Different Mining Site Contexts Within the European Project Mine.io — https://doi.org/10.3390/resources14100163</w:t>
      </w:r>
    </w:p>
    <w:p>
      <w:pPr/>
      <w:r>
        <w:rPr>
          <w:b/>
        </w:rPr>
        <w:t>Shared claim-specific concepts:</w:t>
      </w:r>
      <w:r>
        <w:t xml:space="preserve"> provide, different, contexts; EU scope visible. This is a provisional connection, not an outcome finding.</w:t>
      </w:r>
    </w:p>
    <w:p>
      <w:pPr>
        <w:pStyle w:val="SourceNote"/>
      </w:pPr>
      <w:r>
        <w:rPr>
          <w:b/>
        </w:rPr>
        <w:t>Available abstract (not full text):</w:t>
      </w:r>
      <w:r>
        <w:t xml:space="preserve"> Mining activity has been and is one of the most important and indispensable industries for the development of society. Given its role in the provision of raw materials, advancing the development of environmentally friendly mining practices is essential for meeting the globally established goals of sustainable development. In this regard, actions and incentives are being promoted by the European Union, such as the Mine.io project presented in this research. In response to the needs identified within the mining sector, this research seeks to explore the functional and non-functional requirements across several mining contexts. The objective is to establish effective patterns that positively influence the sector activities. This effort is envisioned as a critical foundation for developing a digital architecture that addresses sector limitations and fosters the integration of Industry 4.0 principles into the mining domain. The results provide a solid basis for understanding the needs of the different mining sectors analyzed, while also demonstrating the potential advancements achievable through the project’s technological developments. They enable a comprehensive evaluation of the current technological state in relation to the broader context of global legacy practices, establishing informed guidelines for effective sector responses based on digitalization and the application of su</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2024:</w:t>
      </w:r>
      <w:r>
        <w:t xml:space="preserve"> Sea Level Rise in Europe: Governance context and challenges — https://doi.org/10.5194/sp-3-slre1-7-2024</w:t>
      </w:r>
    </w:p>
    <w:p>
      <w:pPr/>
      <w:r>
        <w:rPr>
          <w:b/>
        </w:rPr>
        <w:t>Shared claim-specific concepts:</w:t>
      </w:r>
      <w:r>
        <w:t xml:space="preserve"> presents, different, contexts, pathways, decades, climate; EU scope visible. This is a provisional connection, not an outcome finding.</w:t>
      </w:r>
    </w:p>
    <w:p>
      <w:pPr>
        <w:pStyle w:val="SourceNote"/>
      </w:pPr>
      <w:r>
        <w:rPr>
          <w:b/>
        </w:rPr>
        <w:t>Available abstract (not full text):</w:t>
      </w:r>
      <w:r>
        <w:t xml:space="preserve"> Abstract. Sea-level rise (SLR) will affect Europe’s coasts over the coming decades and beyond giving rise to challenges for governing coastal and marine areas. Progress is being made in adapting to and addressing these challenges at both national and sub-national levels across all major European sea basins. This chapter assesses progress in coastal adaptation governance in Europe by, first, characterizing the socio-economic and political contexts in European sea basins, and then reviewing coastal adaptation relevant policy frameworks in place at regional and national levels within each of these sea basins. Regional frameworks reviewed consist in Regional Sea Conventions and are assessed for their legal status and their inclusion of SLR information. National coastal policy frameworks reviewed include national adaptation plans focusing on coastal areas and marine spatial planning instruments for all European member states, as well as public financing arrangements for coastal adaptation, focusing on flood risk reduction measures. Key national policies for coastal adaptation are assessed for which coastal hazards they address, the extent to which they incorporate sea-level rise information, and their inclusion of SLR specific adaptation measures. Finally, the chapter presents governance challenges that arise due to the complexity of adaptation to SLR, i.e., time horizon and uncerta</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pStyle w:val="Heading2"/>
      </w:pPr>
      <w:r>
        <w:t>573.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r>
        <w:rPr>
          <w:b/>
        </w:rPr>
        <w:t>POSSIBLE 2024:</w:t>
      </w:r>
      <w:r>
        <w:t xml:space="preserve"> Features of preventing abuse of authority or official position committed by public servants — https://doi.org/10.24144/2307-3322.2024.83.3.4</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Corruption in Ukraine is recognized as a threat to national interests, sustainable development and European integration. Despite the significant efforts made by the state and international institutions to overcome corruption in the main spheres of public life, its level still remains high. When defining the essence of corruption, one should first of all proceed from the fact that it cannot be reduced to any specific socially dangerous act, to a specific offense. Corruption is the result of the historical development of society and the state, including Ukrainian society and the Ukrainian state. At the same time, in the last decade, corruption in Ukraine gained an unprecedented scope and influence on political, economic and other social processes. It іs found that the problems of countering corruption in Ukraine in many respects coincide with similar problems in other countries. This coincidence is caused by the same social essence of corruption as the corrosion of power, which consists in the abuse by officials of state authorities and local self-government bodies of power or official position for selfish or other personal interests. Regardless of the differences in the state system, the main socio-economic prerequisites of corruption are the same in principle for all countries − the imperfection of the mechanism of the exercise of power, the desire of subjects endowed with powe</w:t>
      </w:r>
    </w:p>
    <w:p>
      <w:pPr/>
      <w:r>
        <w:rPr>
          <w:b/>
        </w:rPr>
        <w:t>POSSIBLE 2023:</w:t>
      </w:r>
      <w:r>
        <w:t xml:space="preserve"> Prevention of corruption offenses by public officials: Experience from European Union countries — https://doi.org/10.46398/cuestpol.4177.24</w:t>
      </w:r>
    </w:p>
    <w:p>
      <w:pPr/>
      <w:r>
        <w:rPr>
          <w:b/>
        </w:rPr>
        <w:t>Shared claim-specific concepts:</w:t>
      </w:r>
      <w:r>
        <w:t xml:space="preserve"> officials, promote; EU scope visible. This is a provisional connection, not an outcome finding.</w:t>
      </w:r>
    </w:p>
    <w:p>
      <w:pPr>
        <w:pStyle w:val="SourceNote"/>
      </w:pPr>
      <w:r>
        <w:rPr>
          <w:b/>
        </w:rPr>
        <w:t>Available abstract (not full text):</w:t>
      </w:r>
      <w:r>
        <w:t xml:space="preserve"> The article analyzes the effectiveness of preventive anti-corruption measures in the countries of the European Union EU. The study involved comparison and forecasting methods. The results showed that the EU is leading its efforts to develop anti-corruption legislative initiatives and their implementation at national and international level. Whistle-blower protection laws adopted in EU countries are important tools for exposing illegal activities committed in organizations. Transparency of public administration in Denmark and Finland contributes to the maintenance of moral and legal standards in society. The Danish Code of Conduct in the Public Sector and the Finnish Anti-Corruption Guide for Small and Medium-Sized Enterprises have become documents that help promote corruption-free business relationships. The Finnish Harmaa (gray) project is an example of how data analytics helps law enforcement agencies process large volumes of data to prevent corruption offenses. It is concluded that the initiatives of EU countries to prevent corruption of officials can become an example for Ukraine during post-war recovery.</w:t>
      </w:r>
    </w:p>
    <w:p>
      <w:pPr>
        <w:pStyle w:val="Heading2"/>
      </w:pPr>
      <w:r>
        <w:t>574.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2025:</w:t>
      </w:r>
      <w:r>
        <w:t xml:space="preserve"> The future of EU tax policy harmonisation: Cost of non-Europe report — https://doi.org/10.2861/8675836</w:t>
      </w:r>
    </w:p>
    <w:p>
      <w:pPr/>
      <w:r>
        <w:rPr>
          <w:b/>
        </w:rPr>
        <w:t>Shared claim-specific concepts:</w:t>
      </w:r>
      <w:r>
        <w:t xml:space="preserve"> agreement, commission, council; EU scope visible. This is a provisional connection, not an outcome finding.</w:t>
      </w:r>
    </w:p>
    <w:p>
      <w:pPr>
        <w:pStyle w:val="SourceNote"/>
      </w:pPr>
      <w:r>
        <w:rPr>
          <w:b/>
        </w:rPr>
        <w:t>Available abstract (not full text):</w:t>
      </w:r>
      <w:r>
        <w:t xml:space="preserve"> tax rules but also from inconsistent administrative procedures, digitalisation gaps and duplicated requirements across jurisdictions.In this context, the fragmentation of national tax regimes undermines the EU's capacity to uphold fair competition, ensure fiscal sustainability and deliver on its strategic objectives.It weakens the collective ability to address cross-border tax evasion, enforce equitable taxation of digital and intangible assets and respond to global developments such as the OECD/G20 minimum corporate tax agreement.Moreover, the rising demand for a more competitive, socially cohesive and strategically autonomous Europe -as underscored in the Letta and Draghi reports 2 -places renewed emphasis on the need for coherence in tax policy.From the perspective of European integration, a more coordinated tax framework is thus essential to support the smooth functioning of the internal market.Fragmentation in tax rules could act as a de facto barrier to investment, 3 labour mobility, 4 and cross-border services, 5 eroding the core economic freedoms of the Union.6 It also contributes to legal uncertainty, as recent State aid investigations and rulings by the Court of Justice of the European Union (e.g. in the Apple and Amazon cases) have shown, 7 potentially deterring both investors and Member States from pursuing optimal tax strategies.While full harmonisation may remain </w:t>
      </w:r>
    </w:p>
    <w:p>
      <w:pPr>
        <w:pStyle w:val="Heading2"/>
      </w:pPr>
      <w:r>
        <w:t>575.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pStyle w:val="Heading2"/>
      </w:pPr>
      <w:r>
        <w:t>576.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pStyle w:val="Heading2"/>
      </w:pPr>
      <w:r>
        <w:t>577.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2024:</w:t>
      </w:r>
      <w:r>
        <w:t xml:space="preserve"> THE INFLUENCE OF GDP ON THE FOREIGN TRADE OF BOSNIA AND HERZEGOVINA WITH A FOCUS ON THE EXCHANGE OF GOODS WITH THE COUNTRIES OF THE EUROPEAN UNION — https://doi.org/10.7251/emc2402638m</w:t>
      </w:r>
    </w:p>
    <w:p>
      <w:pPr/>
      <w:r>
        <w:rPr>
          <w:b/>
        </w:rPr>
        <w:t>Shared claim-specific concepts:</w:t>
      </w:r>
      <w:r>
        <w:t xml:space="preserve"> further, imports, positive; EU scope visible. This is a provisional connection, not an outcome finding.</w:t>
      </w:r>
    </w:p>
    <w:p>
      <w:pPr>
        <w:pStyle w:val="SourceNote"/>
      </w:pPr>
      <w:r>
        <w:rPr>
          <w:b/>
        </w:rPr>
        <w:t>Available abstract (not full text):</w:t>
      </w:r>
      <w:r>
        <w:t xml:space="preserve"> Bosnia and Herzegovina is a country in transition with an economy that imports more than it exports, but the importance of exports is crucial for sustainable economic growth. This paper investigates the impact of the gross domestic product (GDP) on the foreign trade of Bosnia and Herzegovina, focusing on the exchange of goods with the countries of the European Union. The analysis covers the period from 2009 to the end of 2022 to look at long-term trends. The main goal of the research is to determine the existence of a statistically significant influence of GDP on the exports and imports of the country. Using the t-test, the value of exports/imports between the countries of the European Union and other countries is also analyzed. Firstly, an analysis of macroeconomic trends was conducted, which is crucial for understanding the economic situation in BiH. Monitoring the trends of GDP, imports, and exports provides insights into the country’s economic activity. GDP trends reflect economic growth or recession, while the analysis of imports and exports provides information on trade activities. From 2009 to the end of 2022, the GDP of BiH mostly showed a rising trend, with exceptions such as in 2012. The GDP growth rate varied during the analyzed period, with the lowest values during the years of the global financial crisis and the Covid-19 pandemic, and the highest in 2021. Imports a</w:t>
      </w:r>
    </w:p>
    <w:p>
      <w:pPr/>
      <w:r>
        <w:rPr>
          <w:b/>
        </w:rPr>
        <w:t>POSSIBLE 2024:</w:t>
      </w:r>
      <w:r>
        <w:t xml:space="preserve"> Import dependence of the European organic market and the role of Ukrainian exports — https://doi.org/10.3846/tede.2024.22840</w:t>
      </w:r>
    </w:p>
    <w:p>
      <w:pPr/>
      <w:r>
        <w:rPr>
          <w:b/>
        </w:rPr>
        <w:t>Shared claim-specific concepts:</w:t>
      </w:r>
      <w:r>
        <w:t xml:space="preserve"> further, imports, materials; EU scope visible. This is a provisional connection, not an outcome finding.</w:t>
      </w:r>
    </w:p>
    <w:p>
      <w:pPr>
        <w:pStyle w:val="SourceNote"/>
      </w:pPr>
      <w:r>
        <w:rPr>
          <w:b/>
        </w:rPr>
        <w:t>Available abstract (not full text):</w:t>
      </w:r>
      <w:r>
        <w:t xml:space="preserve"> The European market for organic products has been expanding, with a persistent difference between the growth rates of organic retail trade (actual demand for organic products) and the growth rates of organic agricultural land areas (potential supply of organic products). This makes the European Union (EU) dependent on global imports. This research focuses on the import of organic products from Ukraine. To understand the underlying factors of the EU-27 countries’ import dependence on Ukrainian exports, this article proposes the following: 1) an analysis of Ukraine’s contribution to the total import volume to EU-27 countries by categories of organic products that have the most significant share in overall imports from Ukraine (these categories include: cereals, other than wheat and rice; soybeans; wheat; oilseeds, other than soybeans); 2) a study of the general trends of the European organic market’s import dependence on imports from Ukraine by the categories with the highest contribution; 3) clustering of the EU-27 countries based on organic market indicators; 4) an analysis of the European organic market using Ukrainian imports as an example. Ukrainian imports do not threaten the domestic European market; instead, countries with the highest level of dependence can use Ukrainian organic raw materials for processing and further re-export.</w:t>
      </w:r>
    </w:p>
    <w:p>
      <w:pPr>
        <w:pStyle w:val="Heading2"/>
      </w:pPr>
      <w:r>
        <w:t>578.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r>
        <w:rPr>
          <w:b/>
        </w:rPr>
        <w:t>POSSIBLE 2025:</w:t>
      </w:r>
      <w:r>
        <w:t xml:space="preserve"> Burden of 375 diseases and injuries, risk-attributable burden of 88 risk factors, and healthy life expectancy in 204 countries and territories, including 660 subnational locations, 1990–2023: a systematic analysis for the Global Burden of Disease Study 2023 — https://doi.org/10.1016/s0140-6736(25)01637-x</w:t>
      </w:r>
    </w:p>
    <w:p>
      <w:pPr/>
      <w:r>
        <w:rPr>
          <w:b/>
        </w:rPr>
        <w:t>Shared claim-specific concepts:</w:t>
      </w:r>
      <w:r>
        <w:t xml:space="preserve"> data, burden, disease, gbd, between, countries; EU scope not established. This is a provisional connection, not an outcome finding.</w:t>
      </w:r>
    </w:p>
    <w:p>
      <w:pPr>
        <w:pStyle w:val="SourceNote"/>
      </w:pPr>
      <w:r>
        <w:rPr>
          <w:b/>
        </w:rPr>
        <w:t>Available abstract (not full text):</w:t>
      </w:r>
      <w:r>
        <w:t xml:space="preserve"> BACKGROUND: For more than three decades, the Global Burden of Diseases, Injuries, and Risk Factors Study (GBD) has provided a framework to quantify health loss due to diseases, injuries, and associated risk factors. This paper presents GBD 2023 findings on disease and injury burden and risk-attributable health loss, offering a global audit of the state of world health to inform public health priorities. This work captures the evolving landscape of health metrics across age groups, sexes, and locations, while reflecting on the remaining post-COVID-19 challenges to achieving our collective global health ambitions. METHODS: The GBD 2023 combined analysis estimated years lived with disability (YLDs), years of life lost (YLLs), and disability-adjusted life-years (DALYs) for 375 diseases and injuries, and risk-attributable burden associated with 88 modifiable risk factors. Of the more than 310 000 total data sources used for all GBD 2023 (about 30% of which were new to this estimation round), more than 120 000 sources were used for estimation of disease and injury burden and 59 000 for risk factor estimation, and included vital registration systems, surveys, disease registries, and published scientific literature. Data were analysed using previously established modelling approaches, such as disease modelling meta-regression version 2.1 (DisMod-MR 2.1) and comparative risk assessment </w:t>
      </w:r>
    </w:p>
    <w:p>
      <w:pPr/>
      <w:r>
        <w:rPr>
          <w:b/>
        </w:rPr>
        <w:t>POSSIBLE 2025:</w:t>
      </w:r>
      <w:r>
        <w:t xml:space="preserve"> Laryngeal Cancer in Europe and Its Subregions: A Temporal Epidemiological Analysis Based on Global Burden of Disease Data — https://doi.org/10.7759/cureus.92077</w:t>
      </w:r>
    </w:p>
    <w:p>
      <w:pPr/>
      <w:r>
        <w:rPr>
          <w:b/>
        </w:rPr>
        <w:t>Shared claim-specific concepts:</w:t>
      </w:r>
      <w:r>
        <w:t xml:space="preserve"> data, burden, disease, gbd, cancer, countries; EU scope visible. This is a provisional connection, not an outcome finding.</w:t>
      </w:r>
    </w:p>
    <w:p>
      <w:pPr>
        <w:pStyle w:val="SourceNote"/>
      </w:pPr>
      <w:r>
        <w:rPr>
          <w:b/>
        </w:rPr>
        <w:t>Available abstract (not full text):</w:t>
      </w:r>
      <w:r>
        <w:t xml:space="preserve"> Introduction Laryngeal cancer remains a significant public health issue in Europe, with considerable variation across countries and regions. Evaluating trends in incidence, mortality, and survival indicators such as the mortality-to-incidence ratio (MIR) may provide insights into disparities and guide policy development. The objective of this study was to conduct a 25-year epidemiological data analysis of age-standardized rates (ASRs) for the incidence and mortality of laryngeal cancer, and to compare the MIRs across European countries and subregions (North, South, East, and West Europe), using data from the Global Burden of Disease (GBD) database. Methods We extracted secondary data on laryngeal cancer from the GBD dataset provided by the Institute for Health Metrics and Evaluation (IHME) for the years 1997 to 2021. ASRs for incidence and mortality, as well as MIRs based on these ASRs, were analyzed. Descriptive statistics (mean, median, standard deviation, minimum-maximum range) and linear regression were performed using Microsoft Excel 365. Results All key indicators showed a downward trend over the 25-year period. The average MIR declined from 0.563 in 1997 to 0.459 in 2021 (R² = 96.26%, p &lt; 0.001). Northern Europe improved from 0.448 to 0.355, while Western Europe consistently reported the lowest MIRs (0.388 to 0.326), likely reflecting improved access to specialized oncol</w:t>
      </w:r>
    </w:p>
    <w:p>
      <w:pPr/>
      <w:r>
        <w:rPr>
          <w:b/>
        </w:rPr>
        <w:t>POSSIBLE 2025:</w:t>
      </w:r>
      <w:r>
        <w:t xml:space="preserve"> Redescription of the rare parasite of European bats, Paralecithodendrium ilei (Digenea: Lecithodendriidae), supplemented with molecular data — https://doi.org/10.31610/zsr/2025.34.2.289</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Paralecithodendrium ilei (Zdzitowiecki, 1969) is a rare parasite of European vespertilionid bats. Identification of this digenean species is difficult due to its high morphological similarity to closely related species. Specimens of P. ilei from the small intestine of the northern bat (Eptesicus nilssonii Schreber, 1774) inhabiting the Zhiguli State Nature Reserve (European Russia) were examined. The aim of this study was to analyse new material on P. ilei using both morphological and molecular phylogenetic approaches. Here, we provide a complete redescription of P. ilei from bats in European Russia, including the first molecular phylogenetic data based on 28S rRNA and cox1 mtDNA sequences. The results obtained confirm that this digenean species is distinct.</w:t>
      </w:r>
    </w:p>
    <w:p>
      <w:pPr/>
      <w:r>
        <w:rPr>
          <w:b/>
        </w:rPr>
        <w:t>POSSIBLE 2025:</w:t>
      </w:r>
      <w:r>
        <w:t xml:space="preserve"> Global epidemiology and burden of interstitial lung disease — https://doi.org/10.1016/s2213-2600(25)00129-8</w:t>
      </w:r>
    </w:p>
    <w:p>
      <w:pPr/>
      <w:r>
        <w:rPr>
          <w:b/>
        </w:rPr>
        <w:t>Shared claim-specific concepts:</w:t>
      </w:r>
      <w:r>
        <w:t xml:space="preserve"> burden,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The obesity pandemic and its impact on non-communicable disease burden — https://doi.org/10.1007/s00424-025-03066-8</w:t>
      </w:r>
    </w:p>
    <w:p>
      <w:pPr/>
      <w:r>
        <w:rPr>
          <w:b/>
        </w:rPr>
        <w:t>Shared claim-specific concepts:</w:t>
      </w:r>
      <w:r>
        <w:t xml:space="preserve"> here, burden, disease, between; EU scope not established. This is a provisional connection, not an outcome finding.</w:t>
      </w:r>
    </w:p>
    <w:p>
      <w:pPr>
        <w:pStyle w:val="SourceNote"/>
      </w:pPr>
      <w:r>
        <w:rPr>
          <w:b/>
        </w:rPr>
        <w:t>Available abstract (not full text):</w:t>
      </w:r>
      <w:r>
        <w:t xml:space="preserve"> The rising prevalence of overweight and obesity across the globe is a major threat both to public health and economic development. This is mainly due to the link of obesity with the development and outcomes of non-communicable diseases (NCDs). NCDs are a leading cause of global death and disability, and reducing the burden of NCDs on patients and healthcare systems is of critical importance to improve public health. Obesity is projected to be the number one preventable risk factor for NCDs by 2035, and there is an urgent need to tackle the growing obesity rates in order to reduce NCD incidence and severity. Here, we review the current understanding of the impact of obesity on NCD burden in general, as well as the epidemiological and mechanistic relationship between obesity and some of the most common classes of NCDs. By literature review, we found that over 70% of NCDs have a documented association with obesity, highlighting the importance of a better understanding of the pathophysiologies underlying obesity/overweight as well as the interaction between obesity and NCDs in order to reduce global disease burden.</w:t>
      </w:r>
    </w:p>
    <w:p>
      <w:pPr/>
      <w:r>
        <w:rPr>
          <w:b/>
        </w:rPr>
        <w:t>POSSIBLE 2024:</w:t>
      </w:r>
      <w:r>
        <w:t xml:space="preserve"> Geodiversity data for Europe — https://doi.org/10.1098/rsta.2023.0173</w:t>
      </w:r>
    </w:p>
    <w:p>
      <w:pPr/>
      <w:r>
        <w:rPr>
          <w:b/>
        </w:rPr>
        <w:t>Shared claim-specific concepts:</w:t>
      </w:r>
      <w:r>
        <w:t xml:space="preserve"> here, data, between;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obtained, data, between, countries,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pStyle w:val="Heading2"/>
      </w:pPr>
      <w:r>
        <w:t>579.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2023:</w:t>
      </w:r>
      <w:r>
        <w:t xml:space="preserve"> The ups and downs of maritime spatial planning in Portugal — https://doi.org/10.1016/j.marpol.2023.105984</w:t>
      </w:r>
    </w:p>
    <w:p>
      <w:pPr/>
      <w:r>
        <w:rPr>
          <w:b/>
        </w:rPr>
        <w:t>Shared claim-specific concepts:</w:t>
      </w:r>
      <w:r>
        <w:t xml:space="preserve"> maritime, conditions, sustainable; EU scope visible. This is a provisional connection, not an outcome finding.</w:t>
      </w:r>
    </w:p>
    <w:p>
      <w:pPr>
        <w:pStyle w:val="SourceNote"/>
      </w:pPr>
      <w:r>
        <w:rPr>
          <w:b/>
        </w:rPr>
        <w:t>Available abstract (not full text):</w:t>
      </w:r>
      <w:r>
        <w:t xml:space="preserve"> Directive 2014/89/EU provided a common framework for MSP in Europe, aiming to promote the sustainable development of maritime activities. However, its implementation has been facing various challenges in different Member States. This paper presents the evolution of MSP in Portugal and analyses how the conditions set by the directive have been addressed, particularly in the environmental domain. The analyses are mainly achieved through existing literature and the positions taken by the National Council for Environment and Sustainable Development. Portuguese efforts around MSP started before the approval of the directive and allowed a valuable learning experience. The legal diplomas later adopted provided a framework for developing marine spatial plans with a more comprehensive architecture of the MSP system. While some issues remain in terms of meeting some of the requirements of the directive, operational procedures and assessment of MSP implementation, there are positive aspects highlighted with the entire presentation of the situation of MSP in Portugal so far.</w:t>
      </w:r>
    </w:p>
    <w:p>
      <w:pPr/>
      <w:r>
        <w:rPr>
          <w:b/>
        </w:rPr>
        <w:t>POSSIBLE 2023:</w:t>
      </w:r>
      <w:r>
        <w:t xml:space="preserve"> Applications, Evolutions, and Challenges of Drones in Maritime Transport — https://doi.org/10.3390/jmse11112056</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The widespread interest in using drones in maritime transport has rapidly grown alongside the development of unmanned ships and drones. To stimulate growth and address the associated technical challenges, this paper systematically reviews the relevant research progress, classification, applications, technical challenges, and possible solutions related to the use of drones in the maritime sector. The findings provide an overview of the state of the art of the applications of drones in the maritime industry over the past 20 years and identify the existing problems and bottlenecks in this field. A new classification scheme is established based on their flight characteristics to aid in distinguishing drones’ applications in maritime transport. Further, this paper discusses the specific use cases and technical aspects of drones in maritime rescue, safety, navigation, environment, communication, and other aspects, providing in-depth guidance on the future development of different mainstream applications. Lastly, the challenges facing drones in these applications are identified, and the corresponding solutions are proposed to address them. This research offers pivotal insights and pertinent knowledge beneficial to various entities such as maritime regulatory bodies, shipping firms, academic institutions, and enterprises engaged in drone production. This paper makes new contributions i</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pStyle w:val="Heading2"/>
      </w:pPr>
      <w:r>
        <w:t>580.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r>
        <w:rPr>
          <w:b/>
        </w:rPr>
        <w:t>POSSIBLE 2025:</w:t>
      </w:r>
      <w:r>
        <w:t xml:space="preserve"> Determinants of active learning from the perspective of students and teachers in Croatia — https://doi.org/10.33902/jpr.202533518</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Although active learning is deemed essential in education, research has shown that its implementation in teaching practice is limited, while its potential benefits are not used to their maximum. Therefore, this paper aims to examine the determinants of active learning in contemporary teaching from the perspective of students and teachers in Croatia. The intention is to gain an insight into the application and understanding of active learning in contemporary education. The study was conducted using a questionnaire on a sample of 1231 participants (951 students and 280 teachers) in Croatia. The findings revealed significant differences between students and teachers in their assessment of active learning determinants, with students giving a less positive evaluation of their prevalence compared to teachers. The determinants of active learning are more prevalent in primary schools, which suggest there is a need for continuous development of active learning practices across all subjects and areas. This is particularly true for high schools, where students are developmentally more prepared for deep-level active learning. Professional development of teachers in the area of active learning has been identified as a critical factor in encouraging and improving these practices. However, the findings also point to certain challenges related to the organization, availability, and continuity </w:t>
      </w:r>
    </w:p>
    <w:p>
      <w:pPr/>
      <w:r>
        <w:rPr>
          <w:b/>
        </w:rPr>
        <w:t>POSSIBLE 2024:</w:t>
      </w:r>
      <w:r>
        <w:t xml:space="preserve"> Container life in post-earthquake Croatia — https://doi.org/10.3167/fcl.2024.100702</w:t>
      </w:r>
    </w:p>
    <w:p>
      <w:pPr/>
      <w:r>
        <w:rPr>
          <w:b/>
        </w:rPr>
        <w:t>Shared claim-specific concepts:</w:t>
      </w:r>
      <w:r>
        <w:t xml:space="preserve"> croatia, acknowledging; EU scope visible. This is a provisional connection, not an outcome finding.</w:t>
      </w:r>
    </w:p>
    <w:p>
      <w:pPr>
        <w:pStyle w:val="SourceNote"/>
      </w:pPr>
      <w:r>
        <w:rPr>
          <w:b/>
        </w:rPr>
        <w:t>Available abstract (not full text):</w:t>
      </w:r>
      <w:r>
        <w:t xml:space="preserve"> Abstract This article focuses on experiences of people in the Banija region and specifically the town of Petrinja, Croatia, after an earthquake hit the area in December 2020. It presents their reflections on being confined to “container homes” in three different situations: living in container settlements on the outskirts of town; spending time in a container shopping center; and finding shelter in containers adjacent to destroyed houses. The study shows that temporary container housing frequently turned into permanent living and working solutions during the three years of post-earthquake reconstruction. It also argues the importance of acknowledging that the sense of isolation in disaster-affected areas and the loss of potential for renovation and development do not merely arise from “container life” but reveal the longer-run “polycrisis” involved.</w:t>
      </w:r>
    </w:p>
    <w:p>
      <w:pPr/>
      <w:r>
        <w:rPr>
          <w:b/>
        </w:rPr>
        <w:t>POSSIBLE 2024:</w:t>
      </w:r>
      <w:r>
        <w:t xml:space="preserve"> India-Middle East-Europe Economic Corridor: A Strategic Energy Alternative — https://doi.org/10.46557/001c.123649</w:t>
      </w:r>
    </w:p>
    <w:p>
      <w:pPr/>
      <w:r>
        <w:rPr>
          <w:b/>
        </w:rPr>
        <w:t>Shared claim-specific concepts:</w:t>
      </w:r>
      <w:r>
        <w:t xml:space="preserve"> alternative, road; EU scope visible. This is a provisional connection, not an outcome finding.</w:t>
      </w:r>
    </w:p>
    <w:p>
      <w:pPr>
        <w:pStyle w:val="SourceNote"/>
      </w:pPr>
      <w:r>
        <w:rPr>
          <w:b/>
        </w:rPr>
        <w:t>Available abstract (not full text):</w:t>
      </w:r>
      <w:r>
        <w:t xml:space="preserve"> The paper examines the strategic inception and the geopolitical significance of the India-Middle East-Europe Economic Corridor within the context of global energy infrastructure development. It posits this corridor as a pivotal countermeasure to the expansionist policy of China’s Belt and Road Initiative (BRI). The study highlights how this corridor not only diversifies energy sources and routes but also reconfigures geopolitical alliances and economic dependencies in Asia and beyond.</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pStyle w:val="Heading2"/>
      </w:pPr>
      <w:r>
        <w:t>581.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582.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583.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Emerging Biotechnologies in Europe: Foresight for Policy — https://doi.org/10.2760/4814109</w:t>
      </w:r>
    </w:p>
    <w:p>
      <w:pPr/>
      <w:r>
        <w:rPr>
          <w:b/>
        </w:rPr>
        <w:t>Shared claim-specific concepts:</w:t>
      </w:r>
      <w:r>
        <w:t xml:space="preserve"> foresight, addressing, international, challenges;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environmental, foresight, addressing, international, challenges;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possible, environmental, foresight, trends;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pStyle w:val="Heading2"/>
      </w:pPr>
      <w:r>
        <w:t>584.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585.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Assessing the climate and health impacts of energy consumption in European Union countries — https://doi.org/10.1088/1748-9326/add752</w:t>
      </w:r>
    </w:p>
    <w:p>
      <w:pPr/>
      <w:r>
        <w:rPr>
          <w:b/>
        </w:rPr>
        <w:t>Shared claim-specific concepts:</w:t>
      </w:r>
      <w:r>
        <w:t xml:space="preserve"> union, greenhouse, gas, emissions, assess; EU scope visible. This is a provisional connection, not an outcome finding.</w:t>
      </w:r>
    </w:p>
    <w:p>
      <w:pPr>
        <w:pStyle w:val="SourceNote"/>
      </w:pPr>
      <w:r>
        <w:rPr>
          <w:b/>
        </w:rPr>
        <w:t>Available abstract (not full text):</w:t>
      </w:r>
      <w:r>
        <w:t xml:space="preserve"> ************************************************************************************************************** Note: This article has been published in Environmental Research Letters. Please refer to the published version: https://doi.org/10.1088/1748-9326/add752 ************************************************************************************************************** Greenhouse gas emissions from burning fossil fuels are routinely counted in energy and climate policies, yet the immediate health burden of air pollution emissions from combusting these fuels is rarely quantified alongside. Particularly, the European Union (EU) comprises countries with diverse energy mixes, emission characteristics, reduction technologies, and policy frameworks, leading to large variations in the impacts of energy consumption on climate, air quality, and public health. Understanding these country-level variations is critical to optimize regional energy policies and reduce climate and health disparities in the EU. This study quantifies the regional variations in both climate and health impacts of energy consumption across EU countries. In countries where coal or oil dominates power supply, the health impacts of electricity consumption can be larger than climate impacts by more than ten times (e.g., Bulgaria, Romania, and Greece), highlighting the necessity of incorporating health impacts into c</w:t>
      </w:r>
    </w:p>
    <w:p>
      <w:pPr/>
      <w:r>
        <w:rPr>
          <w:b/>
        </w:rPr>
        <w:t>POSSIBLE 2025:</w:t>
      </w:r>
      <w:r>
        <w:t xml:space="preserve"> The European Union and Crisis of Arms Control — https://doi.org/10.20542/0131-2227-2025-69-6-38-47</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origins of the European Union’s modern nuclear non-proliferation policy date back to the creation of Euratom in the late 1950s, as well as its accession to the most important international treaties in this area. However, the EU gained a genuine role in the policy of non-proliferation of weapons of mass destruction and arms control after the signing of the Treaty on the European Union (TEU), which endowed it with legal personality and determined the future trajectory of development. Undoubtedly, a certain reference point was the adoption by the EU of its Strategy against the Proliferation of Weapons of Mass Destruction (WMD) in 2003, which confirmed the European Union’s place among the main international organizations. The presented article analyzes the role of the EU in international policy in the field of nuclear non-proliferation, arms control and disarmament, as well as the most pressing problems limiting this role. It seems that Brussels is ready to resist the disintegration of the international system of non-proliferation and arms control, supporting the work of existing international institutions organizationally and financially. At the same time, it should be recognized that the European Union’s ability to play a more prominent role in arms control is currently limited. Firstly, the EU is unable to overcome even the internal fragmentation between its member states, w</w:t>
      </w:r>
    </w:p>
    <w:p>
      <w:pPr/>
      <w:r>
        <w:rPr>
          <w:b/>
        </w:rPr>
        <w:t>POSSIBLE 2025:</w:t>
      </w:r>
      <w:r>
        <w:t xml:space="preserve"> Legal Preparedness and the European Health Union — https://doi.org/10.17104/0044-2348-2025-4-1075</w:t>
      </w:r>
    </w:p>
    <w:p>
      <w:pPr/>
      <w:r>
        <w:rPr>
          <w:b/>
        </w:rPr>
        <w:t>Shared claim-specific concepts:</w:t>
      </w:r>
      <w:r>
        <w:t xml:space="preserve"> union, aims, assess; EU scope visible. This is a provisional connection, not an outcome finding.</w:t>
      </w:r>
    </w:p>
    <w:p>
      <w:pPr>
        <w:pStyle w:val="SourceNote"/>
      </w:pPr>
      <w:r>
        <w:rPr>
          <w:b/>
        </w:rPr>
        <w:t>Available abstract (not full text):</w:t>
      </w:r>
      <w:r>
        <w:t xml:space="preserve"> The pandemic has made clear the absolute need to coordinate Member States’ action on health matters and to create a supranational health governance capable of anticipating and responding to health crises. The attention towards legal preparedness in the context of public health emergencies is well reflected in the post-pandemic acts adopted by the European Union (EU) legislator. This contribution aims at singling out the most prominent aspects of the (still ongoing) reform process with a view to assess the efficiency and coherence of the overall system of emergency management in light of the objectives of the European Health Union and the new EU Global Health Strategy.</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pStyle w:val="Heading2"/>
      </w:pPr>
      <w:r>
        <w:t>586.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r>
        <w:rPr>
          <w:b/>
        </w:rPr>
        <w:t>POSSIBLE 2025:</w:t>
      </w:r>
      <w:r>
        <w:t xml:space="preserve"> Research priorities of the European Society of Clinical Pharmacy (ESCP): a questionnaire-based study — https://doi.org/10.1007/s11096-025-01954-8</w:t>
      </w:r>
    </w:p>
    <w:p>
      <w:pPr/>
      <w:r>
        <w:rPr>
          <w:b/>
        </w:rPr>
        <w:t>Shared claim-specific concepts:</w:t>
      </w:r>
      <w:r>
        <w:t xml:space="preserve"> methods, questionnaire, health; EU scope visible. This is a provisional connection, not an outcome finding.</w:t>
      </w:r>
    </w:p>
    <w:p>
      <w:pPr>
        <w:pStyle w:val="SourceNote"/>
      </w:pPr>
      <w:r>
        <w:rPr>
          <w:b/>
        </w:rPr>
        <w:t>Available abstract (not full text):</w:t>
      </w:r>
      <w:r>
        <w:t xml:space="preserve"> INTRODUCTION: It is important for health professional societies to involve members in defining their roles and future activities including research priorities. AIM: This study aimed to identify members' views on the areas of research that European Society of Clinical Pharmacy (ESCP) should prioritise in delivering research support, research projects and education. METHOD: An online questionnaire was initially developed by the ESCP Research Committee and reviewed by the research team. It included structured and open-ended items related to respondents' demographics, research experience, views on future research priorities, topics that ESCP should prioritise, and barriers to research involvement. After testing face and content validity, the questionnaire was sent to all ESCP members (N = 417). Descriptive statistics and summative content analysis were used. RESULTS: Eighty-two responses were received (response rate: 19.7%). Research on real-world processes that facilitate the implementation of clinical pharmacy services into every-day practice was the priority for most respondents (n = 77, 93.9%). Respondents believed that ESCP should focus on research support for implementation science (n = 52, 63.4%) and methods to analyse clinical judgement and decision-making (n = 48, 58.5%). The perceived barriers to developing high-quality research in clinical pharmacy were reported as a lac</w:t>
      </w:r>
    </w:p>
    <w:p>
      <w:pPr/>
      <w:r>
        <w:rPr>
          <w:b/>
        </w:rPr>
        <w:t>POSSIBLE 2025:</w:t>
      </w:r>
      <w:r>
        <w:t xml:space="preserve"> Agricultural Decision Support Tools in Europe: What Kind of Tools Are Needed to Foster Soil Health? — https://doi.org/10.1111/ejss.70097</w:t>
      </w:r>
    </w:p>
    <w:p>
      <w:pPr/>
      <w:r>
        <w:rPr>
          <w:b/>
        </w:rPr>
        <w:t>Shared claim-specific concepts:</w:t>
      </w:r>
      <w:r>
        <w:t xml:space="preserve"> tools, questionnaire, health, experts, process, norway; EU scope visible. This is a provisional connection, not an outcome finding.</w:t>
      </w:r>
    </w:p>
    <w:p>
      <w:pPr>
        <w:pStyle w:val="SourceNote"/>
      </w:pPr>
      <w:r>
        <w:rPr>
          <w:b/>
        </w:rPr>
        <w:t>Available abstract (not full text):</w:t>
      </w:r>
      <w:r>
        <w:t xml:space="preserve"> ABSTRACT Decision support tools (DSTs) are crucial in aiding agricultural decision‐making, particularly in improving soil health by enhancing nutrient management, soil organic matter (SOM) and water retention. Despite the availability of numerous DSTs in Europe, their adoption, effectiveness and development needs are not well understood, as most research is based on literature reviews rather than direct feedback from stakeholders. This study aims at filling this gap by conducting an expert survey of the most widely used digital DSTs across Europe on SOM, water retention and nutrient use efficiency in agriculture. We aimed at evaluating the current use, limitations and development needs of DSTs and offering recommendations to improve the effectiveness and adoption of DSTs in the context of soil health. A questionnaire was distributed to experts in 24 countries. Answers were received from 18 countries, including 14 European Union (EU) nations, Norway, the UK, Switzerland and Turkey. A total of 115 DSTs were identified aligning with our definition of DST, with agronomists, consultants and farmers being the primary users. Adoption of DSTs was rated moderate (score: 3.1/5), with tools featuring user‐friendly interfaces and alignment with farmer goals achieving higher adoption rates. DSTs were rated better suited to achieve farm‐level goals (score: 4.1/5) than regional (score: 3.6/5)</w:t>
      </w:r>
    </w:p>
    <w:p>
      <w:pPr>
        <w:pStyle w:val="Heading2"/>
      </w:pPr>
      <w:r>
        <w:t>587.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pStyle w:val="Heading2"/>
      </w:pPr>
      <w:r>
        <w:t>588.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2025:</w:t>
      </w:r>
      <w:r>
        <w:t xml:space="preserve"> Hydrogen as a Renewable Fuel of Non-Biological Origins in the European Union—The Emerging Market and Regulatory Framework — https://doi.org/10.3390/en18030617</w:t>
      </w:r>
    </w:p>
    <w:p>
      <w:pPr/>
      <w:r>
        <w:rPr>
          <w:b/>
        </w:rPr>
        <w:t>Shared claim-specific concepts:</w:t>
      </w:r>
      <w:r>
        <w:t xml:space="preserve"> article, hydrogen, fuel, support, union, climate; EU scope visible. This is a provisional connection, not an outcome finding.</w:t>
      </w:r>
    </w:p>
    <w:p>
      <w:pPr>
        <w:pStyle w:val="SourceNote"/>
      </w:pPr>
      <w:r>
        <w:rPr>
          <w:b/>
        </w:rPr>
        <w:t>Available abstract (not full text):</w:t>
      </w:r>
      <w:r>
        <w:t xml:space="preserve"> The European Union continues to lead global efforts toward climate neutrality by developing a cohesive regulatory and market framework for alternative fuels, including renewable hydrogen. This review article critically examines the recent evolution of the EU’s policy landscape specifically for hydrogen as a renewable fuel of non-biological origin (RFNBO), highlighting its growing importance in hard-to-abate sectors such as industry and transportation. We assess the interplay of market-based mechanisms (e.g., EU ETS II), direct mandates (e.g., FuelEU Maritime, RED III), and support auction-based measures (e.g., the European Hydrogen Bank) that collectively shape both the demand and the supply of hydrogen as RFNBO fuel. The article also addresses emerging cost, capacity, and technical barriers—ranging from constrained electrolyzer deployment to complex certification requirements—that hinder large-scale adoption and market rollout. The article aims to discuss advancing and changing regulatory and market environment for the development of infrastructure and market for hydrogen as RFNBO fuel in the EU in 2019–2024. Synthesizing current research and policy developments, we propose targeted recommendations, including enhanced cross-border coordination and capacity-based incentives, to accelerate investment and infrastructure development. This review informs policymakers, industry stak</w:t>
      </w:r>
    </w:p>
    <w:p>
      <w:pPr/>
      <w:r>
        <w:rPr>
          <w:b/>
        </w:rPr>
        <w:t>POSSIBLE 2025:</w:t>
      </w:r>
      <w:r>
        <w:t xml:space="preserve"> Development of the Hydrogen Market and Local Green Hydrogen Offtake in Africa — https://doi.org/10.3390/hydrogen6030043</w:t>
      </w:r>
    </w:p>
    <w:p>
      <w:pPr/>
      <w:r>
        <w:rPr>
          <w:b/>
        </w:rPr>
        <w:t>Shared claim-specific concepts:</w:t>
      </w:r>
      <w:r>
        <w:t xml:space="preserve"> article, hydrogen, energy; EU scope not established. This is a provisional connection, not an outcome finding.</w:t>
      </w:r>
    </w:p>
    <w:p>
      <w:pPr>
        <w:pStyle w:val="SourceNote"/>
      </w:pPr>
      <w:r>
        <w:rPr>
          <w:b/>
        </w:rPr>
        <w:t>Available abstract (not full text):</w:t>
      </w:r>
      <w:r>
        <w:t xml:space="preserve"> Creating a hydrogen market in Africa is a great opportunity to assist in the promotion of sustainable energy solutions and economic growth. This article addresses the legislation and regulations that need to be developed to facilitate growth in the hydrogen market and allow local green hydrogen offtake across the continent. By reviewing current policy and strategy within particular African countries and best practices globally from key hydrogen economies, the review establishes compelling issues, challenges, and opportunities unique to Africa. The study identifies the immense potential in Africa for renewable energy, and, in particular, for solar and wind, as the foundation for the production of green hydrogen. It examines how effective policy frameworks can establish a vibrant hydrogen economy by bridging infrastructural gaps, cost hurdles, and regulatory barriers. The paper also addresses how local offtake contracts for green hydrogen can be used to stimulate economic diversification, energy security, and sustainable development. Policy advice is provided to assist African authorities and stakeholders in the deployment of enabling regulatory frameworks and the mobilization of funds. The paper contributes to global hydrogen energy discussions by introducing Africa as an eligible stakeholder in the emerging hydrogen economy and outlining prospects for its inclusion into regiona</w:t>
      </w:r>
    </w:p>
    <w:p>
      <w:pPr/>
      <w:r>
        <w:rPr>
          <w:b/>
        </w:rPr>
        <w:t>POSSIBLE 2025:</w:t>
      </w:r>
      <w:r>
        <w:t xml:space="preserve"> Language Use in Courts under International Law: Thoughts on the Applicability of Article 9 of the European Charter for Regional or Minority Languages in Hungary — https://doi.org/10.62152/hjms.2025.gyl</w:t>
      </w:r>
    </w:p>
    <w:p>
      <w:pPr/>
      <w:r>
        <w:rPr>
          <w:b/>
        </w:rPr>
        <w:t>Shared claim-specific concepts:</w:t>
      </w:r>
      <w:r>
        <w:t xml:space="preserve"> article, author, presents, commitment, role; EU scope visible. This is a provisional connection, not an outcome finding.</w:t>
      </w:r>
    </w:p>
    <w:p>
      <w:pPr>
        <w:pStyle w:val="SourceNote"/>
      </w:pPr>
      <w:r>
        <w:rPr>
          <w:b/>
        </w:rPr>
        <w:t>Available abstract (not full text):</w:t>
      </w:r>
      <w:r>
        <w:t xml:space="preserve"> Based on Ludwig Wittgenstein’s idea (“The limits of my language mean the limits of my world”), this study examines a specific dimension of minority language use, namely the right to use one’s language in court. It points out that the survival of a minority language presupposes not only the existence of a community of speakers but also a conscious, institutionalized commitment to language policy on the part of the state. As a normative framework, it juxtaposes the provisions of Article 6 of the European Convention on Human Rights and Article 9 of the European Charter for Regional or Minority Languages and presents the linguistic characteristics of criminal, civil, and administrative proceedings. The study argues that the structural weaknesses of Article 9 of the Language Charter (the minimization of enforceable rights, territorial and numerical restrictions, and judicial discretion in ensuring rights) carry the risk of undermining the right to language use in court. Using the example of a case study—the Constitutional Court’s Decision 2/2021. (I. 7.) AB—the author argues that in the current political environment, constitutional courts and supreme courts have a key role to play in interpreting and effectively enforcing language rights as a “living right.”</w:t>
      </w:r>
    </w:p>
    <w:p>
      <w:pPr>
        <w:pStyle w:val="Heading2"/>
      </w:pPr>
      <w:r>
        <w:t>589.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2024:</w:t>
      </w:r>
      <w:r>
        <w:t xml:space="preserve"> A modelling tool selection for decarbonising industrial process heat systems — https://doi.org/10.1016/j.rser.2024.115149</w:t>
      </w:r>
    </w:p>
    <w:p>
      <w:pPr/>
      <w:r>
        <w:rPr>
          <w:b/>
        </w:rPr>
        <w:t>Shared claim-specific concepts:</w:t>
      </w:r>
      <w:r>
        <w:t xml:space="preserve"> decarbonise, trends; EU scope not established. This is a provisional connection, not an outcome finding.</w:t>
      </w:r>
    </w:p>
    <w:p>
      <w:pPr>
        <w:pStyle w:val="SourceNote"/>
      </w:pPr>
      <w:r>
        <w:rPr>
          <w:b/>
        </w:rPr>
        <w:t>Available abstract (not full text):</w:t>
      </w:r>
      <w:r>
        <w:t xml:space="preserve"> Industrial Process Heat systems are critical to various industrial processes, representing a significant share of global energy use and emissions. Effective modelling of these systems is essential for evaluating long-term economic and environmental impacts of different technologies. This modelling approach must integrate internal process-specific parameters, such as heat demand dynamics and technological metrics, alongside broader factors like energy costs, emissions policies, and resource availability. This research introduces a comprehensive framework for selecting tools to model industrial process heat systems, focusing on technological, economic, and environmental performance. An initial evaluation of twenty-five tools led to the shortlisting of five based on criteria such as modelling accuracy, scalability, data handling, compatibility with industrial systems, and environmental impacts. Using software engineering principles, a systematic selection process was developed to categorise tools based on essential and desirable capabilities. This framework was validated through an example application, incorporating both technical and practical considerations. The findings highlight the importance of integrating dynamic simulation capabilities with real-time data analysis to improve evaluation accuracy and emphasise user-friendly interfaces to broader industry adoption. The study </w:t>
      </w:r>
    </w:p>
    <w:p>
      <w:pPr/>
      <w:r>
        <w:rPr>
          <w:b/>
        </w:rPr>
        <w:t>POSSIBLE 2024:</w:t>
      </w:r>
      <w:r>
        <w:t xml:space="preserve"> Decarbonise Now: Securing A Greener, Cleaner, Better Industrial Future — https://openalex.org/W7112488410</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If we do not succeed in decarbonising our industries, net zero will not succeed. Industry, which includes ores and minerals mining, manufacturing, construction and waste management, accounted for approximately 24% of total net anthropogenic GHG emissions in 2019, this total can be increased up to around 34% if emissions from electricity and heat production are attributed to their use in the sector. A key message from the IPCC’s 2022 report on the mitigation of climate change stated: “Net zero CO2 emissions from the industrial sector are challenging but possible. Reducing industry emissions will entail coordinated action throughout value chains to promote all mitigation options, including demand management, energy and materials efficiency, circular material flows, as well as abatement technologies and transformational changes in production processes. Progressing towards net zero GHG emissions from industry will be enabled by the adoption of new production processes using low- and zero-GHG electricity, hydrogen, fuels, and carbon management.” Further, industrial clusters account for 15%- 20% of global CO2 emissions. Therefore, it is evident that governments need to develop robust industrial decarbonisation strategies and accelerate the speed of implementation. This report follows the Independent Net Zero Review, focusing on the Energy Intensives and Industry Mission. The Independ</w:t>
      </w:r>
    </w:p>
    <w:p>
      <w:pPr/>
      <w:r>
        <w:rPr>
          <w:b/>
        </w:rPr>
        <w:t>POSSIBLE 2024:</w:t>
      </w:r>
      <w:r>
        <w:t xml:space="preserve"> Breaking Coal Lock-In: Unravelling the Policy Hurdles to Decarbonising Indonesia’s Energy Sector — https://doi.org/10.31947/jakpp.v10i2.35427</w:t>
      </w:r>
    </w:p>
    <w:p>
      <w:pPr/>
      <w:r>
        <w:rPr>
          <w:b/>
        </w:rPr>
        <w:t>Shared claim-specific concepts:</w:t>
      </w:r>
      <w:r>
        <w:t xml:space="preserve"> seeks, itself, ways; EU scope not established. This is a provisional connection, not an outcome finding.</w:t>
      </w:r>
    </w:p>
    <w:p>
      <w:pPr>
        <w:pStyle w:val="SourceNote"/>
      </w:pPr>
      <w:r>
        <w:rPr>
          <w:b/>
        </w:rPr>
        <w:t>Available abstract (not full text):</w:t>
      </w:r>
      <w:r>
        <w:t xml:space="preserve"> The Indonesian government has ratified the 2015 Paris Agreement, thereby committing itself to a climate commitment to achieve zero carbon emissions by 2060 and to keep the Earth's temperature rise within 1.5 degrees Celsius above the pre-industrial average. This commitment is being implemented in various ways, including the decarbonisation of the electricity sector. This policy was promulgated in Presidential Regulation 112/2022 regarding acceleration of renewable energy development and Ministry of Finance Regulation 103/2023 on the fiscal support of energy transition. In this case, many aspects such as institutionalisation, visibility, intentionality, risk avoidance, and differences of interest appear to lead to procedural policy outcomes which later determine th decarbonisation rate of Coal-Fired Power Plants (CFPP). This article seeks to examine the procedural aspects of the early coal-fired power plant retirement policy innovation, based on Howlett's (2014) theory of climate policy innovation. This research employs qualitative methods, including in-depth interviews with stakeholders and literature studies. This article explains that the policy formulation in Presidential Regulation 112/2022 tends to be procedurally negative and hampers several CFPPs' early retirement processes in West Java and Banten. The weaknesses of this policy are clearly visible in the form of administ</w:t>
      </w:r>
    </w:p>
    <w:p>
      <w:pPr>
        <w:pStyle w:val="Heading2"/>
      </w:pPr>
      <w:r>
        <w:t>590.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2025:</w:t>
      </w:r>
      <w:r>
        <w:t xml:space="preserve"> THE ROLE OF STRATEGIC LEADERSHIP IN EMPOWERING STRATEGIC HRM TO ACHIEVE STRATEGIC GOALS: A STUDY ON PALESTINIAN PHARMACEUTICAL COMPANIES — https://openalex.org/W7216799856</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This study aimed to analyze the role of strategic leadership in empowering Strategic Human Resource Management (SHRM) to achieve strategic objectives within Palestinian pharmaceutical companies, amid the political, economic, and administrative challenges facing this vital sector. The study adopted a descriptive-analytical approach and employed a questionnaire to collect data from a sample of 182 administrative employees working in pharmaceutical companies operating in Palestine. The research instrument was designed around four main dimensions of strategic leadership: engaging human resources in strategic planning, allocating resources and providing organizational support, building an empowerment-based institutional culture, and adopting a transformational/entrepreneurial leadership style. The results revealed that all dimensions of strategic leadership had a significant impact on the empowerment of SHRM. Moreover, the findings showed no statistically significant differences attributed to gender, educational qualification, or years of experience. The study emphasized the importance of aligning leadership practices with HR functions to enhance institutional performance, in line with contemporary literature on human capital as a strategic asset. Based on these findings, the study recommended the reinforcement of empowering leadership styles, greater involvement of human resources </w:t>
      </w:r>
    </w:p>
    <w:p>
      <w:pPr/>
      <w:r>
        <w:rPr>
          <w:b/>
        </w:rPr>
        <w:t>POSSIBLE 2025:</w:t>
      </w:r>
      <w:r>
        <w:t xml:space="preserve"> Lithuania's integration into Europe: Alternatives and choices — https://doi.org/10.15388/polit.1998.1.8</w:t>
      </w:r>
    </w:p>
    <w:p>
      <w:pPr/>
      <w:r>
        <w:rPr>
          <w:b/>
        </w:rPr>
        <w:t>Shared claim-specific concepts:</w:t>
      </w:r>
      <w:r>
        <w:t xml:space="preserve"> main, achieve, strategic, reasons, much, cannot; EU scope visible. This is a provisional connection, not an outcome finding.</w:t>
      </w:r>
    </w:p>
    <w:p>
      <w:pPr>
        <w:pStyle w:val="SourceNote"/>
      </w:pPr>
      <w:r>
        <w:rPr>
          <w:b/>
        </w:rPr>
        <w:t>Available abstract (not full text):</w:t>
      </w:r>
      <w:r>
        <w:t xml:space="preserve"> In the beginning of the article, the author postulates: "Lithuania's belonging to Europe is unquestionable". Thus, the main prospects for satisfying the national interests - namely, national security, economic welfare of the citizens, and maintenance of national identity - of Lithuania are tightly bound with the appertainance and further integration into the aforementioned area. However, G. Vitkus notifies, that in spite of the expressed wish of Lithuania saying that the country seeks entrance into European political, economic, and security organisations, in 1997, and particularly in summer 1997 in Madrid and in December in Luxembourg, it has finally become apparent that the delineated goals are not to be implemented easily. Nevertheless, the author claims that such a make-up of events is not to be viewed as a defeat. He says: "Postponement of the EU perspective, on the one hand, and ambiguity of the NATO perspective, on the other, have not only provided us with a chance to re-contemplate the vitality of our strategic choice, but has made us alert that Lithuania's integration into Europe cannot limit and confine itself to integration into these two structures. &lt;...&gt; Moreover, NATO and the EU membership ought to be taken not so much as goals but as a means in order to achieve higher goals - the implementation of Lithuania's national interests." The author argues that Lithuania, </w:t>
      </w:r>
    </w:p>
    <w:p>
      <w:pPr/>
      <w:r>
        <w:rPr>
          <w:b/>
        </w:rPr>
        <w:t>POSSIBLE 2025:</w:t>
      </w:r>
      <w:r>
        <w:t xml:space="preserve"> Strategic approach to digital transformation of public administration in Ukraine and European Union countries — https://doi.org/10.26565/1992-2337-2025-2-29</w:t>
      </w:r>
    </w:p>
    <w:p>
      <w:pPr/>
      <w:r>
        <w:rPr>
          <w:b/>
        </w:rPr>
        <w:t>Shared claim-specific concepts:</w:t>
      </w:r>
      <w:r>
        <w:t xml:space="preserve"> main, goal, need, achieve, strategic, strengthening; EU scope visible. This is a provisional connection, not an outcome finding.</w:t>
      </w:r>
    </w:p>
    <w:p>
      <w:pPr>
        <w:pStyle w:val="SourceNote"/>
      </w:pPr>
      <w:r>
        <w:rPr>
          <w:b/>
        </w:rPr>
        <w:t>Available abstract (not full text):</w:t>
      </w:r>
      <w:r>
        <w:t xml:space="preserve"> The article examines the mechanisms of digital transformation of public administration in Ukraine and the countries of the European Union, taking into account the strategic approach in the formation and implementation of government policies for the development of digital economies of countries. The need to analyze and determine the main priorities of digital transformations at the state and regional levels of government is substantiated. The article aims to analyze the existing mechanisms and processes of digital transformation of public administration in Ukraine and the countries of the European Union in order to determine promising strategic directions of digitalization in Ukraine in the context of the development of the digital economy and European integration. To achieve the goal, the authors solved several tasks: modern government strategies were identified, which are the foundation for further strengthening of the digital economy and digital transformations in public administration for 2020-2025 in Ukraine; the number of approved regulatory legal acts in the direction of informatization, e-government in Ukraine was systematized; international indices for assessing the processes of digitalization and the impact of digital technologies on the sphere of public administration and economic development of countries were analyzed; European Union countries that have open governme</w:t>
      </w:r>
    </w:p>
    <w:p>
      <w:pPr/>
      <w:r>
        <w:rPr>
          <w:b/>
        </w:rPr>
        <w:t>POSSIBLE 2025:</w:t>
      </w:r>
      <w:r>
        <w:t xml:space="preserve"> Strategic deployment of solar photovoltaics for achieving self-sufficiency in Europe throughout the energy transition — https://doi.org/10.1038/s41467-025-61492-9</w:t>
      </w:r>
    </w:p>
    <w:p>
      <w:pPr/>
      <w:r>
        <w:rPr>
          <w:b/>
        </w:rPr>
        <w:t>Shared claim-specific concepts:</w:t>
      </w:r>
      <w:r>
        <w:t xml:space="preserve"> need, achieve, strategic; EU scope visible. This is a provisional connection, not an outcome finding.</w:t>
      </w:r>
    </w:p>
    <w:p>
      <w:pPr>
        <w:pStyle w:val="SourceNote"/>
      </w:pPr>
      <w:r>
        <w:rPr>
          <w:b/>
        </w:rPr>
        <w:t>Available abstract (not full text):</w:t>
      </w:r>
      <w:r>
        <w:t xml:space="preserve"> Transition pathways for Europe to achieve carbon neutrality emphasize the need for a massive deployment of solar and wind energy. Global cost optimization would lead to installing most of the renewable capacity in a few resource-rich countries, but policy decisions could prioritize other factors. We investigate the effect of energy independence on Europe's energy system design. We show that self-sufficiency constraints lead to a more equitable distribution of costs and installed capacities across Europe. However, countries that typically depend on energy imports face cost increases of up to 150% to ensure that they cover their demand on an annual basis. Self-sufficiency particularly favors solar photovoltaic energy, and with declining PV module prices, alternative configurations like inverter dimensioning and horizontal tracking are beneficial enough to be part of the optimal solution for many countries. Moreover, we find that very high solar and wind annual installation rates are required, but they seem feasible considering recent historical trends.</w:t>
      </w:r>
    </w:p>
    <w:p>
      <w:pPr/>
      <w:r>
        <w:rPr>
          <w:b/>
        </w:rPr>
        <w:t>POSSIBLE 2025:</w:t>
      </w:r>
      <w:r>
        <w:t xml:space="preserve"> Roadmap Towards Achieving the Strategic Development Goals: From Lean Manufacturing to Circular Economy — https://doi.org/10.24857/rgsa.v19n4-055</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Objective: The objective of this study is update previous work with next steps and improve a methodological roadmap of implementation of Lean Manufacturing, Industry 5.0 and Circular Economy principles. Theoretical Framework: Numerous SMEs in Mexico have not embraced concepts such as lean manufacturing, lean management, Industry 5.0 or circular economy. Literature review of different continents and sectors, but no a clear path for SMEs to face nowadays challenges. Method: There were two main tools to find literature, Scopus and Google scholar tool, have been used to search for associated concepts and methods, Lean Manufacturing, Industry 5.0, Hoshin Kanri, Circular Economy, Triple Bottom Line, among others. Data collection was divided into two main categories, one, literature review and the second, case studies of application. Articles and bibliography from 2017 to 2024 as exclusion criteria. Results and Discussion: The main contribution is a modification of a roadmap for incorporating these concepts, after the positive results in the manufacturing sector, with meaningful results to be achieved. The link to a triple bottom line VSM and IPO diagram clarifies the output product and waste from the process and help prioritize the Kaizens or projects to be implemented and achieve the desired future state. Research Implications: Next steps will consider application of the improved ro</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main, discuss, light;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The European Union Development Policy and Achieving Sustainable Development Goals (SDGs) of the United Nations — https://doi.org/10.4018/979-8-3693-1742-6.ch020</w:t>
      </w:r>
    </w:p>
    <w:p>
      <w:pPr/>
      <w:r>
        <w:rPr>
          <w:b/>
        </w:rPr>
        <w:t>Shared claim-specific concepts:</w:t>
      </w:r>
      <w:r>
        <w:t xml:space="preserve"> main, discuss, achieve; EU scope visible. This is a provisional connection, not an outcome finding.</w:t>
      </w:r>
    </w:p>
    <w:p>
      <w:pPr>
        <w:pStyle w:val="SourceNote"/>
      </w:pPr>
      <w:r>
        <w:rPr>
          <w:b/>
        </w:rPr>
        <w:t>Available abstract (not full text):</w:t>
      </w:r>
      <w:r>
        <w:t xml:space="preserve">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pPr>
        <w:pStyle w:val="Heading2"/>
      </w:pPr>
      <w:r>
        <w:t>591.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all, electricity, germany;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German Economic Policy: Theory and Practice — https://doi.org/10.4324/9781003577898-15</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There is a popular image of the postwar German economy as the nearest European approximation to the American way of life. Private initiative is always preferred to public, and the state is kept vigorously in its place. Public enterprise and central planning under the aegis of the government are both firmly rejected. That at any rate is the political legend. It is not wholly false; such ideas as these genuinely express the intentions of those who have, since the end of the war, been responsible for the government of Germany. However, they do not entirely fit with the way in which the governors have in practice behaved.</w:t>
      </w:r>
    </w:p>
    <w:p>
      <w:pPr/>
      <w:r>
        <w:rPr>
          <w:b/>
        </w:rPr>
        <w:t>POSSIBLE 2024:</w:t>
      </w:r>
      <w:r>
        <w:t xml:space="preserve"> The Crisis of Hohenzollern Germany, 1906–16 — https://doi.org/10.4324/9781003572336-9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Prussian domination in Germany and German predominance in Europe fell together in 1918; but this destruction of Bismarck’s work was merely the open culmination of a process which had been in full swing for twelve years. 1906 marked the opening of the crisis in both home and foreign affairs: the authority of the Reich was challenged abroad, and the authority of the Chancellor was challenged at home. In 1905 the German government, estranged from both Russia and England, decided to seize the opportunity of Russia’s defeat in the Far East and of her revolution at home in order to force France under German protection and so deprive both Russia and England of any foothold in western Europe. This was the meaning of the ‘first Moroccan crisis’, a crisis deliberately provoked by the German government and achieving the dismissal of the French Foreign Minister, Delcassé, at German orders. But thereafter the crisis did not develop according to German plans. Bülow had always reckoned to work with political opinion, but the Moroccan crisis had been devised by the Foreign Office without any propaganda preparation, ‘cabinet diplomacy’ possible in the days of Bismarck, but ineffective in the age of demagogy and mass agitation.</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pStyle w:val="Heading2"/>
      </w:pPr>
      <w:r>
        <w:t>592.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2023:</w:t>
      </w:r>
      <w:r>
        <w:t xml:space="preserve"> Energy security of the European Union and corruption in Central Asia as the main challenges for the European sustainable energy future — https://doi.org/10.1186/s13705-023-00406-3</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Abstract Background The main goal of the paper is to define, analyze and assess the basic security, development and institutional challenges faced by the Central Asian countries after 2022. Following the Covid-19 pandemic, and with the outbreak of the Ukrainian crisis, Europe faced the need to find other sources of energy supply outside the Russian Federation. The Central Asian region is rich in energy resources and is therefore of special importance, but at the same time it is also a region of special geopolitical interest of often conflicting parties - the region for which there are limited information and insufficient academic literature about development, various aspects of security, internal specificities and future challenges. Methods The research included qualitative and quantitative analyses carried out for Kazakhstan, the Kyrgyz Republic, Turkmenistan, Uzbekistan and Tajikistan. Data processing was performed on the basis of 16 selected indicators in the fields of economy, energy, governance and climate change, for the time period from 2011 to 2021. Data processing was performed using the correlation and regression analysis (ANOVA). Results The results showed that energy policy and corruption represent one of the biggest problems faced by the countries of Central Asia, which strongly affects the energy security and sustainable development, not only of the countries of C</w:t>
      </w:r>
    </w:p>
    <w:p>
      <w:pPr>
        <w:pStyle w:val="Heading2"/>
      </w:pPr>
      <w:r>
        <w:t>593.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within, aim, conditions;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Prospects for the use of artificial intelligence to predict the spread of tuberculosis infection in the WHO European Region — https://doi.org/10.30978/tb2023-2-86</w:t>
      </w:r>
    </w:p>
    <w:p>
      <w:pPr/>
      <w:r>
        <w:rPr>
          <w:b/>
        </w:rPr>
        <w:t>Shared claim-specific concepts:</w:t>
      </w:r>
      <w:r>
        <w:t xml:space="preserve"> following, identify, conditions; EU scope visible. This is a provisional connection, not an outcome finding.</w:t>
      </w:r>
    </w:p>
    <w:p>
      <w:pPr>
        <w:pStyle w:val="SourceNote"/>
      </w:pPr>
      <w:r>
        <w:rPr>
          <w:b/>
        </w:rPr>
        <w:t>Available abstract (not full text):</w:t>
      </w:r>
      <w:r>
        <w:t xml:space="preserve">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pPr>
        <w:pStyle w:val="Heading2"/>
      </w:pPr>
      <w:r>
        <w:t>594.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r>
        <w:rPr>
          <w:b/>
        </w:rPr>
        <w:t>POSSIBLE 2025:</w:t>
      </w:r>
      <w:r>
        <w:t xml:space="preserve"> Economic Diplomacy at the Crossroads of Digitalization and Sustainability: A New Era of Policy Diversification — https://doi.org/10.2478/picbe-2025-0087</w:t>
      </w:r>
    </w:p>
    <w:p>
      <w:pPr/>
      <w:r>
        <w:rPr>
          <w:b/>
        </w:rPr>
        <w:t>Shared claim-specific concepts:</w:t>
      </w:r>
      <w:r>
        <w:t xml:space="preserve"> analyzing, shaped, crossroads; EU scope not established. This is a provisional connection, not an outcome finding.</w:t>
      </w:r>
    </w:p>
    <w:p>
      <w:pPr>
        <w:pStyle w:val="SourceNote"/>
      </w:pPr>
      <w:r>
        <w:rPr>
          <w:b/>
        </w:rPr>
        <w:t>Available abstract (not full text):</w:t>
      </w:r>
      <w:r>
        <w:t xml:space="preserve"> Abstract Economic diplomacy is now at the forefront of global policymaking, increasingly shaped by digital transformation and sustainability. In recent years, the United States has experienced significant changes driven by the contrasting approaches of the Trump and Biden administrations. Trump prioritized trade protectionism, deregulation, and technological advancement, while Biden focused on multilateral cooperation, sustainability, and Artificial Intelligence governance. With Trump’s return to office in 2025, economic diplomacy has shifted toward deregulated digital policies and a potential retreat from sustainability commitments. Existing research emphasizes the growing influence of digital platforms on public sentiment, yet many studies have focused on elections, overlooking the impact of key political events. This study addresses that gap by analyzing social media reactions to Trump’s 2025 inauguration, through a comprehensive sentiment analysis, using Machine Learning models. The results showed positive sentiments, surpassing negative and neutral reactions. Compared to election-period sentiment, the inauguration sparked more positive reactions, reflecting both symbolic optimism and expectations for economic and technological growth, while negative sentiments mainly focused on environmental concerns, revealing ongoing debates about the trade-offs between deregulation and </w:t>
      </w:r>
    </w:p>
    <w:p>
      <w:pPr/>
      <w:r>
        <w:rPr>
          <w:b/>
        </w:rPr>
        <w:t>POSSIBLE 2025:</w:t>
      </w:r>
      <w:r>
        <w:t xml:space="preserve"> Health in the climate crossroads : exploring the integration of health in climate policy and practice in Canada — https://openalex.org/W7116218288</w:t>
      </w:r>
    </w:p>
    <w:p>
      <w:pPr/>
      <w:r>
        <w:rPr>
          <w:b/>
        </w:rPr>
        <w:t>Shared claim-specific concepts:</w:t>
      </w:r>
      <w:r>
        <w:t xml:space="preserve"> four, crossroads; EU scope not established. This is a provisional connection, not an outcome finding.</w:t>
      </w:r>
    </w:p>
    <w:p>
      <w:pPr>
        <w:pStyle w:val="SourceNote"/>
      </w:pPr>
      <w:r>
        <w:rPr>
          <w:b/>
        </w:rPr>
        <w:t>Available abstract (not full text):</w:t>
      </w:r>
      <w:r>
        <w:t xml:space="preserve"> This doctoral thesis critically investigates the integration of health into climate adaptation policy and practice within the Canadian context. Through four empirical chapters, three of which have a particular focus on municipalities in British Columbia, it explores how health is understood, planned for, and acted upon in relation to climate change. This work is grounded in an analysis of interviews, planning documents, survey data, and a regional case study. Chapter 2 presents qualitative findings from interviews with local government leaders, examining their perceptions of climate-related health risks and their experiences with adaptation. It highlights governance gaps and calls for more multi-sectoral collaboration. Chapter 3 analyzes municipal climate action plans across British Columbia to assess how health is incorporated. While health risks are often acknowledged, the study finds limited integration of health systems or consideration of health co-benefits. The chapter recommends advancing a “Health in All Climate Policies” approach to strengthen cross-sector collaboration and public health responsiveness. In Chapter 4, survey data reveal that 23% of Canadians report experiencing physical health impacts from extreme weather events. Additionally, the survey shows that attitudes towards adaptation are influenced by a complex interplay of risk perception, health awareness, c</w:t>
      </w:r>
    </w:p>
    <w:p>
      <w:pPr/>
      <w:r>
        <w:rPr>
          <w:b/>
        </w:rPr>
        <w:t>POSSIBLE 2025:</w:t>
      </w:r>
      <w:r>
        <w:t xml:space="preserve"> Peer Review at the Crossroads — https://doi.org/10.31235/osf.io/b2ra3_v2</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impact on equity and epistemic norms.</w:t>
      </w:r>
    </w:p>
    <w:p>
      <w:pPr>
        <w:pStyle w:val="Heading2"/>
      </w:pPr>
      <w:r>
        <w:t>595.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r>
        <w:rPr>
          <w:b/>
        </w:rPr>
        <w:t>POSSIBLE 2025:</w:t>
      </w:r>
      <w:r>
        <w:t xml:space="preserve"> Climate Change 2022: Impacts, Adaptation and Vulnerability — https://doi.org/10.1163/9789004322714_cclc_2022-0258-0930</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pPr/>
      <w:r>
        <w:rPr>
          <w:b/>
        </w:rPr>
        <w:t>POSSIBLE 2025:</w:t>
      </w:r>
      <w:r>
        <w:t xml:space="preserve"> Optimizing ATM and ATC Procedures for Mitigating CO2 and Non-CO2 Emissions: The Role of Climate Impact Metrics — https://doi.org/10.20944/preprints202510.0967.v1</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This paper presents a comprehensive multidisciplinary review of recent advancements about the aviation emissions modeling methodologies and the related mitigation strategies through optimized in-flight operational procedures. With reference to the Terminal Manoeuvring Area (TMA), it critically examines current and emerging strategies, particularly those enabled by GNSS-based capabilities and Performance Based Navigation (PBN), to enhance aircraft efficiency and reduce fuel consumption and associated chemical emissions. The study also explores the state-of-the-art methodologies for modeling both CO₂ and non-CO₂ emissions and addresses the problem of contrails formation, highlighting the main relevant aspects that can be useful for the definition of future mitigation strategies. Furthermore, it analyzes evolving optimization techniques aimed at real-time 4D trajectory planning able to take into account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reported;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climate, mitigation, co2, union, use;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pStyle w:val="Heading2"/>
      </w:pPr>
      <w:r>
        <w:t>596.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environmental, north, despite;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Assessment of the climatic suitability for invasive agricultural insect pests in a warming Europe based on Köppen-Geiger classification — https://doi.org/10.1127/entomologia/3551</w:t>
      </w:r>
    </w:p>
    <w:p>
      <w:pPr/>
      <w:r>
        <w:rPr>
          <w:b/>
        </w:rPr>
        <w:t>Shared claim-specific concepts:</w:t>
      </w:r>
      <w:r>
        <w:t xml:space="preserve"> suitability, species, importance; EU scope visible. This is a provisional connection, not an outcome finding.</w:t>
      </w:r>
    </w:p>
    <w:p>
      <w:pPr>
        <w:pStyle w:val="SourceNote"/>
      </w:pPr>
      <w:r>
        <w:rPr>
          <w:b/>
        </w:rPr>
        <w:t>Available abstract (not full text):</w:t>
      </w:r>
      <w:r>
        <w:t xml:space="preserve"> Climate change can modify suitable areas for the establishment of harmful insect species in Europe, thus leading to a geographical shift of pest establishment areas.This paper aims to analyse the potential impact of future climate change on the climatic suitability areas of 14 invasive agricultural insect species in Europe.The approach is based on pest occurrence data and Köppen-Geiger (KG) climate classification.Depending on data availability, occurrence data were extracted from one/two types of open-access datasets, and the sensitivity of the results to different pest occurrence datasets was analysed.The KG maps under present (1991-2020) climate conditions and three future (2071-2099) climate change scenarios ('low-emissions', 'middle-of-the-road', 'high-emissions') were used successively to identify the KG classes where each pest was recorded present.These classes were then used to determine the potential climatic suitability of Europe for each insect species under current and future climate conditions, and identify possible shifts in suitable areas resulting from climate change.Results show that overall, the climatic suitability areas are likely to expand in Europe for most of the 14 insect species due to future climate change, and that the increase level would be higher under the 'high-emissions' and 'middle-of-the-road' scenarios than under the 'low-emissions' scenario.In</w:t>
      </w:r>
    </w:p>
    <w:p>
      <w:pPr/>
      <w:r>
        <w:rPr>
          <w:b/>
        </w:rPr>
        <w:t>POSSIBLE 2025:</w:t>
      </w:r>
      <w:r>
        <w:t xml:space="preserve"> Expanding habitat suitability under changing climate and land use may drive rapid expansion of Russell’s viper (Daboia russelii) in Bangladesh — https://doi.org/10.3897/herpetozoa.38.e143411</w:t>
      </w:r>
    </w:p>
    <w:p>
      <w:pPr/>
      <w:r>
        <w:rPr>
          <w:b/>
        </w:rPr>
        <w:t>Shared claim-specific concepts:</w:t>
      </w:r>
      <w:r>
        <w:t xml:space="preserve"> increasing, environmental, suitability, species, despite, important; EU scope not established. This is a provisional connection, not an outcome finding.</w:t>
      </w:r>
    </w:p>
    <w:p>
      <w:pPr>
        <w:pStyle w:val="SourceNote"/>
      </w:pPr>
      <w:r>
        <w:rPr>
          <w:b/>
        </w:rPr>
        <w:t>Available abstract (not full text):</w:t>
      </w:r>
      <w:r>
        <w:t xml:space="preserve"> Eco-climatic and other environmental gradients significantly influence the geographic distribution of reptiles. In Bangladesh, the known range of Russell’s viper (Daboia russelii) has expanded extensively in recent decades. Using species distribution modelling, we analysed habitat suitability, dispersal pathways, interspecific competition, and population dynamics to explore the drivers behind this phenomenon. Our findings indicate a five-fold increase in climatically suitable area (76,716 km²) since 2015, attributed to higher cold-season temperatures and increased dry-season precipitation, facilitating the viper’s spread into previously unoccupied regions. The rapid dispersal of these snakes may have benefited from the strong currents of rivers, channels and seasonal waterways, and flat floodplain terrain. Additionally, the extension of agricultural and grassy habitats in new regions has provided abundant rodent prey and minimal predator or competitor pressures, creating ideal conditions for population growth. We also observed a female-biased population structure and large clutch sizes which may have further accelerated reproduction, contributed to rapid population expansion. In rural Bangladesh, where clinicians face multiple problems with the management of Russell’s viper envenoming, increasingly frequent human encounters with this highly dangerous snake have caused great pub</w:t>
      </w:r>
    </w:p>
    <w:p>
      <w:pPr>
        <w:pStyle w:val="Heading2"/>
      </w:pPr>
      <w:r>
        <w:t>597.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2025:</w:t>
      </w:r>
      <w:r>
        <w:t xml:space="preserve"> Theoretical Foundations — https://doi.org/10.4324/9781003694625_ch14</w:t>
      </w:r>
    </w:p>
    <w:p>
      <w:pPr/>
      <w:r>
        <w:rPr>
          <w:b/>
        </w:rPr>
        <w:t>Shared claim-specific concepts:</w:t>
      </w:r>
      <w:r>
        <w:t xml:space="preserve"> analyse, theoretical, based; EU scope not established. This is a provisional connection, not an outcome finding.</w:t>
      </w:r>
    </w:p>
    <w:p>
      <w:pPr>
        <w:pStyle w:val="SourceNote"/>
      </w:pPr>
      <w:r>
        <w:rPr>
          <w:b/>
        </w:rPr>
        <w:t>Available abstract (not full text):</w:t>
      </w:r>
      <w:r>
        <w:t xml:space="preserve"> The four TPACK course (re)design professional development modules developed in the MARCH ET project are based on five theoretical foundations. Understanding these theoretical foundations helps us comprehend the modules’ course design and the considerations that go into choosing it. The first theoretical foundation is ‘social constructivism,’ which is an approach to good teaching and learning. The second theoretical foundation is the pedagogical design of the modules, which is based on an old but still very useful ‘pedagogical model’ developed by Van Gelder (1970) , referred to in Dutch as the didactische analyse model (DA model). The third theoretical foundation is the revised Bloom’s Taxonomy (Anderson &amp; Krathwohl, 2001) for defining learning outcomes (often called ‘learning objectives’). The fourth theoretical foundation is Biggs ‘constructive alignment’ of learning outcomes, the learning process and assessments ( Biggs, 2003 ), a widely accepted principle of pedagogically sound course design. The fifth and final foundation is the ‘action research’ approach. It is used as a reflection method by the participants in their own teaching practice.</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theoretical, foresight, well, both;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pStyle w:val="Heading2"/>
      </w:pPr>
      <w:r>
        <w:t>598.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Perceptions of homosexuality in Nigeria : A phenomenological study of five Nigerians in Finland — https://openalex.org/W7115245172</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Individuals migrating from developing countries to Western societies may experience shifts in their beliefs and attitudes toward homosexual people. Limited studies have focused on migrants’ perceptions after relocating from one country to another, particularly from a social exclusion lens. Therefore, this study sought to investigate migrant perception both during their time living in Nigeria and after moving to Finland through a qualitative approach, focusing on the perspectives of Nigerians residing in Finland. The sample consists of five individuals who represent a range of education, interests, and employment backgrounds. The qualitative data was collected from the interview sessions, and this study revealed that Nigerians living in Finland have a better understanding of Homosexuality. This study showed that the perception of Nigerians of homosexual people have changed after relocating to Finland. This study also revealed factors related to the social exclusion of homosexual people in Nigeria, such as culture, religion, policy, and law. It can be concluded that there is a change in perception, beliefs, and attitudes towards homosexual people. It is recommended that there is a need to organize seminars or workshops and sensitization programs that would foster understanding and empathy to promote the rights of people to be able to live freely as human irrespective of the ident</w:t>
      </w:r>
    </w:p>
    <w:p>
      <w:pPr/>
      <w:r>
        <w:rPr>
          <w:b/>
        </w:rPr>
        <w:t>POSSIBLE 2025:</w:t>
      </w:r>
      <w:r>
        <w:t xml:space="preserve"> Abandoning renewable energy projects in Europe and South America: An emerging consideration in the recycling of energy landscapes — https://doi.org/10.1016/j.esd.2025.101676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Landscape legacies of conventional energy development are vast. Mines, well fields, power plants, sub-stations, refineries, and disposal sites have been accumulating for more than a century. We know these energy landscapes exist, but we are uncertain what to do with them once their initial function is completed. Can they be used for any future purpose; that is, can they be “recycled”? As we gradually shift to renewable energy resources for all the benefits they promise, we are becoming aware that we will be facing similar end-of-life questions about the unique landscapes they are creating. What is their landscape legacy? This paper expands on growing attention to recycling conventional energy landscapes by introducing the circumstances regarding renewable energy landscapes. It addresses the first stages in consideration of these questions as they pertain to the abandonment of renewable energy infrastructures in Europe and South America. Based on reconstructive and comparative analysis of examples of abandoned wind farms, we found that there are barriers to formal decommissioning of these facilities, leaving recycling options as open questions. The main conclusion is that abandoned wind farms are consequences of gaps and weaknesses in the regulations on decommissioning of renewable energy infrastructures, in particular in case of installations abandoned before reaching their ope</w:t>
      </w:r>
    </w:p>
    <w:p>
      <w:pPr/>
      <w:r>
        <w:rPr>
          <w:b/>
        </w:rPr>
        <w:t>POSSIBLE 2025:</w:t>
      </w:r>
      <w:r>
        <w:t xml:space="preserve"> A computational analysis of the media coverage of the European Parliament's ‘green' Designation on sustainable energy and climate change — https://doi.org/10.1016/j.enpol.2025.114592</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Energy is pivotal to the sustainable development agenda for 2030. In this context, nuclear energy emerges as a potential solution for renewable energy development and carbon dioxide mitigation. However, the Russian invasion of Ukraine in 2022 exacerbated global energy concerns, leading to a surge in fuel prices and an economic slowdown, prompting the European Parliament to designate nuclear energy investments as "green." Despite the potential of nuclear energy in advancing sustainability goals, public perception, influenced by historical negative narratives and media coverage, remains a challenge. This article examines the impact of the European Parliament's decision on the news flow and coverage about sustainability, climate change, and nuclear energy in the global media. By analysing seven months of global news coverage, a total of 7822 news stories in English were selected. Through descriptive analysis and unsupervised topic modelling Latent Dirichlet Allocation (LDA) machine learning techniques, this study explores trends in news content and coverage, shedding light on the intersection of energy policies, and media coverage. • The adoption of the Complementary Delegated Act marks a pivotal shift in framing nuclear energy as a sustainable investment. • Media coverage of the Delegated Act was limited, overshadowed by the Russia-Ukraine war. • Topic modelling revealed five the</w:t>
      </w:r>
    </w:p>
    <w:p>
      <w:pPr/>
      <w:r>
        <w:rPr>
          <w:b/>
        </w:rPr>
        <w:t>POSSIBLE 2025:</w:t>
      </w:r>
      <w:r>
        <w:t xml:space="preserve"> Nuclear Energy in Finland — https://doi.org/10.21029/jael.2025.38.91</w:t>
      </w:r>
    </w:p>
    <w:p>
      <w:pPr/>
      <w:r>
        <w:rPr>
          <w:b/>
        </w:rPr>
        <w:t>Shared claim-specific concepts:</w:t>
      </w:r>
      <w:r>
        <w:t xml:space="preserve"> article, five, energy, finland; EU scope visible. This is a provisional connection, not an outcome finding.</w:t>
      </w:r>
    </w:p>
    <w:p>
      <w:pPr>
        <w:pStyle w:val="SourceNote"/>
      </w:pPr>
      <w:r>
        <w:rPr>
          <w:b/>
        </w:rPr>
        <w:t>Available abstract (not full text):</w:t>
      </w:r>
      <w:r>
        <w:t xml:space="preserve"> Finland has an ambitious decarbonisation agenda aiming for climate neutrality by 2035. The country relies significantly on nuclear power to meet its energy needs. Finland operates five nuclear reactors across two power plants, with a combined capacity of over 4,000 MWe. Finland is also a global leader in nuclear waste management, hosting the world’s first permanent underground repository for spent nuclear fuel at Onkalo. This article provides a comprehensive overview of nuclear energy in Finland, focusing on its current state, regulatory framework, and future prospects. The regulatory framework governing nuclear energy in Finland is robust, involving multiple authorities and a detailed licensing procedure. Recent trends indicate a growing interest in small modular reactors for district heating and power production, necessitating potential legislative reforms to accommodate these technologies.</w:t>
      </w:r>
    </w:p>
    <w:p>
      <w:pPr/>
      <w:r>
        <w:rPr>
          <w:b/>
        </w:rPr>
        <w:t>POSSIBLE 2025:</w:t>
      </w:r>
      <w:r>
        <w:t xml:space="preserve"> Improving Finnish fisheries—aquaculture policies and practices in Finland from the 1850s to the 1960s — https://doi.org/10.1007/s12685-025-00364-x</w:t>
      </w:r>
    </w:p>
    <w:p>
      <w:pPr/>
      <w:r>
        <w:rPr>
          <w:b/>
        </w:rPr>
        <w:t>Shared claim-specific concepts:</w:t>
      </w:r>
      <w:r>
        <w:t xml:space="preserve"> article, finland, discussion; EU scope visible. This is a provisional connection, not an outcome finding.</w:t>
      </w:r>
    </w:p>
    <w:p>
      <w:pPr>
        <w:pStyle w:val="SourceNote"/>
      </w:pPr>
      <w:r>
        <w:rPr>
          <w:b/>
        </w:rPr>
        <w:t>Available abstract (not full text):</w:t>
      </w:r>
      <w:r>
        <w:t xml:space="preserve"> Abstract In the advent of the twenty-first century, Finnish people consume fish that is either imported or farmed. A century earlier, most fish consumed was local and wild. Following the modernisation of agriculture that begun in the 1870s, nascent aquaculture was enthusiastically discussed as a method to rationalise fishing. Aquaculture was considered as a novel solution to support the stocks of the most valuable native species and to introduce new fish species for human consumption. Yet commercial aquaculture changed to hatching as the best method for replenishing local fisheries. Local landowners moreover continued to transfer regionally valuable fish species achieving marked success in supporting local fisheries and in creating new fisheries, too. This article analyses the evolution of aquaculture in Finland from the early 1850s to the late 1960s. The improvement of Finnish fisheries was portrayed in a new scientific discourse of fishing as manipulation of fish stocks to increase annual catches. Native fish species were classified according to their commercial value. Hence, the scientific discussion of fishing and aquaculture shared similar policy aims but different practical means. This article thus depicts the main trends and changes in the (pre)history of Finnish aquaculture addressing a rarely discussed theme in environmental history by looking how life beneath the wave</w:t>
      </w:r>
    </w:p>
    <w:p>
      <w:pPr/>
      <w:r>
        <w:rPr>
          <w:b/>
        </w:rPr>
        <w:t>POSSIBLE 2025:</w:t>
      </w:r>
      <w:r>
        <w:t xml:space="preserve"> Energy Resilience as a Challenge for the European Union in Times of Energy Crisis — https://doi.org/10.14746/pp.2025.30.3.3</w:t>
      </w:r>
    </w:p>
    <w:p>
      <w:pPr/>
      <w:r>
        <w:rPr>
          <w:b/>
        </w:rPr>
        <w:t>Shared claim-specific concepts:</w:t>
      </w:r>
      <w:r>
        <w:t xml:space="preserve"> article, energy, important; EU scope visible. This is a provisional connection, not an outcome finding.</w:t>
      </w:r>
    </w:p>
    <w:p>
      <w:pPr>
        <w:pStyle w:val="SourceNote"/>
      </w:pPr>
      <w:r>
        <w:rPr>
          <w:b/>
        </w:rPr>
        <w:t>Available abstract (not full text):</w:t>
      </w:r>
      <w:r>
        <w:t xml:space="preserve"> Energy resilience is an important paradigm in energy security research, as it allows for the analysis of many aspects of the functioning of the energy system. The main aim of the article is to analyse the process of strengthening the EU’s energy resilience during the energy crisis following the outbreak of Russia’s war in Ukraine. The questions posed in the research include: what types of risks the EU is exposed to in the energy sector, whether and to what extent the EU is strengthening its energy resilience, what are the dimensions of this resilience, was the EU prepared for the energy crisis, what is the current level of the EU’s energy resilience. Various methods were used in the research: critical qualitative analysis of documents and reports as well as scientific literature, process tracing analysis of EU energy policy, analysis of statistical data on energy. The research puts forward the thesis that the EU insufficiently identified the most important risks to energy resilience by 2022 and only began to intensively strengthen it after Russia’s military invasion of Ukraine. However, the level of this resilience is still not satisfactory, as indicated by the criteria used in the research.</w:t>
      </w:r>
    </w:p>
    <w:p>
      <w:pPr>
        <w:pStyle w:val="Heading2"/>
      </w:pPr>
      <w:r>
        <w:t>599.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2025:</w:t>
      </w:r>
      <w:r>
        <w:t xml:space="preserve"> Transformations Along the Periphery – The Growing Role of Islam in Malta in the Decade Following the Arab Spring — https://doi.org/10.71069/ipr2.25.mc07</w:t>
      </w:r>
    </w:p>
    <w:p>
      <w:pPr/>
      <w:r>
        <w:rPr>
          <w:b/>
        </w:rPr>
        <w:t>Shared claim-specific concepts:</w:t>
      </w:r>
      <w:r>
        <w:t xml:space="preserve"> given, growing, role, challenges; EU scope visible. This is a provisional connection, not an outcome finding.</w:t>
      </w:r>
    </w:p>
    <w:p>
      <w:pPr>
        <w:pStyle w:val="SourceNote"/>
      </w:pPr>
      <w:r>
        <w:rPr>
          <w:b/>
        </w:rPr>
        <w:t>Available abstract (not full text):</w:t>
      </w:r>
      <w:r>
        <w:t xml:space="preserve"> This article examines the increasing role of Islam in Malta in the decade following the onset of the Arab Spring, a development largely driven by rising migration levels toward Europe. The study begins with a historical overview of Islam’s presence in Malta, followed by an analysis of available statistical data regarding the country’s Muslim population. Lastly, the article explores specific challenges faced by Maltese Muslims that are of significant importance to this religious group. The research is based on official state documents concerning demographic trends, reports from international organizations, materials published in local media, and insights from spiritual leaders and public figures. The study concludes that, given the sustained high levels of migration, the influence of Islam in Malta is likely to continue growing.</w:t>
      </w:r>
    </w:p>
    <w:p>
      <w:pPr/>
      <w:r>
        <w:rPr>
          <w:b/>
        </w:rPr>
        <w:t>POSSIBLE 2025:</w:t>
      </w:r>
      <w:r>
        <w:t xml:space="preserve"> Leveraging GenAI for technology foresight — https://doi.org/10.1017/pds.2025.10236</w:t>
      </w:r>
    </w:p>
    <w:p>
      <w:pPr/>
      <w:r>
        <w:rPr>
          <w:b/>
        </w:rPr>
        <w:t>Shared claim-specific concepts:</w:t>
      </w:r>
      <w:r>
        <w:t xml:space="preserve"> growing, technological, foresight, challenges; EU scope not established. This is a provisional connection, not an outcome finding.</w:t>
      </w:r>
    </w:p>
    <w:p>
      <w:pPr>
        <w:pStyle w:val="SourceNote"/>
      </w:pPr>
      <w:r>
        <w:rPr>
          <w:b/>
        </w:rPr>
        <w:t>Available abstract (not full text):</w:t>
      </w:r>
      <w:r>
        <w:t xml:space="preserve"> ABSTRACT: Facing increasingly dynamic market environments and global challenges such as climate change and resource scarcity, companies are under constant pressure to innovate and remain competitive. As technology is a key enabler, companies need to understand the drivers of technological change. Technology Foresight systematically identifies and analyzes emerging technologies to support engineering design decisions. However, the growing volume of data is outpacing manual processing capabilities. This research explores the integration of Generative AI to enhance Technology Foresight by automating technology analysis and information synthesis. This paper presents a comprehensive problem analysis, reviews existing solutions, and proposes a framework that demonstrates the potential of Large Language Models combined with a Retrieval Augmented Generation architecture to transform Technology Foresight.</w:t>
      </w:r>
    </w:p>
    <w:p>
      <w:pPr/>
      <w:r>
        <w:rPr>
          <w:b/>
        </w:rPr>
        <w:t>POSSIBLE 2025:</w:t>
      </w:r>
      <w:r>
        <w:t xml:space="preserve"> The growing role of genomics and genetics in the management of cardiovascular diseases — https://doi.org/10.1093/eurheartj/ehaf1019</w:t>
      </w:r>
    </w:p>
    <w:p>
      <w:pPr/>
      <w:r>
        <w:rPr>
          <w:b/>
        </w:rPr>
        <w:t>Shared claim-specific concepts:</w:t>
      </w:r>
      <w:r>
        <w:t xml:space="preserve"> given, growing, role, approach; EU scope visible. This is a provisional connection, not an outcome finding.</w:t>
      </w:r>
    </w:p>
    <w:p>
      <w:pPr>
        <w:pStyle w:val="SourceNote"/>
      </w:pPr>
      <w:r>
        <w:rPr>
          <w:b/>
        </w:rPr>
        <w:t>Available abstract (not full text):</w:t>
      </w:r>
      <w:r>
        <w:t xml:space="preserve"> For the podcast associated with this article, please visit https://academic.oup.com/eurheartj/pages/Podcasts. This Focus Issue on genetics starts with a Viewpoint article entitled ‘Education in cardiovascular genomics and genetics: time for action’ by Giuseppe Limongelli from The University of Campania Luigi Vanvitelli in Naples, Italy, and colleagues which address the important topic of education in cardiogenetics and cardiogenomics, an emerging field in cardiology, with progressive and targeted education needs for students, scientists, clinicians, and different healthcare professional figures.1 In December 2024, the European Society of Cardiology (ESC) Council for Cardiogenomics met to discuss the current state of the art in cardiovascular genetic medicine enriched by several recent excellent publications.2–11 The group sought to address a key question in contemporary cardiology: namely, is it time to include education in cardiovascular genetics and genomics in the core training for cardiologists? The answer was an unequivocal yes, given its potential to improve the diagnosis and treatment of cardiovascular disease. However, the challenge lay in determining the most effective means of achieving this goal. Certain genetic forms of dilated cardiomyopathy (DCM) entail a higher arrhythmic risk. It is unknown whether DCM patients with high-risk arrhythmic genotypes also develop mo</w:t>
      </w:r>
    </w:p>
    <w:p>
      <w:pPr>
        <w:pStyle w:val="Heading2"/>
      </w:pPr>
      <w:r>
        <w:t>600.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2025:</w:t>
      </w:r>
      <w:r>
        <w:t xml:space="preserve"> Plural Values of Culture in Europe — https://openalex.org/W7137507789</w:t>
      </w:r>
    </w:p>
    <w:p>
      <w:pPr/>
      <w:r>
        <w:rPr>
          <w:b/>
        </w:rPr>
        <w:t>Shared claim-specific concepts:</w:t>
      </w:r>
      <w:r>
        <w:t xml:space="preserve"> resulted, three, alternative;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different, focus, need, active;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Community visioning — https://doi.org/10.4337/9781802208870.00046</w:t>
      </w:r>
    </w:p>
    <w:p>
      <w:pPr/>
      <w:r>
        <w:rPr>
          <w:b/>
        </w:rPr>
        <w:t>Shared claim-specific concepts:</w:t>
      </w:r>
      <w:r>
        <w:t xml:space="preserve"> visioning, different, local; EU scope not established. This is a provisional connection, not an outcome finding.</w:t>
      </w:r>
    </w:p>
    <w:p>
      <w:pPr>
        <w:pStyle w:val="SourceNote"/>
      </w:pPr>
      <w:r>
        <w:rPr>
          <w:b/>
        </w:rPr>
        <w:t>Available abstract (not full text):</w:t>
      </w:r>
      <w:r>
        <w:t xml:space="preserve"> This chapter provides an overview of community visioning (CV) and its significance in Social Impact Assessment (SIA), particularly in social investment projects related to large footprint activities such as mines or dams. The chapter highlights the practical approaches used to engage local communities and other stakeholders in CV processes and explore various issues such as power dynamics. CV is a collaborative and inclusive community planning process aimed at establishing goals for the future of a community. In the CV process, community members come together to identify their current and preferred collective identity, purpose, and values and develop a shared vision of their future. The chapter further provides examples of the use of CV in different parts of the world, emphasising its role in promoting ownership of the outcome of the process and creating a platform for local community members to collaborate with other stakeholders and develop common priorities and actions.</w:t>
      </w:r>
    </w:p>
    <w:p>
      <w:pPr/>
      <w:r>
        <w:rPr>
          <w:b/>
        </w:rPr>
        <w:t>POSSIBLE 2023:</w:t>
      </w:r>
      <w:r>
        <w:t xml:space="preserve"> Pre-Visions: First Results of the EDEN Fellows Survey on the Futures of Learning — https://doi.org/10.5334/uproc.103</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pPr>
        <w:pStyle w:val="Heading2"/>
      </w:pPr>
      <w:r>
        <w:t>601.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Wavelet-based tools to analyze, filter, and reconstruct transient gravitational-wave signals — https://doi.org/10.1103/physrevd.109.102010</w:t>
      </w:r>
    </w:p>
    <w:p>
      <w:pPr/>
      <w:r>
        <w:rPr>
          <w:b/>
        </w:rPr>
        <w:t>Shared claim-specific concepts:</w:t>
      </w:r>
      <w:r>
        <w:t xml:space="preserve"> filtering, limited, comparing, those; EU scope not established. This is a provisional connection, not an outcome finding.</w:t>
      </w:r>
    </w:p>
    <w:p>
      <w:pPr>
        <w:pStyle w:val="SourceNote"/>
      </w:pPr>
      <w:r>
        <w:rPr>
          <w:b/>
        </w:rPr>
        <w:t>Available abstract (not full text):</w:t>
      </w:r>
      <w:r>
        <w:t xml:space="preserve"> The analysis of gravitational-wave signals is one of the most challenging application areas of signal processing, because of the extreme weakness of these signals and of the great complexity of gravitational-wave detectors. Wavelet transforms are specially helpful in detecting and analyzing gravitational-wave transients and several analysis pipelines are based on these transforms, both continuous and discrete. While discrete wavelet transforms have distinct advantages in terms of computing efficiency, continuous wavelet transforms (CWT) produce smooth and visually stunning time-frequency maps where the wavelet energy is displayed in terms of time and frequency. In addition to wavelets, short-time Fourier transforms (STFT) and Stockwell transforms (ST) are also used, or the $Q$-transform, which is a Morlet waveletlike transform where the width of the Gaussian envelope is parametrized by a parameter denoted by $Q$ [Chatterji et al., Classical Quantum Gravity 21, S1809 (2004)]. To date, the use of CWTs in gravitational-wave data analysis has been limited by the higher computational load when compared with discrete wavelets, and also by the lack of an inversion formula for wavelet families that do not satisfy the admissibility condition. In this paper we consider Morlet wavelets parametrized in the same way as the Q-transform (hence the name wavelet Q-transform) which have all the </w:t>
      </w:r>
    </w:p>
    <w:p>
      <w:pPr/>
      <w:r>
        <w:rPr>
          <w:b/>
        </w:rPr>
        <w:t>POSSIBLE 2024:</w:t>
      </w:r>
      <w:r>
        <w:t xml:space="preserve"> EuroLLM: Multilingual Language Models for Europe — https://doi.org/10.48550/arxiv.2409.16235</w:t>
      </w:r>
    </w:p>
    <w:p>
      <w:pPr/>
      <w:r>
        <w:rPr>
          <w:b/>
        </w:rPr>
        <w:t>Shared claim-specific concepts:</w:t>
      </w:r>
      <w:r>
        <w:t xml:space="preserve"> filtering, made; EU scope visible. This is a provisional connection, not an outcome finding.</w:t>
      </w:r>
    </w:p>
    <w:p>
      <w:pPr>
        <w:pStyle w:val="SourceNote"/>
      </w:pPr>
      <w:r>
        <w:rPr>
          <w:b/>
        </w:rPr>
        <w:t>Available abstract (not full text):</w:t>
      </w:r>
      <w:r>
        <w:t xml:space="preserve"> The quality of open-weight LLMs has seen significant improvement, yet they remain predominantly focused on English. In this paper, we introduce the EuroLLM project, aimed at developing a suite of open-weight multilingual LLMs capable of understanding and generating text in all official European Union languages, as well as several additional relevant languages. We outline the progress made to date, detailing our data collection and filtering process, the development of scaling laws, the creation of our multilingual tokenizer, and the data mix and modeling configurations. Additionally, we release our initial models: EuroLLM-1.7B and EuroLLM-1.7B-Instruct and report their performance on multilingual general benchmarks and machine translation.</w:t>
      </w:r>
    </w:p>
    <w:p>
      <w:pPr/>
      <w:r>
        <w:rPr>
          <w:b/>
        </w:rPr>
        <w:t>POSSIBLE 2024:</w:t>
      </w:r>
      <w:r>
        <w:t xml:space="preserve"> CoLoR-Filter: Conditional Loss Reduction Filtering for Targeted Language Model Pre-training — https://doi.org/10.52202/079017-3097</w:t>
      </w:r>
    </w:p>
    <w:p>
      <w:pPr/>
      <w:r>
        <w:rPr>
          <w:b/>
        </w:rPr>
        <w:t>Shared claim-specific concepts:</w:t>
      </w:r>
      <w:r>
        <w:t xml:space="preserve"> filtering, values; EU scope not established. This is a provisional connection, not an outcome finding.</w:t>
      </w:r>
    </w:p>
    <w:p>
      <w:pPr>
        <w:pStyle w:val="SourceNote"/>
      </w:pPr>
      <w:r>
        <w:rPr>
          <w:b/>
        </w:rPr>
        <w:t>Available abstract (not full text):</w:t>
      </w:r>
      <w:r>
        <w:t xml:space="preserve"> Selecting high-quality data for pre-training is crucial in shaping the downstream task performance of language models. A major challenge lies in identifying this optimal subset, a problem generally considered intractable, thus necessitating scalable and effective heuristics. In this work, we propose a data selection method, CoLoR-Filter (Conditional Loss Reduction Filtering), which leverages an empirical Bayes-inspired approach to derive a simple and computationally efficient selection criterion based on the relative loss values of two auxiliary models. In addition to the modeling rationale, we evaluate CoLoR-Filter empirically on two language modeling tasks: (1) selecting data from C4 for domain adaptation to evaluation on Books and (2) selecting data from C4 for a suite of downstream multiple-choice question answering tasks. We demonstrate favorable scaling both as we subselect more aggressively and using small auxiliary models to select data for large target models. As one headline result, CoLoR-Filter data selected using a pair of 150m parameter auxiliary models can train a 1.2b parameter target model to match a 1.2b parameter model trained on 25b randomly selected tokens with 25x less data for Books and 11x less data for the downstream tasks. Code: https://github.com/davidbrandfonbrener/color-filter-olmo Filtered data: https://huggingface.co/datasets/davidbrandfonbrener/co</w:t>
      </w:r>
    </w:p>
    <w:p>
      <w:pPr/>
      <w:r>
        <w:rPr>
          <w:b/>
        </w:rPr>
        <w:t>POSSIBLE 2024:</w:t>
      </w:r>
      <w:r>
        <w:t xml:space="preserve"> Missci: Reconstructing Fallacies in Misrepresented Science — https://doi.org/10.18653/v1/2024.acl-long.240</w:t>
      </w:r>
    </w:p>
    <w:p>
      <w:pPr/>
      <w:r>
        <w:rPr>
          <w:b/>
        </w:rPr>
        <w:t>Shared claim-specific concepts:</w:t>
      </w:r>
      <w:r>
        <w:t xml:space="preserve"> reconstructing, current; EU scope not established. This is a provisional connection, not an outcome finding.</w:t>
      </w:r>
    </w:p>
    <w:p>
      <w:pPr>
        <w:pStyle w:val="SourceNote"/>
      </w:pPr>
      <w:r>
        <w:rPr>
          <w:b/>
        </w:rPr>
        <w:t>Available abstract (not full text):</w:t>
      </w:r>
      <w:r>
        <w:t xml:space="preserve"> Health-related misinformation on social networks can lead to poor decision-making and real-world dangers.Such misinformation often misrepresents scientific publications and cites them as "proof" to gain perceived credibility.To effectively counter such claims automatically, a system must explain how the claim was falsely derived from the cited publication.Current methods for automated fact-checking or fallacy detection neglect to assess the (mis)used evidence in relation to misinformation claims, which is required to detect the mismatch between them.To address this gap, we introduce MISSCI, a novel argumentation theoretical model for fallacious reasoning together with a new dataset for real-world misinformation detection that misrepresents biomedical publications.Unlike previous fallacy detection datasets, MISSCI (i) focuses on implicit fallacies between the relevant content of the cited publication and the inaccurate claim, and (ii) requires models to verbalize the fallacious reasoning in addition to classifying it.We present MISSCI as a dataset to test the critical reasoning abilities of large language models (LLMs), which are required to reconstruct real-world fallacious arguments, in a zero-shot setting.We evaluate two representative LLMs and the impact of providing different levels of detail about the fallacy classes to the LLMs via prompts.Our experiments and human evalua</w:t>
      </w:r>
    </w:p>
    <w:p>
      <w:pPr/>
      <w:r>
        <w:rPr>
          <w:b/>
        </w:rPr>
        <w:t>POSSIBLE 2023:</w:t>
      </w:r>
      <w:r>
        <w:t xml:space="preserve"> Convoluted filtering for process cycle modeling — https://doi.org/10.1002/eng2.12657</w:t>
      </w:r>
    </w:p>
    <w:p>
      <w:pPr/>
      <w:r>
        <w:rPr>
          <w:b/>
        </w:rPr>
        <w:t>Shared claim-specific concepts:</w:t>
      </w:r>
      <w:r>
        <w:t xml:space="preserve"> after, filtering, limited; EU scope not established. This is a provisional connection, not an outcome finding.</w:t>
      </w:r>
    </w:p>
    <w:p>
      <w:pPr>
        <w:pStyle w:val="SourceNote"/>
      </w:pPr>
      <w:r>
        <w:rPr>
          <w:b/>
        </w:rPr>
        <w:t>Available abstract (not full text):</w:t>
      </w:r>
      <w:r>
        <w:t xml:space="preserve"> Abstract Principles of materials science and engineering, physics, mathematics, and information science are used to extract knowledge and insights from the process‐structure–property‐performance relationships hidden in materials data. The process‐structure modeling can be accelerated without loss of interpretability, with artificial intelligence tools that mimic the salient features of the process and process‐structure relations. In this work, a novel convoluted model‐filtering technique was exploited to build and successfully train the Convoluted Filter (CoFi) artifacts for Fe‐based alloy heat treatment cycles. The artifacts were pre‐trained to filter out deep models that change the surrogate microstructure state after the heat treatment at ambient conditions. Direct representation of the thermal cycle features within knowledge Graph facilitated development of meaningful data models for microstructure evolution, which reduce overfitting to limited datasets.</w:t>
      </w:r>
    </w:p>
    <w:p>
      <w:pPr>
        <w:pStyle w:val="Heading2"/>
      </w:pPr>
      <w:r>
        <w:t>602.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r>
        <w:rPr>
          <w:b/>
        </w:rPr>
        <w:t>POSSIBLE 2025:</w:t>
      </w:r>
      <w:r>
        <w:t xml:space="preserve"> Future heat-related mortality in Europe driven by compound day-night heatwaves and demographic shifts — https://doi.org/10.1038/s41467-025-62871-y</w:t>
      </w:r>
    </w:p>
    <w:p>
      <w:pPr/>
      <w:r>
        <w:rPr>
          <w:b/>
        </w:rPr>
        <w:t>Shared claim-specific concepts:</w:t>
      </w:r>
      <w:r>
        <w:t xml:space="preserve"> mortality, high, all, increase, heat; EU scope visible. This is a provisional connection, not an outcome finding.</w:t>
      </w:r>
    </w:p>
    <w:p>
      <w:pPr>
        <w:pStyle w:val="SourceNote"/>
      </w:pPr>
      <w:r>
        <w:rPr>
          <w:b/>
        </w:rPr>
        <w:t>Available abstract (not full text):</w:t>
      </w:r>
      <w:r>
        <w:t xml:space="preserve"> Anthropogenic climate change is driving summer heat toward more humid conditions, accompanied by more frequent day-night compound heat extremes (high temperatures during both day and night). As the fast-warming and aging continent, Europe faces escalating heat-related health risks. Here, we projected future heat-related mortality in Europe using a distributed lag nonlinear model that incorporates humid heat and compound heat extremes, strengthened by a health risk-based definition of extreme heat and a scenario matrix integrating time-varying adaptation trajectories. Under 2010–2019 adaptation baselines, future heat-related mortality is projected to increase annually by 103.7-135.1 deaths per million people by 2100 across various population-climate scenarios for every degree of global warming, with Western and Eastern Europe suffering the most. If global warming exceeds 2 °C, climate change will dominate (84.0–96.8%) projected increase in heat-related mortality. Across all socioeconomic pathways, even a 50% reduction in heat-related relative risk through physiological adaptation will be insufficient to offset the climate change-driven escalation of future heat-related mortality. This study projects heat-related mortality in Europe across various adaptation scenarios by modelling humid and compound day-night heat, using a health-based heat definition. Without heat adaptation, mo</w:t>
      </w:r>
    </w:p>
    <w:p>
      <w:pPr/>
      <w:r>
        <w:rPr>
          <w:b/>
        </w:rPr>
        <w:t>POSSIBLE 2025:</w:t>
      </w:r>
      <w:r>
        <w:t xml:space="preserve"> The effectiveness of heat prevention plans in reducing heat-related mortality across Europe — https://doi.org/10.1088/1748-9326/ae2775</w:t>
      </w:r>
    </w:p>
    <w:p>
      <w:pPr/>
      <w:r>
        <w:rPr>
          <w:b/>
        </w:rPr>
        <w:t>Shared claim-specific concepts:</w:t>
      </w:r>
      <w:r>
        <w:t xml:space="preserve"> mortality, all, countries, significant, heat; EU scope visible. This is a provisional connection, not an outcome finding.</w:t>
      </w:r>
    </w:p>
    <w:p>
      <w:pPr>
        <w:pStyle w:val="SourceNote"/>
      </w:pPr>
      <w:r>
        <w:rPr>
          <w:b/>
        </w:rPr>
        <w:t>Available abstract (not full text):</w:t>
      </w:r>
      <w:r>
        <w:t xml:space="preserve"> Heat-health warning systems and action plans, referred to as heat prevention plans (HPPs), are key public health interventions aimed at reducing heat-related mortality. Despite their importance, prior assessments of their effectiveness have yielded inconsistent results. The objective of this study is to systematically assess the effectiveness of HPPs in reducing heat-related mortality risk across Europe. We analysed daily mortality and mean temperature data from 102 locations in 14 European countries between 1990 and 2019. Using data from national experts, we identified the year of HPP implementation and categorised their development class. A three-stage analysis was conducted: (1) quasi-Poisson time series models were used to estimate location-specific warm-season exposure-response functions in 3 year subperiods; (2) mixed-effect meta-regression models with multilevel longitudinal structures were employed to quantify changes in pooled exposure-response functions due to HPP implementation, adjusted for long-term trends in heat-related mortality risks; and (3) the heat-related excess mortality due to HPP was calculated by comparing factual (with HPP) and counterfactual (without HPP) scenarios. Estimates are reported by country, region, and HPP class. HPP implementation was associated with a 25.2% [95% CI: 19.8% to 31.9%] reduction in excess deaths attributable to extreme heat, c</w:t>
      </w:r>
    </w:p>
    <w:p>
      <w:pPr>
        <w:pStyle w:val="Heading2"/>
      </w:pPr>
      <w:r>
        <w:t>603.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604.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r>
        <w:rPr>
          <w:b/>
        </w:rPr>
        <w:t>POSSIBLE 2025:</w:t>
      </w:r>
      <w:r>
        <w:t xml:space="preserve"> PECULIARITIES OF THE PUBLIC SPACES FORMATION IN RURAL AREA OF EUROPEAN COUNTRIES — https://doi.org/10.32347/2076-815x.2025.90.169-180</w:t>
      </w:r>
    </w:p>
    <w:p>
      <w:pPr/>
      <w:r>
        <w:rPr>
          <w:b/>
        </w:rPr>
        <w:t>Shared claim-specific concepts:</w:t>
      </w:r>
      <w:r>
        <w:t xml:space="preserve"> countries, become, not, only, field, process; EU scope visible. This is a provisional connection, not an outcome finding.</w:t>
      </w:r>
    </w:p>
    <w:p>
      <w:pPr>
        <w:pStyle w:val="SourceNote"/>
      </w:pPr>
      <w:r>
        <w:rPr>
          <w:b/>
        </w:rPr>
        <w:t>Available abstract (not full text):</w:t>
      </w:r>
      <w:r>
        <w:t xml:space="preserve"> The article is devoted to an important issue – the development of high-quality public space in united territorial communities as the basis of their social cohesion, local identity and sustainable development. These issues have become particularly relevant in the period of modern transformations. They are associated with decentralization, the urbanization process and socio-economic changes in rural areas in Ukraine. Currently, there is a need for a comprehensive analysis of existing approaches to the development of such places. This is especially relevant in the conditions of martial law in Ukraine, resource constraints, demographic decline and insufficient attention to spatial planning in the field. The experience of foreign countries is important in this area. Therefore, the identification and analysis of interesting examples of the formation of public spaces in rural areas of European countries is the goal of this publication. To achieve this goal, an analysis of the works of previous scholars, a comparative analysis of public spaces in European territories, their functional analysis, and a field survey of objects were used. Interesting examples of solutions for public spaces in towns and rural areas of Poland, Slovakia, the Netherlands, Denmark, Finland, and Latvia are revealed in the article. The importance of this topic is emphasized, and the low level of study of such pub</w:t>
      </w:r>
    </w:p>
    <w:p>
      <w:pPr/>
      <w:r>
        <w:rPr>
          <w:b/>
        </w:rPr>
        <w:t>POSSIBLE 2025:</w:t>
      </w:r>
      <w:r>
        <w:t xml:space="preserve"> VAT IN POLAND AND SELECTED EUROPEAN UNION COUNTRIES — https://doi.org/10.29119/1641-3466.2025.220.10</w:t>
      </w:r>
    </w:p>
    <w:p>
      <w:pPr/>
      <w:r>
        <w:rPr>
          <w:b/>
        </w:rPr>
        <w:t>Shared claim-specific concepts:</w:t>
      </w:r>
      <w:r>
        <w:t xml:space="preserve"> countries, only, aimed, also; EU scope visible. This is a provisional connection, not an outcome finding.</w:t>
      </w:r>
    </w:p>
    <w:p>
      <w:pPr>
        <w:pStyle w:val="SourceNote"/>
      </w:pPr>
      <w:r>
        <w:rPr>
          <w:b/>
        </w:rPr>
        <w:t>Available abstract (not full text):</w:t>
      </w:r>
      <w:r>
        <w:t xml:space="preserve"> Purpose: The aim of this study is to identify how the VAT rate in Poland compares to other European Union countries. Additionally, the article aims to emphasize the essence of harmonization of the tax systems of EU countries in the context of this tax and to point out problems with its collection. The study aims to identify similarities and differences in the VAT structure and rates. Methodology: This study employed a comparative analysis to examine the VAT system in Poland and selected European Union countries. The research covers Poland and other EU Member States, with the analysis based on data from 2023, which remains valid in the following year. Secondary data were sourced from the Official Website of the European Union. A comparative analysis of standard VAT rates and reduced rates across EU countries was conducted, focusing on both their number and values. The data were also subjected to statistical and descriptive analyses. Findings: The results of the study indicate that the tax arrangements for goods and services tax vary across EU Member States. This variation arises from EU regulations, which allow for a degree of discretion by setting only a lower limit for the standard rate. Member States are then permitted to apply rates suited to their individual needs, provided they comply with EU requirements. Compared to the approaches adopted in other countries, Poland’s sta</w:t>
      </w:r>
    </w:p>
    <w:p>
      <w:pPr>
        <w:pStyle w:val="Heading2"/>
      </w:pPr>
      <w:r>
        <w:t>605.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part, challenges, undermine, not,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2025:</w:t>
      </w:r>
      <w:r>
        <w:t xml:space="preserve"> Challenges to access to civil justice in Europe — https://doi.org/10.4337/9781786434418.00011</w:t>
      </w:r>
    </w:p>
    <w:p>
      <w:pPr/>
      <w:r>
        <w:rPr>
          <w:b/>
        </w:rPr>
        <w:t>Shared claim-specific concepts:</w:t>
      </w:r>
      <w:r>
        <w:t xml:space="preserve"> challenges, also, role; EU scope visible. This is a provisional connection, not an outcome finding.</w:t>
      </w:r>
    </w:p>
    <w:p>
      <w:pPr>
        <w:pStyle w:val="SourceNote"/>
      </w:pPr>
      <w:r>
        <w:rPr>
          <w:b/>
        </w:rPr>
        <w:t>Available abstract (not full text):</w:t>
      </w:r>
      <w:r>
        <w:t xml:space="preserve"> The right of access to justice, as guaranteed by human right conventions, has evolved under the influence of the changing role of the state. This chapter examines recent trends and assesses how access to justice plays out in EU policy and legislation in the area of civil justice. After delving into policy considerations it discusses key areas of EU civil justice, focusing on simplified and special procedures, the privatisation of justice, digitising justice and costs and funding of justice. It illustrates how efficiency has become a central element in the regulatory discourse. While this contributes to effective access to justice, it also entails certain risks. It concludes that the ever-expanding EU Civil Justice area needs an overarching framework – one built on the foundations of access to justice and designed to deliver justice within the limits of the national legal environment in which it is called to operate.</w:t>
      </w:r>
    </w:p>
    <w:p>
      <w:pPr/>
      <w:r>
        <w:rPr>
          <w:b/>
        </w:rPr>
        <w:t>POSSIBLE 2025:</w:t>
      </w:r>
      <w:r>
        <w:t xml:space="preserve"> JUDICIAL INDEPENDENCE AND EUROPEAN GOVERNANCE: INSTITUTIONAL DYNAMICS AND CHALLENGES OF EUROPEAN INTEGRATION FOR THE JUDICIAL SYSTEM IN ROMANIA — https://doi.org/10.47743/eu-pair.2025-1-4</w:t>
      </w:r>
    </w:p>
    <w:p>
      <w:pPr/>
      <w:r>
        <w:rPr>
          <w:b/>
        </w:rPr>
        <w:t>Shared claim-specific concepts:</w:t>
      </w:r>
      <w:r>
        <w:t xml:space="preserve"> challenges, not, but, governance, well; EU scope visible. This is a provisional connection, not an outcome finding.</w:t>
      </w:r>
    </w:p>
    <w:p>
      <w:pPr>
        <w:pStyle w:val="SourceNote"/>
      </w:pPr>
      <w:r>
        <w:rPr>
          <w:b/>
        </w:rPr>
        <w:t>Available abstract (not full text):</w:t>
      </w:r>
      <w:r>
        <w:t xml:space="preserve"> This paper is devoted to an in-depth analysis of the complex interactions between European governance mechanisms – including, but not limited to, the Cooperation and Verification Mechanism, the Annual Rule of Law Report and the budgetary conditionality framework – and the autonomy of the national judiciary. The main purpose of the research consists in the critical evaluation of the way in which the European standards regarding judicial independence, administrative efficiency and institutional integrity have influenced both the structure and operation of the Superior Council of Magistracy, as well as the legal status of judges and prosecutors, together with the inter-institutional relations within the state apparatus. The adopted methodology is based on a particularly rigorous normative analysis, combined with the systematic evaluation of strategic documents issued at the European and national level, as well as relevant comparative case studies (comparative analyzes focused on the experiences of Romania, Poland and Hungary). This analytical approach allows the identification of institutional adaptation models and the exposure of tensions inherent in the implementation of European standards. In addition, special importance is given to the jurisprudential interpretations issued by the Court of Justice of the European Union and the European Court of Human Rights, whose decisions ar</w:t>
      </w:r>
    </w:p>
    <w:p>
      <w:pPr/>
      <w:r>
        <w:rPr>
          <w:b/>
        </w:rPr>
        <w:t>POSSIBLE 2025:</w:t>
      </w:r>
      <w:r>
        <w:t xml:space="preserve"> FREEDOM OF SPEECH AND DEMOCRACY IN EUROPE: LEGAL CHALLENGES AND INSTITUTIONAL RESPONSES — https://doi.org/10.25234/eclic/38089</w:t>
      </w:r>
    </w:p>
    <w:p>
      <w:pPr/>
      <w:r>
        <w:rPr>
          <w:b/>
        </w:rPr>
        <w:t>Shared claim-specific concepts:</w:t>
      </w:r>
      <w:r>
        <w:t xml:space="preserve"> challenges, democratic, citizens, role; EU scope visible. This is a provisional connection, not an outcome finding.</w:t>
      </w:r>
    </w:p>
    <w:p>
      <w:pPr>
        <w:pStyle w:val="SourceNote"/>
      </w:pPr>
      <w:r>
        <w:rPr>
          <w:b/>
        </w:rPr>
        <w:t>Available abstract (not full text):</w:t>
      </w:r>
      <w:r>
        <w:t xml:space="preserve"> Freedom of speech is a fundamental pillar of democracy, enabling citizens to participate in public debate, hold governments accountable, and advocate for social and political change. In the European Union (hereinafter: EU) and the Council of Europe (hereinafter: CoE), legal frameworks such as the European Convention on Human Rights (hereinafter: ECHR) and the Charter of Fundamental Rights of the EU (hereinafter: EU Charter) safeguard this right. However, freedom of speech is increasingly challenged by legal and political pressures, including Strategic Lawsuits Against Public Participation (hereinafter: SLAPPs), disinformation, and restrictions on media freedom. These threats pose significant risks to democratic resilience in Europe, necessitating stronger legal protections and policy responses. This paper explores the relationship between freedom of speech and democracy in the EU and CoE, examining how institutions such as the European Court of Human Rights (hereainafter: ECtHR) and the European Court of Justice (hereinafter: CJEU) interpret and enforce free speech protections. The ECtHR has played a critical role in defining the boundaries of free expression, balancing the right to speech with concerns such as hate speech, national security, and privacy rights. At the policy level, the European Democracy Action Plan represents a key initiative by the European Commission to str</w:t>
      </w:r>
    </w:p>
    <w:p>
      <w:pPr/>
      <w:r>
        <w:rPr>
          <w:b/>
        </w:rPr>
        <w:t>POSSIBLE 2025:</w:t>
      </w:r>
      <w:r>
        <w:t xml:space="preserve"> Judicial protection in immigration detention : challenges and solutions in the Mediterranean region of the European Union — https://openalex.org/W7112751849</w:t>
      </w:r>
    </w:p>
    <w:p>
      <w:pPr/>
      <w:r>
        <w:rPr>
          <w:b/>
        </w:rPr>
        <w:t>Shared claim-specific concepts:</w:t>
      </w:r>
      <w:r>
        <w:t xml:space="preserve"> challenges, undermine, governance; EU scope visible. This is a provisional connection, not an outcome finding.</w:t>
      </w:r>
    </w:p>
    <w:p>
      <w:pPr>
        <w:pStyle w:val="SourceNote"/>
      </w:pPr>
      <w:r>
        <w:rPr>
          <w:b/>
        </w:rPr>
        <w:t>Available abstract (not full text):</w:t>
      </w:r>
      <w:r>
        <w:t xml:space="preserve"> The European Court of Human Rights' judgement in J.B. v. Malta (no. 1766/23, 22 October 2024) highlights significant shortcomings in the review of immigration detention under Article 5 § 4 of the European Convention on Human Rights. The case exposed the systemic deficiencies of Malta’s Immigration Appeals Board, including its lack of independence, procedural inefficiencies, and limited scope of review. These failings are emblematic of broader rule of law deficiencies, illustrating how systemic issues in governance and judicial structures deeply undermine the effectiveness of immigration detention oversight mechanisms. This issue is particularly pressing in the context of the growing normalisation of immigration detention, which is likely to be exacerbated by the EU Pact on Migration. This trend highlights the urgent need for robust oversight mechanisms, particularly in Mediterranean States located at the external borders of the EU, which are likely to increase their use of detention. Building on the analysis from the J.B. judgment, this Article seeks to assess the effectiveness of judicial protection mechanisms across Mediterranean states under both the ECHR and relevant EU law. By analysing structures, practices, and relevant jurisprudence, the Article seeks to identify models that best ensure the independence and efficiency necessary for meaningful and timely reviews of immig</w:t>
      </w:r>
    </w:p>
    <w:p>
      <w:pPr>
        <w:pStyle w:val="Heading2"/>
      </w:pPr>
      <w:r>
        <w:t>606.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2025:</w:t>
      </w:r>
      <w:r>
        <w:t xml:space="preserve"> Biogeochemical versus biogeophysical temperature effects of historical land-use change in CMIP6 — https://doi.org/10.5194/esd-16-803-2025</w:t>
      </w:r>
    </w:p>
    <w:p>
      <w:pPr/>
      <w:r>
        <w:rPr>
          <w:b/>
        </w:rPr>
        <w:t>Shared claim-specific concepts:</w:t>
      </w:r>
      <w:r>
        <w:t xml:space="preserve"> biogeophysical, impacts, regional, climate, warming; EU scope not established. This is a provisional connection, not an outcome finding.</w:t>
      </w:r>
    </w:p>
    <w:p>
      <w:pPr>
        <w:pStyle w:val="SourceNote"/>
      </w:pPr>
      <w:r>
        <w:rPr>
          <w:b/>
        </w:rPr>
        <w:t>Available abstract (not full text):</w:t>
      </w:r>
      <w:r>
        <w:t xml:space="preserve"> Anthropogenic land-use change (LUC) substantially impacts climate dynamics, primarily through modifications in the surface biogeophysical (BGP) and biogeochemical (BGC) fluxes, which alter the exchange of energy, water, and carbon with the atmosphere. Despite the established significance of both the BGP and BGC effects, their relative contribution to climate change remains poorly quantified. In this study, we leveraged data from an unprecedented number of Earth system models (ESMs) of the latest generation that contributed to the Land Use Model Intercomparison Project (LUMIP), under the auspices of the Coupled Model Intercomparison Project Phase 6 (CMIP6). Our analysis of BGP effects indicates a range of global annual near-surface air temperature changes across ESMs due to historical LUC, from a cooling of −0.23 °C to a warming of 0.14 °C, with a multi-model mean and spread of -0.03±0.10 °C under present-day conditions relative to the pre-industrial era. Notably, the BGP effects indicate warming at high latitudes. Still, there is a discernible cooling pattern between 30° N and 60° N, extending across large landmasses from the Great Plains of North America to the Northeast Plain of Asia. The BGC effect shows substantial land carbon losses, amounting to -127±94 Gt C over the historical period, with decreased vegetation carbon pools driving the losses in nearly all analysed ESMs. </w:t>
      </w:r>
    </w:p>
    <w:p>
      <w:pPr>
        <w:pStyle w:val="Heading2"/>
      </w:pPr>
      <w:r>
        <w:t>607.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r>
        <w:rPr>
          <w:b/>
        </w:rPr>
        <w:t>POSSIBLE 2024:</w:t>
      </w:r>
      <w:r>
        <w:t xml:space="preserve"> RUSSIA’S AGGRESSION IN UKRAINE AS A TURNING POINT: THE TRANSFORMATION OF THE EUROPEAN UNION INTO A SECURITY ACTOR IN THE RECONSTRUCTION OF THE EUROPEAN SECURITY ORDER — https://doi.org/10.62229/sprps24-1/5</w:t>
      </w:r>
    </w:p>
    <w:p>
      <w:pPr/>
      <w:r>
        <w:rPr>
          <w:b/>
        </w:rPr>
        <w:t>Shared claim-specific concepts:</w:t>
      </w:r>
      <w:r>
        <w:t xml:space="preserve"> order, until, authors, indicators; EU scope visible. This is a provisional connection, not an outcome finding.</w:t>
      </w:r>
    </w:p>
    <w:p>
      <w:pPr>
        <w:pStyle w:val="SourceNote"/>
      </w:pPr>
      <w:r>
        <w:rPr>
          <w:b/>
        </w:rPr>
        <w:t>Available abstract (not full text):</w:t>
      </w:r>
      <w:r>
        <w:t xml:space="preserve"> The process which started with the annexation of Crimea in 2014 has caused a deep stress in the European security order. Russia has not only threatened the European security architecture, but for the first time, Russia has openly challenged it through its actions. As such, the war in Ukraine was a turning point in both international relations and European security policy. Accordingly, the European Union (EU) has altered its foreign and security policy. Until then, the EU had acted within the framework of its responsibility to protect the security of its members through a normative structure and peaceful methods, representing a multilateral world order as a peace project. However, post-February 2022, it has adopted a power-oriented policy. Increased cooperation with NATO, the will to break all kinds of existing dependencies, strict sanctions ranging from economy to energy policy, and the increase in the use of military force have been indicators that Europe has entered a transformation. After 2022, its attempt to influence international relations and the international system with more solid means has demonstrated that the EU is an actor that does not completely abandon its liberal and constructivist identity but reacts realistically. This article analyzes how Russia’s attack on Ukraine entailed a change for Europe within the debate of the realism and constructivism The process w</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2023:</w:t>
      </w:r>
      <w:r>
        <w:t xml:space="preserve"> ALGEBRA OF SOCIAL PHENOMENA — https://doi.org/10.30525/2500-946x/2023-4-15</w:t>
      </w:r>
    </w:p>
    <w:p>
      <w:pPr/>
      <w:r>
        <w:rPr>
          <w:b/>
        </w:rPr>
        <w:t>Shared claim-specific concepts:</w:t>
      </w:r>
      <w:r>
        <w:t xml:space="preserve"> able, phenomena, develop, authors, also; EU scope not established. This is a provisional connection, not an outcome finding.</w:t>
      </w:r>
    </w:p>
    <w:p>
      <w:pPr>
        <w:pStyle w:val="SourceNote"/>
      </w:pPr>
      <w:r>
        <w:rPr>
          <w:b/>
        </w:rPr>
        <w:t>Available abstract (not full text):</w:t>
      </w:r>
      <w:r>
        <w:t xml:space="preserve"> The characteristics of modern societies are central to discussions of various types of policy (social, economic, etc.) and are often seen as predictors of socio-economic processes. Any society can be studied through the lens of social phenomena. Hence, it seems fair to assume that the better one understands the nature of social matter and its impact on various processes, the better one's decisions will be able to meet today's challenges. The purpose of this paper is to explain and present the new framework for measuring social phenomena in the form of an algebra based on the definition of social phenomenon, its components, rationality and mathematical logic. Methodology. Using the example of social cohesion, the paper examines the current fundamental methodological approaches to interpreting the definition and, consequently, measuring social phenomena. In this paper, the authors use an analogy with probability space and event algebra to develop their mathematical method. As a result, the article presents and explains the basic terms of the algebra of social phenomena that make up the new concept. Practical implications. The authors' approach to formalisation provides a tool for deriving the measure of a complex phenomenon from the measures of its components (simple phenomena), as demonstrated in the example. Thus, this study enriches the range of methods suitable for deepening </w:t>
      </w:r>
    </w:p>
    <w:p>
      <w:pPr/>
      <w:r>
        <w:rPr>
          <w:b/>
        </w:rPr>
        <w:t>POSSIBLE 2023:</w:t>
      </w:r>
      <w:r>
        <w:t xml:space="preserve"> The Impact of Gentrification Phenomena in Thailand — https://doi.org/10.3390/socsci12120647</w:t>
      </w:r>
    </w:p>
    <w:p>
      <w:pPr/>
      <w:r>
        <w:rPr>
          <w:b/>
        </w:rPr>
        <w:t>Shared claim-specific concepts:</w:t>
      </w:r>
      <w:r>
        <w:t xml:space="preserve"> phenomena, also; EU scope not established. This is a provisional connection, not an outcome finding.</w:t>
      </w:r>
    </w:p>
    <w:p>
      <w:pPr>
        <w:pStyle w:val="SourceNote"/>
      </w:pPr>
      <w:r>
        <w:rPr>
          <w:b/>
        </w:rPr>
        <w:t>Available abstract (not full text):</w:t>
      </w:r>
      <w:r>
        <w:t xml:space="preserve"> The principal objective of this review paper was to study the impact of gentrification phenomena in Thailand using a research methodology combining a review of the existing literature and a desk analysis of case studies, focusing on two main interconnected contributions to debates on gentrification. First, understanding gentrification phenomena by examining the existing literature required a perspective on not only gentrification but also its stages and consequences. Second, particular attention was paid to the desk analysis of case studies of gentrification phenomena in Thailand to provide an overview and critical analysis. The results of this research show that gentrification has accelerated across the globe to become a central engine of urban development. Gentrification is a complex process that has significant and multifaceted impacts on urban communities. Gentrification can have positive impacts, such as improving the urban scenery by revitalising the neighbourhood’s blighted places and raising property values by making buildings more appealing and contemporary. However, gentrification can also have negative impacts due to critical issues that are neglected such as the displacement of original inhabitants, particularly vulnerable populations; the loss of tangible and intangible cultural heritage; social inequalities; environmental vulnerability; and inappropriate land cons</w:t>
      </w:r>
    </w:p>
    <w:p>
      <w:pPr/>
      <w:r>
        <w:rPr>
          <w:b/>
        </w:rPr>
        <w:t>POSSIBLE 2022:</w:t>
      </w:r>
      <w:r>
        <w:t xml:space="preserve"> NeuroAI - A strategic opportunity for Norway and Europe — https://doi.org/10.5617/nmi.9950</w:t>
      </w:r>
    </w:p>
    <w:p>
      <w:pPr/>
      <w:r>
        <w:rPr>
          <w:b/>
        </w:rPr>
        <w:t>Shared claim-specific concepts:</w:t>
      </w:r>
      <w:r>
        <w:t xml:space="preserve"> order, able, predict; EU scope visible. This is a provisional connection, not an outcome finding.</w:t>
      </w:r>
    </w:p>
    <w:p>
      <w:pPr>
        <w:pStyle w:val="SourceNote"/>
      </w:pPr>
      <w:r>
        <w:rPr>
          <w:b/>
        </w:rPr>
        <w:t>Available abstract (not full text):</w:t>
      </w:r>
      <w:r>
        <w:t xml:space="preserve">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pPr/>
      <w:r>
        <w:rPr>
          <w:b/>
        </w:rPr>
        <w:t>POSSIBLE 2022:</w:t>
      </w:r>
      <w:r>
        <w:t xml:space="preserve"> Predicting potential wildfire severity across Southern Europe with global data sources — https://doi.org/10.1016/j.scitotenv.2022.154729</w:t>
      </w:r>
    </w:p>
    <w:p>
      <w:pPr/>
      <w:r>
        <w:rPr>
          <w:b/>
        </w:rPr>
        <w:t>Shared claim-specific concepts:</w:t>
      </w:r>
      <w:r>
        <w:t xml:space="preserve"> able, predict, develop, they, potential; EU scope visible. This is a provisional connection, not an outcome finding.</w:t>
      </w:r>
    </w:p>
    <w:p>
      <w:pPr>
        <w:pStyle w:val="SourceNote"/>
      </w:pPr>
      <w:r>
        <w:rPr>
          <w:b/>
        </w:rPr>
        <w:t>Available abstract (not full text):</w:t>
      </w:r>
      <w:r>
        <w:t xml:space="preserve">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r>
        <w:rPr>
          <w:b/>
        </w:rPr>
        <w:t>POSSIBLE 2022:</w:t>
      </w:r>
      <w:r>
        <w:t xml:space="preserve"> Model order reduction for bifurcating phenomena in fluid‐structure interaction problems — https://doi.org/10.1002/fld.5118</w:t>
      </w:r>
    </w:p>
    <w:p>
      <w:pPr/>
      <w:r>
        <w:rPr>
          <w:b/>
        </w:rPr>
        <w:t>Shared claim-specific concepts:</w:t>
      </w:r>
      <w:r>
        <w:t xml:space="preserve"> order, phenomena; EU scope not established. This is a provisional connection, not an outcome finding.</w:t>
      </w:r>
    </w:p>
    <w:p>
      <w:pPr>
        <w:pStyle w:val="SourceNote"/>
      </w:pPr>
      <w:r>
        <w:rPr>
          <w:b/>
        </w:rPr>
        <w:t>Available abstract (not full text):</w:t>
      </w:r>
      <w:r>
        <w:t xml:space="preserve"> This work explores the development and the analysis of an efficient reduced order model for the study of a bifurcating phenomenon, known as the Coandă effect, in a multi-physics setting involving fluid and solid media. Taking into consideration a fluid-structure interaction problem, we aim at generalizing previous works towards a more reliable description of the physics involved. In particular, we provide several insights on how the introduction of an elastic structure influences the bifurcating behavior. We have addressed the computational burden by developing a reduced order branch-wise algorithm based on a monolithic proper orthogonal decomposition. We compared different constitutive relations for the solid, and we observed that a nonlinear hyper-elastic law delays the bifurcation w.r.t. the standard model, while the same effect is even magnified when considering linear elastic solid.</w:t>
      </w:r>
    </w:p>
    <w:p>
      <w:pPr>
        <w:pStyle w:val="Heading2"/>
      </w:pPr>
      <w:r>
        <w:t>608.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Bioenergy and Waste — https://doi.org/10.1007/978-3-031-69856-9_6</w:t>
      </w:r>
    </w:p>
    <w:p>
      <w:pPr/>
      <w:r>
        <w:rPr>
          <w:b/>
        </w:rPr>
        <w:t>Shared claim-specific concepts:</w:t>
      </w:r>
      <w:r>
        <w:t xml:space="preserve"> bioenergy; EU scope not established. This is a provisional connection, not an outcome finding.</w:t>
      </w:r>
    </w:p>
    <w:p>
      <w:pPr>
        <w:pStyle w:val="SourceNote"/>
      </w:pPr>
      <w:r>
        <w:rPr>
          <w:b/>
        </w:rPr>
        <w:t>Available abstract (not full text):</w:t>
      </w:r>
      <w:r>
        <w:t xml:space="preserve"> Abstract A significant proportion of the decarbonization occurring in energy production is based on solar and wind energy. However, biomass also retains its place in the energy palette. This chapter presents an analysis of the technologies and sustainable levels of using biomass and waste for energy, as well as bioenergy carbon capture and storage applications. Furthermore, the chapter addresses the production of materials and chemicals in a manner that is supportive of the achievement of both climate and nature conservation goals. The chapter ultimately concludes that the sustainable utilization of biomass is constrained by its substantial land area requirements and subsequent adverse impacts on the natural environment. The growing population (forecast to stabilize at approximately 10–11 billion by 2030, from 8 billion in 2024) presents a challenge to current systems of production for food, energy, and materials. Given that most of the terrestrial world has already been impacted by human activities, there is a limited opportunity for further expansion. This necessitates the identification of more cost-effective land uses to meet our needs and the implementation of circular economy solutions to reduce the demand for virgin materials. Biomass represents a natural chemical storage of solar energy, and biomass and derived biofuels can be employed, for instance, to balance the vari</w:t>
      </w:r>
    </w:p>
    <w:p>
      <w:pPr/>
      <w:r>
        <w:rPr>
          <w:b/>
        </w:rPr>
        <w:t>POSSIBLE 2025:</w:t>
      </w:r>
      <w:r>
        <w:t xml:space="preserve"> Efficacy of individual and combined terrestrial and marine carbon dioxide removal — https://doi.org/10.1088/1748-9326/ae2af5</w:t>
      </w:r>
    </w:p>
    <w:p>
      <w:pPr/>
      <w:r>
        <w:rPr>
          <w:b/>
        </w:rPr>
        <w:t>Shared claim-specific concepts:</w:t>
      </w:r>
      <w:r>
        <w:t xml:space="preserve"> bioenergy, deployment, feedstock; EU scope visible. This is a provisional connection, not an outcome finding.</w:t>
      </w:r>
    </w:p>
    <w:p>
      <w:pPr>
        <w:pStyle w:val="SourceNote"/>
      </w:pPr>
      <w:r>
        <w:rPr>
          <w:b/>
        </w:rPr>
        <w:t>Available abstract (not full text):</w:t>
      </w:r>
      <w:r>
        <w:t xml:space="preserve"> Abstract Limiting global temperature rise below 2 °C requires significant reduction in greenhouse gas emissions and large-scale carbon dioxide removal (CDR). This study assesses the CO 2 sequestration and efficacy of two CDR approaches, bioenergy with carbon capture and storage (BECCS) and ocean alkalinity enhancement (OAE), applied individually and in combination. Using the Norwegian Earth System Model, simulations were designed to ramp up deployment of BECCS and OAE, to an additional area of 5.2 million km 2 by 2100 for bioenergy feedstock for BECCS, and a CaO deployment rate of approximately 2.7 Gt yr −1 for OAE within the exclusive economic zones of Europe, the United States and China. The combined land–ocean CDR simulation revealed a largely additive carbon removal effect. Over 2030−2100, OAE sequestered 7 ppm of CO 2 with an accumulated 82.3 Gt CaO, achieving a CDR effectiveness of 0.08 ppm (∼0.17 PgC) per Gt CaO, while BECCS reduced 16 ppm of CO 2 , with CDR effectiveness of 3.1 ppm per million km 2 of bioenergy crops. Together, the carbon removal achieved by BECCS and OAE corresponds to anthropogenic CO 2 emissions of 5.4 Gt CO 2 yr −1 by 2100, slightly more than 60% of current global transport sector emissions. Notably, the efficiency of BECCS and OAE alone was unaffected by their concurrent deployment. Nevertheless, simulations revealed distinct non-linear interaction</w:t>
      </w:r>
    </w:p>
    <w:p>
      <w:pPr>
        <w:pStyle w:val="Heading2"/>
      </w:pPr>
      <w:r>
        <w:t>609.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An Implementation of European Green Deal into the European Union law — https://openalex.org/W7164873981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pStyle w:val="Heading2"/>
      </w:pPr>
      <w:r>
        <w:t>610.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611.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Addressing Pathogen Impact in Life Cycle Assessment: Nationwide spatially explicit characterization factor for organic fertilisation — https://openalex.org/W7205916718</w:t>
      </w:r>
    </w:p>
    <w:p>
      <w:pPr/>
      <w:r>
        <w:rPr>
          <w:b/>
        </w:rPr>
        <w:t>Shared claim-specific concepts:</w:t>
      </w:r>
      <w:r>
        <w:t xml:space="preserve"> explicit, impacts, sustainability; EU scope visible. This is a provisional connection, not an outcome finding.</w:t>
      </w:r>
    </w:p>
    <w:p>
      <w:pPr>
        <w:pStyle w:val="SourceNote"/>
      </w:pPr>
      <w:r>
        <w:rPr>
          <w:b/>
        </w:rPr>
        <w:t>Available abstract (not full text):</w:t>
      </w:r>
      <w:r>
        <w:t xml:space="preserve"> IntroductionLife Cycle Assessment (LCA) is a useful method to assess environmental impacts of manure management and biogas production (Hijazi et al., 2016). However, there are several shortcomings in LCA applied to waste and biomass valorisation (Ekvall et al., 2007). One of these difficulties lies in the lack of important impact categories. The impact category “microbial pathogenic potential” has been disregarded so far. Here we present a proof of concept for the development of a new characterization factor using the pathogen Listeria monocytogenes and its implementation for spatialized LCA applied to organic fertilisers.MethodologyThe characterisation factor (CF) was constructed based on UseTox approach and expressed in equation 1: CF=FF.XF.EF where FF is the fate factor, XF is the exposure factor and EF is the effect factor. We examined the causal chain linking the land application of organic fertilizers to cheese production through the forage-fed dairy farming scenario. Relevant information was retrieved from the literature to identify more than 20 environmental factors affecting the fate of L. monocytogenes in soils. Special attention has been paid to soil microbial diversity because it is a major provider of the service of regulation of pathogens. This required setting up a dedicated methodology. The available geospatial datasets describing these factors over Metropolitan</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r>
        <w:rPr>
          <w:b/>
        </w:rPr>
        <w:t>POSSIBLE 2025:</w:t>
      </w:r>
      <w:r>
        <w:t xml:space="preserve"> Finding relevant stakeholders and related social topics for the implementation of Social Life Cycle Assessment in the multistorey timber construction sector — https://doi.org/10.1007/s11367-025-02431-0</w:t>
      </w:r>
    </w:p>
    <w:p>
      <w:pPr/>
      <w:r>
        <w:rPr>
          <w:b/>
        </w:rPr>
        <w:t>Shared claim-specific concepts:</w:t>
      </w:r>
      <w:r>
        <w:t xml:space="preserve"> impacts, topics; EU scope visible. This is a provisional connection, not an outcome finding.</w:t>
      </w:r>
    </w:p>
    <w:p>
      <w:pPr>
        <w:pStyle w:val="SourceNote"/>
      </w:pPr>
      <w:r>
        <w:rPr>
          <w:b/>
        </w:rPr>
        <w:t>Available abstract (not full text):</w:t>
      </w:r>
      <w:r>
        <w:t xml:space="preserve"> Abstract Purpose This study aims to identify the most relevant stakeholder groups and related social topics for the multistorey timber construction sector and provide first insights on the potential social effects—negative (risks) and positive (benefits)—produced by the prospective increase of multistorey timber constructions in Europe considering their whole life cycle. Methods The advancement of social materiality assessment was conducted to unveil the most relevant stakeholder groups and related social topics of the building sector by considering what is proposed by the UNEP Guidelines for Social Life Cycle Assessment and Handbook for Product Social Impact Assessment. To verify selected social topics and collect information on their level of relevance, we based our research approach on stakeholder engagement through a dedicated online workshop and interviews. Results Seventeen social topics were selected as material for the multistorey timber construction sector according to the literature review and the stakeholder engagement activities. No significant variance in relevance level was observed according to a five-level Likert scale (from 1, not at all relevant, to 5, very relevant), all rating above level 3 (relevant); the ones perceived as very relevant being “Health and safety” (Users), “Safe and healthy living conditions” (Local Community), and “Fair salary” (Workers). Co</w:t>
      </w:r>
    </w:p>
    <w:p>
      <w:pPr/>
      <w:r>
        <w:rPr>
          <w:b/>
        </w:rPr>
        <w:t>POSSIBLE 2025:</w:t>
      </w:r>
      <w:r>
        <w:t xml:space="preserve"> Towards AI-augmented sustainability assessments: integrating large language models in the case of product social life cycle assessment — https://doi.org/10.1007/s11367-025-02508-w</w:t>
      </w:r>
    </w:p>
    <w:p>
      <w:pPr/>
      <w:r>
        <w:rPr>
          <w:b/>
        </w:rPr>
        <w:t>Shared claim-specific concepts:</w:t>
      </w:r>
      <w:r>
        <w:t xml:space="preserve"> assessments, emerging, increased, sustainability; EU scope visible. This is a provisional connection, not an outcome finding.</w:t>
      </w:r>
    </w:p>
    <w:p>
      <w:pPr>
        <w:pStyle w:val="SourceNote"/>
      </w:pPr>
      <w:r>
        <w:rPr>
          <w:b/>
        </w:rPr>
        <w:t>Available abstract (not full text):</w:t>
      </w:r>
      <w:r>
        <w:t xml:space="preserve"> Abstract Purpose As the importance of social responsibility is increasingly recognized, demand for robust social life cycle assessment (S-LCA) has increased. This study presents a novel approach leveraging artificial intelligence (AI) to augment expert-led processes and enhance the efficiency, scalability, and accuracy of S-LCA. Methods The method utilizes advanced natural language processing (NLP) capabilities and large language models (LLMs) to partially automate the evaluation of social factors such as community engagement, labor practices, and human rights considerations against S-LCA pre-defined criteria. The method is applied in parallel to a standard manual practice of a reference-scale S-LCA on a carton product case study in Finland. Results obtained from the AI-augmented assessments are then compared with those derived from the manual method. Results and discussion The comparative analysis reveals a 50% agreement rate between the AI and manual assessment outcomes. We find that three driving factors explain the differences in the remaining outcomes. First, outcomes differed where the human evaluators drew on tacit knowledge unavailable to the AI. Second, the human evaluators inherently weigh negative evidence more heavily than positive evidence. And third, outcomes differed in cases where the assessment of a topic was highly sensitive to stakeholder perspective, and the</w:t>
      </w:r>
    </w:p>
    <w:p>
      <w:pPr/>
      <w:r>
        <w:rPr>
          <w:b/>
        </w:rPr>
        <w:t>POSSIBLE 2025:</w:t>
      </w:r>
      <w:r>
        <w:t xml:space="preserve"> ANALYZING ELEMENTARY STUDENTS' MISCONCEPTION PATTERNS IN KEY SCIENCE AND SOCIAL STUDIES (IPAS) TOPICS: IMPLICATIONS FOR INSTRUCTIONAL DESIGN — https://doi.org/10.37478/jpm.v6i3.5627</w:t>
      </w:r>
    </w:p>
    <w:p>
      <w:pPr/>
      <w:r>
        <w:rPr>
          <w:b/>
        </w:rPr>
        <w:t>Shared claim-specific concepts:</w:t>
      </w:r>
      <w:r>
        <w:t xml:space="preserve"> explicit, assessments, topics, energy; EU scope not established. This is a provisional connection, not an outcome finding.</w:t>
      </w:r>
    </w:p>
    <w:p>
      <w:pPr>
        <w:pStyle w:val="SourceNote"/>
      </w:pPr>
      <w:r>
        <w:rPr>
          <w:b/>
        </w:rPr>
        <w:t>Available abstract (not full text):</w:t>
      </w:r>
      <w:r>
        <w:t xml:space="preserve"> Persistent misconceptions in foundational science ideas often resist routine instruction, undermine knowledge transfer, and remain hidden when assessments capture answers but not reasoning. Within Indonesia’s integrated Science–Social Studies curriculum (IPAS), such misconceptions can cluster around core topics and shape students’ subsequent learning trajectories. This study maps elementary students’ misconception patterns across five IPAS topics—Force–Motion, Changes of State, Energy, Weather/Water Cycle, and Ecosystems—and translates the findings into design principles for instruction. Using an explanatory sequential mixed-methods design, we collected data from 204 Grade 4–6 students in three public schools via a locally contextualized two-tier diagnostic test and clinical interviews supported by concept cartoons. Instrument quality was adequate (mean Aiken’s V = 0.90; internal reliability per topic = 0.71–0.77; inter-rater reliability ? 0.78). Aggregate responses were distributed as 44.2% scientifically sound, 28.1% partial, and 27.7% strong misconceptions, with a grade-level trend toward improvement. The most persistent hotspots appeared in Ecosystems and Force–Motion. Tiered item sensitivity showed a consistent decrease in misconception rates from Q1 (everyday contexts) to Q4 (diagram/model representations), underscoring the role of multiple representations in bridging non</w:t>
      </w:r>
    </w:p>
    <w:p>
      <w:pPr/>
      <w:r>
        <w:rPr>
          <w:b/>
        </w:rPr>
        <w:t>POSSIBLE 2025:</w:t>
      </w:r>
      <w:r>
        <w:t xml:space="preserve"> ACTA SOCIOPATHOLOGICA VIII: The Contemporary Topics in Social Pathology and Social Pedagogy — https://doi.org/10.36689/uhk/978-80-7435-942-2.000</w:t>
      </w:r>
    </w:p>
    <w:p>
      <w:pPr/>
      <w:r>
        <w:rPr>
          <w:b/>
        </w:rPr>
        <w:t>Shared claim-specific concepts:</w:t>
      </w:r>
      <w:r>
        <w:t xml:space="preserve"> topics, values; EU scope not established. This is a provisional connection, not an outcome finding.</w:t>
      </w:r>
    </w:p>
    <w:p>
      <w:pPr>
        <w:pStyle w:val="SourceNote"/>
      </w:pPr>
      <w:r>
        <w:rPr>
          <w:b/>
        </w:rPr>
        <w:t>Available abstract (not full text):</w:t>
      </w:r>
      <w:r>
        <w:t xml:space="preserve"> This paper focuses on current topics in social pedagogy.It focuses on three areas of social pedagogy that reflect the work of Polish social pedagogue R. Wroczyński.His work is extensive and covers the whole spectrum of social pedagogy topics.These include research on socially urgent topics essential for the development of society, then an orientation towards research, characterisation and analysis of the topic of the social environment, and then a strong orientation towards positive values and their development.All of these themes are relevant in contemporary social pedagogy and challenge further research.</w:t>
      </w:r>
    </w:p>
    <w:p>
      <w:pPr>
        <w:pStyle w:val="Heading2"/>
      </w:pPr>
      <w:r>
        <w:t>612.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pStyle w:val="Heading2"/>
      </w:pPr>
      <w:r>
        <w:t>613.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Economic potential of renewable energy for business: decarbonisation and climate adaptation strategies in Ukraine and Europe — https://doi.org/10.35774/econa2025.03.180</w:t>
      </w:r>
    </w:p>
    <w:p>
      <w:pPr/>
      <w:r>
        <w:rPr>
          <w:b/>
        </w:rPr>
        <w:t>Shared claim-specific concepts:</w:t>
      </w:r>
      <w:r>
        <w:t xml:space="preserve"> green, deal, decarbonisation, strategy, approach; EU scope visible. This is a provisional connection, not an outcome finding.</w:t>
      </w:r>
    </w:p>
    <w:p>
      <w:pPr>
        <w:pStyle w:val="SourceNote"/>
      </w:pPr>
      <w:r>
        <w:rPr>
          <w:b/>
        </w:rPr>
        <w:t>Available abstract (not full text):</w:t>
      </w:r>
      <w:r>
        <w:t xml:space="preserve"> Introduction. The global shift toward sustainable natural resource use and the minimisation of economic dependence on traditional energy sources represents a necessary stage in societal development within the framework of climate change mitigation and sustainable development. The subject of the study is the potential for integrating renewable energy sources (RES) into business operations in order to reduce greenhouse gas emissions and enhance the climate resilience of corporate processes in Ukraine and Europe. Purpose. The purpose of the study is to identify the key trends, economic incentives, and institutional mechanisms that support the transition of businesses to RES within the strategies of sustainable development, the circular economy, and decarbonisation, with an emphasis on assessing the economic impacts on energy independence, GDP, and investment payback. Methodology. The methodological framework integrates general scientific methods (analysis, synthesis, comparison, abstraction, induction, deduction), a systems approach, as well as economic calculations (ROI, cost–benefit analysis, assessment of savings from reduced energy imports) based on data from IRENA, the Energy Community, the European Investment Bank, and Ukraine’s national energy strategies up to 2035. Results. The article analyses key outcomes of effective European best practices (Germany, Sweden, Romania, Po</w:t>
      </w:r>
    </w:p>
    <w:p>
      <w:pPr/>
      <w:r>
        <w:rPr>
          <w:b/>
        </w:rPr>
        <w:t>POSSIBLE 2025:</w:t>
      </w:r>
      <w:r>
        <w:t xml:space="preserve"> ATWOOD’S PRACTICAL UTOPIAS: A COMPARATIVE ANALYSIS WITH THE EUROPEAN GREEN DEAL — https://doi.org/10.56177/aua.philologica.2.26.2025.art.5</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This article compares Margaret Atwood’s Practical Utopia – an interactive, global, live-learning workshop hosted on the Disco platform – with the European Green Deal (EGD) to examine how imaginative, community-led futures align with and operationalise the EU's policy architecture for climate neutrality. Using content analysis, document analysis, and comparative analysis, the study advances the hypothesis that contemporary "practical utopias" are shaped by EGD targets and strategies, and tests that claim against the project's themes and outcomes, including the Symbiocene showcase. The paper situates Practical Utopias within currents of “real” or “concrete” utopianism (Wright, Albritton, Wilder), where ideals are judged by feasibility and iterative prototyping. Atwood’s pivot from dystopia to practice foregrounds active hope: participants co-designed carbon-neutral/negative communities by tackling basic systems (food, shelter, clothing, energy, mobility, governance, digital infrastructure, justice, and rituals around death) while interrogating the ecological ethics of enabling technologies. In parallel, the article synthesises the EGD's core—climate neutrality by 2050, ≥55% emissions cuts by 2030, and a policy suite spanning circular economy, zero pollution, Farm to Fork, Renovation Wave, industrial decarbonisation, clean mobility, renewables and hydrogen, biodiversity protection</w:t>
      </w:r>
    </w:p>
    <w:p>
      <w:pPr/>
      <w:r>
        <w:rPr>
          <w:b/>
        </w:rPr>
        <w:t>POSSIBLE 2025:</w:t>
      </w:r>
      <w:r>
        <w:t xml:space="preserve"> The European Green Deal: An Eco-Social Contract for Europe? — https://doi.org/10.1007/978-3-031-99109-7_9</w:t>
      </w:r>
    </w:p>
    <w:p>
      <w:pPr/>
      <w:r>
        <w:rPr>
          <w:b/>
        </w:rPr>
        <w:t>Shared claim-specific concepts:</w:t>
      </w:r>
      <w:r>
        <w:t xml:space="preserve"> green, deal, egd, aiming, sustainability, union; EU scope visible. This is a provisional connection, not an outcome finding.</w:t>
      </w:r>
    </w:p>
    <w:p>
      <w:pPr>
        <w:pStyle w:val="SourceNote"/>
      </w:pPr>
      <w:r>
        <w:rPr>
          <w:b/>
        </w:rPr>
        <w:t>Available abstract (not full text):</w:t>
      </w:r>
      <w:r>
        <w:t xml:space="preserve"> The European Green Deal (EGD) represents a transformative policy initiative, heralded as Europe’s “man on the moon” moment, aiming to achieve climate neutrality by 2050 while fostering social equity and economic resilience across the European Union (EU). From its inception, the EGD was intended to integrate environmental sustainability into governance frameworks and define an all-encompassing agenda to jointly address the urgent challenges of climate change, biodiversity loss, and social inequalities. This chapter explores how the EGD, when positioned as a nascent eco-social contract, could redefine the roles and responsibilities of each European societal actor by aligning ecological responsibility with economic and social objectives, guided by the principle of common but differentiated responsibilities outlined in the Paris Climate Agreement. It examines the role of the EU’s multilevel governance structure in embedding the EGD’s policies, the systemic barriers to its implementation, and the pathways for overcoming these challenges. By critically analysing what the EGD’s opportunities and limitations have been, the chapter offers insights into how the EU can lead global sustainability efforts and foster a more inclusive and sustainable future.</w:t>
      </w:r>
    </w:p>
    <w:p>
      <w:pPr/>
      <w:r>
        <w:rPr>
          <w:b/>
        </w:rPr>
        <w:t>POSSIBLE 2025:</w:t>
      </w:r>
      <w:r>
        <w:t xml:space="preserve"> Blue dimensions of the European green deal — https://doi.org/10.60054/peu.2025.12.76-85</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Over the past ten years, the European economy has faced a number of challenges: Britain’s exit from the EU, the COVID 19 pandemic, Russian aggression in Ukraine that escalated into war, the struggle for energy independence on the continent, the migration flow, and the increasing influence of far-right political movements. This line of events, however, is accompanied by one fundamental goal of the Union, namely sustainable development. A key instrument for achieving this is the so-called Green Deal, which has acquired a new blue hue in recent years. The aim of this study is to analyse how the blue economy contributes to the European Green Deal objectives, as oceans and seas cover a vast area of the EU territory and around two thirds of the Earth’s surface.</w:t>
      </w:r>
    </w:p>
    <w:p>
      <w:pPr/>
      <w:r>
        <w:rPr>
          <w:b/>
        </w:rPr>
        <w:t>POSSIBLE 2025:</w:t>
      </w:r>
      <w:r>
        <w:t xml:space="preserve"> Institutional and financial mechanisms of the European Green Deal in the processes of early recovery and post-war transformation of Ukraine — https://doi.org/10.63341/2786-491x-2025-1-80</w:t>
      </w:r>
    </w:p>
    <w:p>
      <w:pPr/>
      <w:r>
        <w:rPr>
          <w:b/>
        </w:rPr>
        <w:t>Shared claim-specific concepts:</w:t>
      </w:r>
      <w:r>
        <w:t xml:space="preserve"> green, deal, decarbonisation, strategy, sustainability, approach; EU scope visible. This is a provisional connection, not an outcome finding.</w:t>
      </w:r>
    </w:p>
    <w:p>
      <w:pPr>
        <w:pStyle w:val="SourceNote"/>
      </w:pPr>
      <w:r>
        <w:rPr>
          <w:b/>
        </w:rPr>
        <w:t>Available abstract (not full text):</w:t>
      </w:r>
      <w:r>
        <w:t xml:space="preserve"> The research relevance is determined by the need for environmental integration into national policies for the reconstruction of Ukraine in the context of a full-scale war and European integration within the framework of the European Green Deal. The study aimed to analyse the institutional and financial mechanisms for implementing the principles of the European Green Deal in the processes of early recovery and post-war transformation of Ukraine. The research methodology was based on an interdisciplinary approach that combined quantitative analysis of environmental finance, case studies of post-crisis countries, and a comparative assessment of institutional compatibility. As a result, the institutional architecture of the European Green Deal was systematised, emphasising key executive and financial actors, and the mechanisms of their interaction with the Ukrainian authorities were identified. The study analysed the chronology of political decisions in 2020-2023 on decarbonisation, energy efficiency and the development of renewable energy sources. In particular, by 2023, Ukraine increased the share of renewable energy to 22% in its generation structure, and reduced CO2 emissions per capita from 4.6 tonnes (2020) to 3.6 tonnes (2023), but maintained uneven integration of environmental criteria into recovery plans. A comparative analysis of the experience of Croatia (renewable energ</w:t>
      </w:r>
    </w:p>
    <w:p>
      <w:pPr/>
      <w:r>
        <w:rPr>
          <w:b/>
        </w:rPr>
        <w:t>POSSIBLE 2025:</w:t>
      </w:r>
      <w:r>
        <w:t xml:space="preserve"> From the European Green Deal’s Goal of Climate Neutrality to the Clean Industrial Deal: An Approach from the Perspective of the Protection of Human Rights — https://openalex.org/W7116645188</w:t>
      </w:r>
    </w:p>
    <w:p>
      <w:pPr/>
      <w:r>
        <w:rPr>
          <w:b/>
        </w:rPr>
        <w:t>Shared claim-specific concepts:</w:t>
      </w:r>
      <w:r>
        <w:t xml:space="preserve"> green, deal, egd, decarbonisation, strategy, approach; EU scope visible. This is a provisional connection, not an outcome finding.</w:t>
      </w:r>
    </w:p>
    <w:p>
      <w:pPr>
        <w:pStyle w:val="SourceNote"/>
      </w:pPr>
      <w:r>
        <w:rPr>
          <w:b/>
        </w:rPr>
        <w:t>Available abstract (not full text):</w:t>
      </w:r>
      <w:r>
        <w:t xml:space="preserve"> The European Green Deal (EGD), which was adopted on 11 December 2019, placed people in the centre of its objective of achieving a climate-neutral economy and a sustainable society by 2050. Nevertheless, there were few references to human rights in the EGD and its roadmap. The EGD’s updated proposals are now found in the Clean Industrial Deal: A joint roadmap for competitiveness and decarbonisation (CID), adopted by the European Commission on 26 February 2025. The recent Deal brings together climate action and competitiveness under the same overarching growth strategy and tries to play a crucial role in protecting the citizens’ rights. This article first examines the policies and legal texts implemented under the EGD and the CID to assess the extent to which they expand the protection of human rights in the EU. Secondly, it analyses the legal remedies available in case of violations of these rights and how recent legislative initiatives (such as the CSDD Directive and the upcoming UN treaty) may strengthen this framework.</w:t>
      </w:r>
    </w:p>
    <w:p>
      <w:pPr>
        <w:pStyle w:val="Heading2"/>
      </w:pPr>
      <w:r>
        <w:t>614.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615.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pStyle w:val="Heading2"/>
      </w:pPr>
      <w:r>
        <w:t>616.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r>
        <w:rPr>
          <w:b/>
        </w:rPr>
        <w:t>POSSIBLE 2025:</w:t>
      </w:r>
      <w:r>
        <w:t xml:space="preserve"> Shaping the Residential Attractiveness of Towns in Lesser Poland in the Context of Urban Shrinkage — https://doi.org/10.2478/he-2025-0031</w:t>
      </w:r>
    </w:p>
    <w:p>
      <w:pPr/>
      <w:r>
        <w:rPr>
          <w:b/>
        </w:rPr>
        <w:t>Shared claim-specific concepts:</w:t>
      </w:r>
      <w:r>
        <w:t xml:space="preserve"> abstract, shrinkage, depopulation, decline, present, article; EU scope visible. This is a provisional connection, not an outcome finding.</w:t>
      </w:r>
    </w:p>
    <w:p>
      <w:pPr>
        <w:pStyle w:val="SourceNote"/>
      </w:pPr>
      <w:r>
        <w:rPr>
          <w:b/>
        </w:rPr>
        <w:t>Available abstract (not full text):</w:t>
      </w:r>
      <w:r>
        <w:t xml:space="preserve">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pPr/>
      <w:r>
        <w:rPr>
          <w:b/>
        </w:rPr>
        <w:t>POSSIBLE 2025:</w:t>
      </w:r>
      <w:r>
        <w:t xml:space="preserve"> Thriving or sinking? The emplacement process of Ukrainian refugees in depopulating, peripheral areas in the Netherlands — https://doi.org/10.1111/geoj.12621</w:t>
      </w:r>
    </w:p>
    <w:p>
      <w:pPr/>
      <w:r>
        <w:rPr>
          <w:b/>
        </w:rPr>
        <w:t>Shared claim-specific concepts:</w:t>
      </w:r>
      <w:r>
        <w:t xml:space="preserve"> abstract, depopulation, areas; EU scope visible. This is a provisional connection, not an outcome finding.</w:t>
      </w:r>
    </w:p>
    <w:p>
      <w:pPr>
        <w:pStyle w:val="SourceNote"/>
      </w:pPr>
      <w:r>
        <w:rPr>
          <w:b/>
        </w:rPr>
        <w:t>Available abstract (not full text):</w:t>
      </w:r>
      <w:r>
        <w:t xml:space="preserve">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pPr>
        <w:pStyle w:val="Heading2"/>
      </w:pPr>
      <w:r>
        <w:t>617.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2024:</w:t>
      </w:r>
      <w:r>
        <w:t xml:space="preserve"> Insights into the fine-scale habitat use of Eurasian Water Shrew ( Neomys fodiens ) using radio tracking and LiDAR — https://doi.org/10.1093/jmammal/gyae146</w:t>
      </w:r>
    </w:p>
    <w:p>
      <w:pPr/>
      <w:r>
        <w:rPr>
          <w:b/>
        </w:rPr>
        <w:t>Shared claim-specific concepts:</w:t>
      </w:r>
      <w:r>
        <w:t xml:space="preserve"> distribution, species, variables, combined; EU scope visible. This is a provisional connection, not an outcome finding.</w:t>
      </w:r>
    </w:p>
    <w:p>
      <w:pPr>
        <w:pStyle w:val="SourceNote"/>
      </w:pPr>
      <w:r>
        <w:rPr>
          <w:b/>
        </w:rPr>
        <w:t>Available abstract (not full text):</w:t>
      </w:r>
      <w:r>
        <w:t xml:space="preserve"> ) is one of the largest shrew (Soricidae) species in Eurasia. In Western Europe, this semiaquatic species often occurs in riparian and marshland habitats that have a high degree of naturalness, but is being threatened by habitat degradation and other anthropogenic factors. The species mostly occurs in low abundance and is elusive. Therefore, understanding its habitat use is challenging, yet imperative for establishing species-specific conservation measures. Technological developments in radio tracking and high-resolution remote sensing such as Light Detection And Ranging (LiDAR) now enable the quantification of ecological niches and provide insight into habitat requirements for a species. Here, we combined radio tracking and LiDAR to quantify habitat use by Eurasian water shrews. Alongside a lowland brook in the Netherlands, 20 individuals were tracked between September and October 2022, resulting in 332 unique locations of Eurasian water shrews. For each of these locations, 11 LiDAR-derived variables were calculated and subsequently analyzed in a species distribution model (SDM). The SDM yielded a model with a high accuracy (predictive performance AUC = 0.93). The variable of highest importance was dense and relatively short vegetation &lt;1 m, which had a positive effect on Eurasian Water Shrew occurrence. Open areas seem to be avoided. Vegetation of heights between 1 and 15 m w</w:t>
      </w:r>
    </w:p>
    <w:p>
      <w:pPr/>
      <w:r>
        <w:rPr>
          <w:b/>
        </w:rPr>
        <w:t>POSSIBLE 2024:</w:t>
      </w:r>
      <w:r>
        <w:t xml:space="preserve"> New Additions to the Mammal List Documented in the Portuguese Red Data Book — https://doi.org/10.3390/ani14172514</w:t>
      </w:r>
    </w:p>
    <w:p>
      <w:pPr/>
      <w:r>
        <w:rPr>
          <w:b/>
        </w:rPr>
        <w:t>Shared claim-specific concepts:</w:t>
      </w:r>
      <w:r>
        <w:t xml:space="preserve"> species, four, relevant; EU scope visible. This is a provisional connection, not an outcome finding.</w:t>
      </w:r>
    </w:p>
    <w:p>
      <w:pPr>
        <w:pStyle w:val="SourceNote"/>
      </w:pPr>
      <w:r>
        <w:rPr>
          <w:b/>
        </w:rPr>
        <w:t>Available abstract (not full text):</w:t>
      </w:r>
      <w:r>
        <w:t xml:space="preserve"> This study outlines the procedures used for collecting, processing, and categorizing data on 16 new mammal species for mainland Portugal, belonging to four taxonomic groups: Eulipotyphla (1), Chiroptera (4), Rodentia (2), and Cetacea (9). Data collection and processing encompassed field and lab work and bibliographic compilation. Data categorization involves, whenever possible, the assessment of the approximate number of mature individuals in populations, the extent of occurrence, and the area of occupancy. The approach employed led to the classification of eight out of the 16 species into an IUCN category: two non-volant small mammals and one bat species were designated as Vulnerable, requiring ongoing monitoring; one rodent and three cetaceans were assigned to Data Deficient due to insufficient available information; and a single bat species was classified as Least Concern due to the high abundance of local populations. For small mammals and bats, alterations to natural systems and climate change emerged as the most relevant threatening factors, while for cetaceans, human activities such as fishing, commercial shipping, and tourism were identified as the primary survival risks. It is recommended to maintain action programs that assist in defining strategic orientations for the implementation of conservation measures on a case-by-case basis.</w:t>
      </w:r>
    </w:p>
    <w:p>
      <w:pPr>
        <w:pStyle w:val="Heading2"/>
      </w:pPr>
      <w:r>
        <w:t>618.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2024:</w:t>
      </w:r>
      <w:r>
        <w:t xml:space="preserve"> Funding multinational investigator-initiated clinical studies in Europe: why and how? — https://doi.org/10.1186/s13063-024-08548-1</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Investigator-initiated clinical studies (IICSs), also referred to as non-commercial, academic or independent clinical studies, address important research questions that are usually neglected by industry despite their high societal value. Indeed, industry may direct their focus and resources on studies that will yield results and products that can ultimately generate revenue for the company. Conversely, IICS research questions include (a) refining or getting new indications of available treatments (drug repurposing); (b) optimisation, by comparing various health products or treatment regimens; and (c) innovation, especially for advanced therapies. Multinational IICSs increase the scientific quality of the data by exchange of research ideas, scientific techniques and tools. Participation of patients from different geographical, social and ethnic backgrounds equally adds to the value of study results and yields more generalisable evidence than a study confined to a single geographical location. Multinational IICSs are generally sponsored by non-profit/academic organisations and publicly funded. Funding has been already identified as a main challenge for the conduct IICS and especially for clinical trials (IICTs, IICS where a medical intervention is directly tested). Main barriers to the conduct of multinational IICTs with public funding include: Limitations of budget and duration </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2023:</w:t>
      </w:r>
      <w:r>
        <w:t xml:space="preserve"> Addressing Environmental Migration in the European Union Discourse — https://doi.org/10.14324/111.444/000203.v1</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pStyle w:val="Heading2"/>
      </w:pPr>
      <w:r>
        <w:t>619.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Prospects of the renewable economy as a “green” vector of sustainable development of the national economy of Ukraine — https://doi.org/10.35774/visnyk2025.02.259</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Introduction. In the context of global environmental challenges, energy security and national well-being, the issue of developing renewable energy sources (RES) is gaining priority for state development strategies. Ukraine, as a state with powerful natural resource potential, faces the challenges of energy transformation, which are determined by both foreign policy factors and internal socio-economic prerequisites. Purpose. Substantiation of the prospects for the development of renewable energy as a key direction of the «green» vector of sustainable development of the national economy of Ukraine. Methods. The research used a set of general scientific and special methods: methods of analysis and synthesis – for a theoretical understanding of the concept of sustainable development and the role of RES in its implementation; comparative analysis –for studying international experience in developing «green» energy and adapting it to Ukrainian realities; statistical method – for assessing the dynamics of the implementation of RES in Ukraine; the method of a systems approach – for considering renewable energy as a component of economic, environmental and social subsystems of sustainable development. Results. The article reveals that the system of development of renewable energy sources has great potential for the modernization of the energy sector of Ukraine. It is determined that inve</w:t>
      </w:r>
    </w:p>
    <w:p>
      <w:pPr/>
      <w:r>
        <w:rPr>
          <w:b/>
        </w:rPr>
        <w:t>POSSIBLE 2025:</w:t>
      </w:r>
      <w:r>
        <w:t xml:space="preserve"> DEVELOPMENT OF THE AGRICULTURAL SECTOR OF THE ECONOMY OF UKRAINE IN THE CONDITIONS OF EUROPEAN INTEGRATION — https://doi.org/10.37332/2309-1533.2025.3.3</w:t>
      </w:r>
    </w:p>
    <w:p>
      <w:pPr/>
      <w:r>
        <w:rPr>
          <w:b/>
        </w:rPr>
        <w:t>Shared claim-specific concepts:</w:t>
      </w:r>
      <w:r>
        <w:t xml:space="preserve"> three, agricultural, sector, ukraine, economy, pessimistic; EU scope visible. This is a provisional connection, not an outcome finding.</w:t>
      </w:r>
    </w:p>
    <w:p>
      <w:pPr>
        <w:pStyle w:val="SourceNote"/>
      </w:pPr>
      <w:r>
        <w:rPr>
          <w:b/>
        </w:rPr>
        <w:t>Available abstract (not full text):</w:t>
      </w:r>
      <w:r>
        <w:t xml:space="preserve"> Voloshchuk K.B., Voloshchuk V.R., Ilash O.M. DEVELOPMENT OF THE AGRICULTURAL SECTOR OF THE ECONOMY OF UKRAINE IN THE CONDITIONS OF EUROPEAN INTEGRATION Purpose. The aim of the article is to identify the main trends, consequences and deepen scientific approaches to substantiating scenarios for the development of the agricultural sector of Ukraine, while simultaneously identifying new opportunities for exporting products that are opening up in the context of European integration. Methodology of research. The following methods were used in the research process: analysis and synthesis – when studying the complex multi-component process of development of the agricultural sector of Ukraine, which requires harmonization of legal, economic and technical components in the context of European integration; dialectical and monographic – when studying the experience of the EU and Ukraine; using SWOT analysis, an interpretation of strengths and weaknesses, opportunities and threats was carried out; the Monte Carlo method was used to interpret the probability distribution of possible development scenarios; abstract and logical – when forming conclusions and proposals. Findings. Three possible scenarios for the development of the agricultural sector of the Ukrainian economy in the context of European integration have been identified: optimistic – expanding access to the EU and world markets, i</w:t>
      </w:r>
    </w:p>
    <w:p>
      <w:pPr>
        <w:pStyle w:val="Heading2"/>
      </w:pPr>
      <w:r>
        <w:t>620.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r>
        <w:rPr>
          <w:b/>
        </w:rPr>
        <w:t>POSSIBLE 2025:</w:t>
      </w:r>
      <w:r>
        <w:t xml:space="preserve"> Digital Health: Forecast for 2025-2030. — https://doi.org/10.29188/2712-9217-2025-11-3-7-18</w:t>
      </w:r>
    </w:p>
    <w:p>
      <w:pPr/>
      <w:r>
        <w:rPr>
          <w:b/>
        </w:rPr>
        <w:t>Shared claim-specific concepts:</w:t>
      </w:r>
      <w:r>
        <w:t xml:space="preserve"> systemic, period, main; EU scope not established. This is a provisional connection, not an outcome finding.</w:t>
      </w:r>
    </w:p>
    <w:p>
      <w:pPr>
        <w:pStyle w:val="SourceNote"/>
      </w:pPr>
      <w:r>
        <w:rPr>
          <w:b/>
        </w:rPr>
        <w:t>Available abstract (not full text):</w:t>
      </w:r>
      <w:r>
        <w:t xml:space="preserve"> This report presents a forecast for the development of digital healthcare for the period 2025–2030, based exclusively on the principles of evidence-based medicine (EBM) and an analysis of regulatory trends. The years 2025–2030 will mark a fundamental transition – from the stage of proving concepts and demonstrating clinical efficacy to the stage of large-scale implementation, optimization of integration processes, and demonstration of value. The key challenges during this period will be not technological constraints, but systemic issues: ensuring semantic interoperability of data, adapting the regulatory framework – particularly regarding artificial intelligence—and overcoming barriers to real-world adoption, including the shortage of trained personnel, physician cognitive overload, and the lack of seamless integration into existing clinical workflows. The main conclusion is that technologies unable to demonstrate clear economic efficiency and seamless integration into existing IT infrastructures will not be adopted by practicing clinicians and healthcare administrators, regardless of their reported clinical accuracy. Successful implementation will require healthcare leaders to invest primarily in people and processes, not solely in software.</w:t>
      </w:r>
    </w:p>
    <w:p>
      <w:pPr/>
      <w:r>
        <w:rPr>
          <w:b/>
        </w:rPr>
        <w:t>POSSIBLE 2025:</w:t>
      </w:r>
      <w:r>
        <w:t xml:space="preserve"> RARE VARIANTS OF PAH RISK GENES ASSOCIATE WITH A DISTINCT VASCULOPATHY PHENOTYPE AND WORSE OUTCOMES IN PATIENTS WITH SYSTEMIC LUPUS ERYTHEMATOSUS-ASSOCIATED PULMONARY ARTERIAL HYPERTENSION — https://doi.org/10.3899/jrheum.2025-0390.pv109</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PV109 / #563 Poster Topic: AS12 - Genetics, Epigenetics, Transcriptomics Background/Purpose Systemic lupus erythematosus (SLE)-associated pulmonary arterial hypertension (PAH) displays significant clinical heterogeneity; Presently, more than 20 risk genes have been identified to be closely linked to the pathogenesis and prognosis of idiopathic and familial PAH. However, the role of rare variants of PAH risk genes in SLE-associated PAH remains largely unknown. Methods Based on the Chinese SLE Treatment and Research Group (CSTAR)-PAH cohort, 241 patients with SLE-associated PAH were recruited and screened for rare deleterious variants in 28 known PAH risk genes by whole exome sequencing. Clinical features, hemodynamic characteristics and outcomes were compared between variant carriers and noncarriers. Another 87 patients with SLE-associated PAH were included as genetic replication cohort. Results 51 patients of SLE-associated PAH (21.5%) carried rare variants of PAH risk genes, which is significantly higher than control group (13.9%, P=0.009). This finding was replicated in the independent validation cohort. Among patients with SLE-associated PAH, carriers had a shorter PAH duration from SLE onset, a higher proportion of PAH as the onset symptom of SLE and lower SLE disease activity. Carrying rare variants of PAH risk genes was identified as an independent prognostic factor of mo</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pStyle w:val="Heading2"/>
      </w:pPr>
      <w:r>
        <w:t>621.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2024:</w:t>
      </w:r>
      <w:r>
        <w:t xml:space="preserve"> The European Climate Law – a suitable legal basis for the European Advisory Board on Climate Change? — https://openalex.org/W7215143138</w:t>
      </w:r>
    </w:p>
    <w:p>
      <w:pPr/>
      <w:r>
        <w:rPr>
          <w:b/>
        </w:rPr>
        <w:t>Shared claim-specific concepts:</w:t>
      </w:r>
      <w:r>
        <w:t xml:space="preserve"> basis, increase, union; EU scope visible. This is a provisional connection, not an outcome finding.</w:t>
      </w:r>
    </w:p>
    <w:p>
      <w:pPr>
        <w:pStyle w:val="SourceNote"/>
      </w:pPr>
      <w:r>
        <w:rPr>
          <w:b/>
        </w:rPr>
        <w:t>Available abstract (not full text):</w:t>
      </w:r>
      <w:r>
        <w:t xml:space="preserve"> To combat climate change, the European Union (EU) adopted the European Climate Law (ECL) which, inter alia, establishes the European Scientific Advisory Board on Climate Change (ESABCC).This new scientific advisory body shall serve as a point of reference for the EU regarding scientific knowledge on climate change.In this context, the thesis examines whether the ECL is a suitable legal basis for the successful operation of the ESABCC, and what aspects could be improved.Therefore, the thesis identifies by literature review the most crucial elements of the legal basis of scientific advisory bodies on climate change and conducts based on those factors a comparative legal analysis.During this, the strengths and weaknesses of the United Kingdom's Climate Change Committee (CCC), the German Council of Experts on Climate Change (ERK), and the Climate Change Advisory Council of Ireland (CCAC) are analyzed and compared with the ESABCC.The final analysis of the ESABCC concludes that the ECL only partly provides a suitable legal basis for the ESABCC.The ECL's strengths are identified to lay in the stability and scope of the legal mandate, the composition and capacity as well as the degree of self-determination.However, particularly with regards to the specificity of the legal mandate, transparency, and the ESABCC's role in the policy context, significant amendments are required to increase</w:t>
      </w:r>
    </w:p>
    <w:p>
      <w:pPr>
        <w:pStyle w:val="Heading2"/>
      </w:pPr>
      <w:r>
        <w:t>622.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r>
        <w:rPr>
          <w:b/>
        </w:rPr>
        <w:t>POSSIBLE 2025:</w:t>
      </w:r>
      <w:r>
        <w:t xml:space="preserve"> Ramp metering revealed: a comprehensive literature review — https://doi.org/10.1108/srt-10-2024-0014</w:t>
      </w:r>
    </w:p>
    <w:p>
      <w:pPr/>
      <w:r>
        <w:rPr>
          <w:b/>
        </w:rPr>
        <w:t>Shared claim-specific concepts:</w:t>
      </w:r>
      <w:r>
        <w:t xml:space="preserve"> findings, ramp, technological; EU scope not established. This is a provisional connection, not an outcome finding.</w:t>
      </w:r>
    </w:p>
    <w:p>
      <w:pPr>
        <w:pStyle w:val="SourceNote"/>
      </w:pPr>
      <w:r>
        <w:rPr>
          <w:b/>
        </w:rPr>
        <w:t>Available abstract (not full text):</w:t>
      </w:r>
      <w:r>
        <w:t xml:space="preserve"> Purpose The purpose of this study is to analyze and synthesize existing research on various ramp metering systems to evaluate their effectiveness in optimizing traffic flow, enhancing safety, reducing congestion, and identifying future research directions for integrating advanced technologies. Design/methodology/approach This literature review synthesizes research spanning several decades to evaluate the effectiveness of various ramp metering systems, including fixed-time, actuated, traffic-responsive and adaptive methods. Findings The success of ramp metering is contingent upon several factors. Public compliance is crucial, as resistance to ramp metering signals can diminish its effectiveness. Effective public education is necessary to convey the long-term benefits of smoother traffic and safer roads. Technological challenges, particularly regarding sensor accuracy and data processing, also present obstacles to system performance. Originality/value This study provides a comprehensive literature review on ramp metering as a traffic management strategy, showcasing its evolution and effectiveness over decades in optimizing highway entry rates, improving traffic flow, enhancing safety and reducing environmental impacts, while also addressing ongoing challenges and future opportunities for innovation.</w:t>
      </w:r>
    </w:p>
    <w:p>
      <w:pPr/>
      <w:r>
        <w:rPr>
          <w:b/>
        </w:rPr>
        <w:t>POSSIBLE 2025:</w:t>
      </w:r>
      <w:r>
        <w:t xml:space="preserve"> Power−efficient ramped stimulation in a fully implantable cochlear implant — https://doi.org/10.1038/s41598-025-25077-2</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Cochlear implants (CIs) are among the most established neuromodulation devices, providing auditory perception through electrical stimulation of the auditory nerve. While conventional stimulation strategies rely on symmetric biphasic rectangular pulses, alternative pulse shapes may offer improvements in neural activation and energy efficiency-particularly for fully implantable CI systems where power consumption is a key limitation. In this study, we investigate the efficacy of anodic-first ramped biphasic pulse shapes compared to conventional anodic-first rectangular pulses, using a custom-designed fully implantable cochlear implant (FICI) system in an in vivo guinea pig model. Electrically evoked auditory brainstem responses (eABRs) were recorded in response to four charge-balanced waveform types: Rectangular, RampUp, RampDown, and RampLong. In this single-subject feasibility study, ramped waveforms elicited significantly larger eABR amplitudes, steeper input-output functions, and shorter latencies compared to rectangular pulses. Additionally, we characterized transmission efficiency across the electrode-tissue interface by analyzing waveform spectra and their attenuation through a frequency-dependent medium model. After correcting for these medium-specific losses, in the anodic-first biphasic configuration, RampUp and RampLong pulses demonstrated up to 19-22% improvement in po</w:t>
      </w:r>
    </w:p>
    <w:p>
      <w:pPr/>
      <w:r>
        <w:rPr>
          <w:b/>
        </w:rPr>
        <w:t>POSSIBLE 2025:</w:t>
      </w:r>
      <w:r>
        <w:t xml:space="preserve"> Variability in Paediatric Patch Test Practices Across Europe: A Survey From the European Baseline Series ( EBS ) Working Party on Behalf of the European Society of Contact Dermatitis ( ESCD ) — https://doi.org/10.1111/cod.14824</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BACKGROUND: Allergic contact dermatitis (ACD) is an increasingly recognised condition in children and adolescents. However, there is limited knowledge about the different paediatric patch test procedures in European patch test clinics. OBJECTIVES: To map current European paediatric patch test practices, and to relate these to the existing literature, with the aim of guiding the development of a future paediatric patch test guideline, and a corresponding paediatric European baseline series (pEBS). MATERIALS AND METHODS: In the course of late 2023/early 2024, a standardised paediatric patch test e-mail questionnaire was developed, distributed, and discussed among members of the European Baseline Series (EBS) Working Party of the European Society of Contact Dermatitis (ESCD). RESULTS: Areas of agreement and discussion were identified regarding patch testing in children of different ages, with and without atopic dermatitis: (contra)indications, choice of allergens and patch test chambers, peculiarities regarding the application and fixation of tests, occlusion and reading times. CONCLUSION: Although variability exists in paediatric patch test practices across Europe, there is broad agreement on common procedures, and only a few areas of debate; these findings may be used to inform the development of a future paediatric patch test guideline and pEBS.</w:t>
      </w:r>
    </w:p>
    <w:p>
      <w:pPr/>
      <w:r>
        <w:rPr>
          <w:b/>
        </w:rPr>
        <w:t>POSSIBLE 2025:</w:t>
      </w:r>
      <w:r>
        <w:t xml:space="preserve"> Evaluating the Impact of the Health Navigator Model on Housing Status Among People Experiencing Homelessness in Four European Countries — https://doi.org/10.3390/healthcare13212805</w:t>
      </w:r>
    </w:p>
    <w:p>
      <w:pPr/>
      <w:r>
        <w:rPr>
          <w:b/>
        </w:rPr>
        <w:t>Shared claim-specific concepts:</w:t>
      </w:r>
      <w:r>
        <w:t xml:space="preserve"> findings, baseline, needs, strategies, conclusions, four; EU scope visible. This is a provisional connection, not an outcome finding.</w:t>
      </w:r>
    </w:p>
    <w:p>
      <w:pPr>
        <w:pStyle w:val="SourceNote"/>
      </w:pPr>
      <w:r>
        <w:rPr>
          <w:b/>
        </w:rPr>
        <w:t>Available abstract (not full text):</w:t>
      </w:r>
      <w:r>
        <w:t xml:space="preserve"> Background: People experiencing homelessness (PEH) face significant health disparities and systemic barriers to healthcare, elevating their risk for cancer and other chronic diseases. To tackle PEHs’ challenges in accessing cancer preventive care, the CANCERLESS project implemented the Health Navigator Model (HNM)—a person-centered intervention that utilizes trained Health Navigators to provide tailored support and facilitate service access. Recognizing housing as a key determinant of health, this analysis assessed changes in housing status associated with participation in the HNM among CANCERLESS participants in Austria, Greece, Spain, and the UK. Methods: This was a secondary analysis of cross-national data collected during a single-arm interventional study. Of 652 enrolled PEH, 277 (42.5%) completed the HNM intervention follow-up and were included in the analysis. Changes in housing status from baseline to follow-up were categorized using the European Typology of Homelessness and Housing Exclusion (ETHOS) and treated as an ordered outcome. Descriptive statistics were complemented by a cumulative link mixed model with a participant random intercept to estimate the association between time (follow-up vs. baseline) and housing transitions among completers, adjusting for age, residence/legal status, and daily smoking. Results: Participants had a mean age of 47.4 (SD 13.8), prima</w:t>
      </w:r>
    </w:p>
    <w:p>
      <w:pPr/>
      <w:r>
        <w:rPr>
          <w:b/>
        </w:rPr>
        <w:t>POSSIBLE 2025:</w:t>
      </w:r>
      <w:r>
        <w:t xml:space="preserve"> Medial Meniscus Ramp Lesions: A Review of Treatment Methods and Clinical Outcomes — https://doi.org/10.35630/2025/15/3.304</w:t>
      </w:r>
    </w:p>
    <w:p>
      <w:pPr/>
      <w:r>
        <w:rPr>
          <w:b/>
        </w:rPr>
        <w:t>Shared claim-specific concepts:</w:t>
      </w:r>
      <w:r>
        <w:t xml:space="preserve"> strategies, ramp, conclusions; EU scope not established. This is a provisional connection, not an outcome finding.</w:t>
      </w:r>
    </w:p>
    <w:p>
      <w:pPr>
        <w:pStyle w:val="SourceNote"/>
      </w:pPr>
      <w:r>
        <w:rPr>
          <w:b/>
        </w:rPr>
        <w:t>Available abstract (not full text):</w:t>
      </w:r>
      <w:r>
        <w:t xml:space="preserve"> Introduction: Ramp lesions of the medial meniscus (tears at the meniscocapsular junction of the posterior horn) have historically been underdiagnosed but are now recognized as a common co-injury in anterior cruciate ligament (ACL) tears. Their prevalence, impact on knee biomechanics, and clinical outcomes following different treatment strategies remain subjects of increasing interest and debate. Objective: This review aims to summarize current anatomical knowledge, diagnostic approaches, classification systems, and treatment options for ramp lesions, with a focus on their relevance in arthroscopic surgery and rehabilitation outcomes. Results: MRI remains a widely used but imperfect diagnostic tool, with sensitivity ranging from 65% to 71%. Arthroscopic evaluation, particularly via posteromedial or trans-notch portals, is considered the gold standard. Treatment strategies depend on lesion stability: stable ramp lesions may be observed or treated with biological augmentation (e.g., abrasion or trephination), while unstable lesions typically require repair. Surgical techniques include all-inside sutures (anterior or posteromedial), inside-out methods, and hybrid approaches. Clinical outcomes following surgical repair are generally favorable, with improved IKDC and Lysholm scores. However, high-level evidence comparing treatment strategies remains limited. Conclusions: Unstable ram</w:t>
      </w:r>
    </w:p>
    <w:p>
      <w:pPr>
        <w:pStyle w:val="Heading2"/>
      </w:pPr>
      <w:r>
        <w:t>623.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r>
        <w:rPr>
          <w:b/>
        </w:rPr>
        <w:t>POSSIBLE 2025:</w:t>
      </w:r>
      <w:r>
        <w:t xml:space="preserve"> A diagnostic intercomparison of modeled ozone dry deposition over North America and Europe using AQMEII4 regional-scale simulations — https://doi.org/10.5194/acp-25-12629-2025</w:t>
      </w:r>
    </w:p>
    <w:p>
      <w:pPr/>
      <w:r>
        <w:rPr>
          <w:b/>
        </w:rPr>
        <w:t>Shared claim-specific concepts:</w:t>
      </w:r>
      <w:r>
        <w:t xml:space="preserve"> simulations, significant, increase; EU scope visible. This is a provisional connection, not an outcome finding.</w:t>
      </w:r>
    </w:p>
    <w:p>
      <w:pPr>
        <w:pStyle w:val="SourceNote"/>
      </w:pPr>
      <w:r>
        <w:rPr>
          <w:b/>
        </w:rPr>
        <w:t>Available abstract (not full text):</w:t>
      </w:r>
      <w:r>
        <w:t xml:space="preserve"> This study analyzes ozone (O3) dry deposition fluxes and velocities (Vd) from twelve regional-scale simulations that were performed over North America and Europe in Phase 4 of the Air Quality Model Evaluation International Initiative (AQMEII4). AQMEII4 collected grid-aggregated and land use (LU)-specific O3 Vd and effective conductances and fluxes for the four major dry deposition pathways. Consistent with recent findings in the AQMEII4 point model intercomparison study, analysis of the grid-aggregated fields shows that grid models with similar Vd can exhibit significant differences in the absolute and relative contributions of the different depositional pathways. Analysis of LU-specific Vd and effective conductances reveals a general increase in model spread compared to grid-aggregated values. This indicates that an analysis of only grid-aggregated deposition diagnostics can mask process-specific differences that exist between schemes. An analysis of AQMEII4 LU distributions across models revealed substantial differences in the spatial patterns and abundance of certain LU categories over both domains, especially for non-forest partially vegetated categories such as agricultural areas, shrubland, and grassland. We demonstrate that these differences can significantly contribute to or even drive differences in LU-specific dry deposition fluxes which can increase the variability i</w:t>
      </w:r>
    </w:p>
    <w:p>
      <w:pPr/>
      <w:r>
        <w:rPr>
          <w:b/>
        </w:rPr>
        <w:t>POSSIBLE 2025:</w:t>
      </w:r>
      <w:r>
        <w:t xml:space="preserve"> Exploring the impact of autonomous vehicles on youth mobility through focus groups and simulations — https://doi.org/10.1016/j.trip.2025.101723</w:t>
      </w:r>
    </w:p>
    <w:p>
      <w:pPr/>
      <w:r>
        <w:rPr>
          <w:b/>
        </w:rPr>
        <w:t>Shared claim-specific concepts:</w:t>
      </w:r>
      <w:r>
        <w:t xml:space="preserve"> simulations, transport, mobility, significant, shift, walking; EU scope visible. This is a provisional connection, not an outcome finding.</w:t>
      </w:r>
    </w:p>
    <w:p>
      <w:pPr>
        <w:pStyle w:val="SourceNote"/>
      </w:pPr>
      <w:r>
        <w:rPr>
          <w:b/>
        </w:rPr>
        <w:t>Available abstract (not full text):</w:t>
      </w:r>
      <w:r>
        <w:t xml:space="preserve"> • Teenagers prefer AVs for independence and flexibility. • Simulation shows shift towards robotaxis, less walking and public transport. • Girls are more likely to use robotaxis, highlighting gender preferences. • Policies needed to balance AV usage with active modes and public transport. The imminent introduction of autonomous vehicles (AVs) represents a significant revolution in transportation, offering unique opportunities to enhance the sustainability and efficiency of urban transport systems. This study uniquely combines qualitative focus groups with European school students and quantitative activity-based simulation models to compare teenagers’ reactions to AVs. Focus groups gathered insights into their current mobility habits and perceptions of AVs. The simulation model then evaluated the potential impacts of AVs, specifically robotaxis and autonomous shuttles, on teenagers’ travel behaviour in Santander, Spain. The results reveal a strong interest in AVs among teenagers, particularly for the independence and flexibility they offer. However, practical considerations such as cost, availability, and parental preferences continue to influence their mobility choices. The simulation results indicate a significant shift towards robotaxis, reducing walking and public transport usage. Gender-specific preferences were also noted, with girls being more likely to use robotaxis. The </w:t>
      </w:r>
    </w:p>
    <w:p>
      <w:pPr/>
      <w:r>
        <w:rPr>
          <w:b/>
        </w:rPr>
        <w:t>POSSIBLE 2025:</w:t>
      </w:r>
      <w:r>
        <w:t xml:space="preserve"> Reviewing autonomous vehicle simulation literature: policy insights for transportation — https://doi.org/10.1080/01441647.2025.2545224</w:t>
      </w:r>
    </w:p>
    <w:p>
      <w:pPr/>
      <w:r>
        <w:rPr>
          <w:b/>
        </w:rPr>
        <w:t>Shared claim-specific concepts:</w:t>
      </w:r>
      <w:r>
        <w:t xml:space="preserve"> significant, increase; EU scope not established. This is a provisional connection, not an outcome finding.</w:t>
      </w:r>
    </w:p>
    <w:p>
      <w:pPr>
        <w:pStyle w:val="SourceNote"/>
      </w:pPr>
      <w:r>
        <w:rPr>
          <w:b/>
        </w:rPr>
        <w:t>Available abstract (not full text):</w:t>
      </w:r>
      <w:r>
        <w:t xml:space="preserve"> As autonomous vehicle (AV) technology progresses, a substantial amount of AV simulation work has studied potential future outcomes that could occur given different assumptions, scopes and technologies. As a revolutionary technology, AVs could have significant impacts on urban economic, environmental and social systems. In many cases, the research is directed towards decisionmakers: transportation authorities, policymakers and fleet operators. However, due to the complexity and uncertainty of AV adoption in interconnected urban systems such as transportation and land use, it is difficult for policymakers to understand the overlapping policy suggestions and results across the many simulation studies. In this paper, we summarise the suggested policies in AV simulation research from 170 studies published during 2016–2024 and provide context for the policies being suggested. Specifically, the key question we try to answer is: what are the recommended AV policies based on simulation studies? Many simulation results have shown increased vehicle miles/kilometers travelled (VMT/VKT) due to induced demand, empty vehicle repositioning, or cruising instead of parking. In response, we found common policy recommendations such as congestion pricing, subsidising car-sharing and ride-pooling, increasing parking costs, investing in public transportation and restricting AV demand as ways to addre</w:t>
      </w:r>
    </w:p>
    <w:p>
      <w:pPr/>
      <w:r>
        <w:rPr>
          <w:b/>
        </w:rPr>
        <w:t>POSSIBLE 2025:</w:t>
      </w:r>
      <w:r>
        <w:t xml:space="preserve"> Assessing innovative transport technologies and policies — https://doi.org/10.5463/thesis.1257</w:t>
      </w:r>
    </w:p>
    <w:p>
      <w:pPr/>
      <w:r>
        <w:rPr>
          <w:b/>
        </w:rPr>
        <w:t>Shared claim-specific concepts:</w:t>
      </w:r>
      <w:r>
        <w:t xml:space="preserve"> show, transport, mobility, increase; EU scope visible. This is a provisional connection, not an outcome finding.</w:t>
      </w:r>
    </w:p>
    <w:p>
      <w:pPr>
        <w:pStyle w:val="SourceNote"/>
      </w:pPr>
      <w:r>
        <w:rPr>
          <w:b/>
        </w:rPr>
        <w:t>Available abstract (not full text):</w:t>
      </w:r>
      <w:r>
        <w:t xml:space="preserve"> This thesis studies innovative transport technologies and policies, specifically tradable permits and autonomous vehicles (AVs), using spatial general-equilibrium models in both monocentric and polycentric settings. Using the monocentric model, we find that an allocation of tradable mobility permits to households in proportion to their labor supply can achieve nearly first-best welfare outcomes, outperforming the other allocations analyzed (uniform across households, proportional to distance to the CBD, and proportional to kilometers traveled), and also outperforming a flat kilometer road pricing scheme. This is due to the allocation proportional to labor supply having an effect that is analogous to the revenue recycling effects of road pricing, but with greater flexibility since the allocation of permits together with the price per kilometer are decided by the planner. We analyze the welfare and distributional aspects of AVs by adding heterogeneity in households' income to the monocentric city model, also studying the effects of labor tax adjustments that are possible due to the variation in labor supply induced by AVs. We find that AVs increase aggregate welfare in all the simulated scenarios, but the distributional impacts vary. In cities where the high-income households are initially located closer to the CBD (the EU city) low-skilled households exhibit welfare losses due t</w:t>
      </w:r>
    </w:p>
    <w:p>
      <w:pPr/>
      <w:r>
        <w:rPr>
          <w:b/>
        </w:rPr>
        <w:t>POSSIBLE 2025:</w:t>
      </w:r>
      <w:r>
        <w:t xml:space="preserve"> Variability of transport emissions and policy implications for the transition towards low-carbon transport — https://doi.org/10.1080/12265934.2025.2452512</w:t>
      </w:r>
    </w:p>
    <w:p>
      <w:pPr/>
      <w:r>
        <w:rPr>
          <w:b/>
        </w:rPr>
        <w:t>Shared claim-specific concepts:</w:t>
      </w:r>
      <w:r>
        <w:t xml:space="preserve"> transport, significant; EU scope not established. This is a provisional connection, not an outcome finding.</w:t>
      </w:r>
    </w:p>
    <w:p>
      <w:pPr>
        <w:pStyle w:val="SourceNote"/>
      </w:pPr>
      <w:r>
        <w:rPr>
          <w:b/>
        </w:rPr>
        <w:t>Available abstract (not full text):</w:t>
      </w:r>
      <w:r>
        <w:t xml:space="preserve"> This paper investigates intra-week variability of transport emissions using 2019 English National Travel Survey data. The unique lens of emissions variability sheds new light on the conceptualization, measurement and challenges of sustainable travel. Specifically, our analysis shows significant heterogeneity along three dimensions, (1) intra-week travel emissions; (2) the level and the variability of weekly emissions within each generic socio-economic group; and (3) latent emissions profiles across the population, which are identified using a latent profile model. Our empirical analysis demonstrates that the socio-economic status alone cannot capture the nuanced emission characteristics across traveller groups. The positive correlation between socio-economic status and travel emissions is subject to significant compositional effects. It is argued that transport sustainability is a relative term, and its definition and usefulness in a policy context are dependent on the benchmark selected. The paper calls for a more purposeful and relatable approach for segmenting travellers in designing sustainable travel policies. A dual focus on the level and the variability of travel emissions offers a new perspective for understanding travel behaviour heterogeneity and adaptability.HighlightsSignificant intra-week variability of transport emissions in EnglandLatent travel emissions profiles</w:t>
      </w:r>
    </w:p>
    <w:p>
      <w:pPr>
        <w:pStyle w:val="Heading2"/>
      </w:pPr>
      <w:r>
        <w:t>624.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2025:</w:t>
      </w:r>
      <w:r>
        <w:t xml:space="preserve"> Fertility concerns and fertility preservation in adolescent and adult men with cancer — https://doi.org/10.69622/29196932.v1</w:t>
      </w:r>
    </w:p>
    <w:p>
      <w:pPr/>
      <w:r>
        <w:rPr>
          <w:b/>
        </w:rPr>
        <w:t>Shared claim-specific concepts:</w:t>
      </w:r>
      <w:r>
        <w:t xml:space="preserve"> fertility, over, significantly, compared, recent; EU scope not established. This is a provisional connection, not an outcome finding.</w:t>
      </w:r>
    </w:p>
    <w:p>
      <w:pPr>
        <w:pStyle w:val="SourceNote"/>
      </w:pPr>
      <w:r>
        <w:rPr>
          <w:b/>
        </w:rPr>
        <w:t>Available abstract (not full text):</w:t>
      </w:r>
      <w:r>
        <w:t xml:space="preserve"> Long-term survival among young men with cancer have improved markedly in recent decades, shifting focus from life-saving treatments to long-term quality of life and reproductive health. Cancer treatments such as chemotherapy, radiotherapy, and surgery can impair spermatogenesis and fertility. Although sperm cryopreservation is the only established fertility preservation method for men, semen quality may be compromised already at diagnosis. Moreover, long-term reproductive outcomes and the psychosocial consequences of impaired fertility—such as distress and uncertainty about future parenthood—remain insufficiently understood. This thesis aimed to investigate biological and psychosocial aspects of fertility in men diagnosed with cancer, with a particular focus on patients with testicular cancer, the most common malignancy in young adult males. In Study I, 182 men with clinical stage I testicular cancer, recruited from two Swedish oncology centers between 2001 and 2006, were prospectively followed for five years to assess sperm quality after adjuvant treatment. Semen samples were collected at baseline (post-orchiectomy but before adjuvant therapy) and at 6, 12, 24, 36, and 60 months. The adjuvant treatments included radiotherapy (25.2 Gy in 14 fractions), chemotherapy with one cycle of bleomycin, etoposide, cisplatin or one cycle of carboplatin (AUC 7). One group was managed with </w:t>
      </w:r>
    </w:p>
    <w:p>
      <w:pPr/>
      <w:r>
        <w:rPr>
          <w:b/>
        </w:rPr>
        <w:t>POSSIBLE 2025:</w:t>
      </w:r>
      <w:r>
        <w:t xml:space="preserve"> Fertility concerns and fertility preservation in adolescent and adult men with cancer — https://doi.org/10.69622/29196932</w:t>
      </w:r>
    </w:p>
    <w:p>
      <w:pPr/>
      <w:r>
        <w:rPr>
          <w:b/>
        </w:rPr>
        <w:t>Shared claim-specific concepts:</w:t>
      </w:r>
      <w:r>
        <w:t xml:space="preserve"> fertility, over, significantly, compared, recent; EU scope not established. This is a provisional connection, not an outcome finding.</w:t>
      </w:r>
    </w:p>
    <w:p>
      <w:pPr>
        <w:pStyle w:val="SourceNote"/>
      </w:pPr>
      <w:r>
        <w:rPr>
          <w:b/>
        </w:rPr>
        <w:t>Available abstract (not full text):</w:t>
      </w:r>
      <w:r>
        <w:t xml:space="preserve"> Long-term survival among young men with cancer have improved markedly in recent decades, shifting focus from life-saving treatments to long-term quality of life and reproductive health. Cancer treatments such as chemotherapy, radiotherapy, and surgery can impair spermatogenesis and fertility. Although sperm cryopreservation is the only established fertility preservation method for men, semen quality may be compromised already at diagnosis. Moreover, long-term reproductive outcomes and the psychosocial consequences of impaired fertility—such as distress and uncertainty about future parenthood—remain insufficiently understood. This thesis aimed to investigate biological and psychosocial aspects of fertility in men diagnosed with cancer, with a particular focus on patients with testicular cancer, the most common malignancy in young adult males. In Study I, 182 men with clinical stage I testicular cancer, recruited from two Swedish oncology centers between 2001 and 2006, were prospectively followed for five years to assess sperm quality after adjuvant treatment. Semen samples were collected at baseline (post-orchiectomy but before adjuvant therapy) and at 6, 12, 24, 36, and 60 months. The adjuvant treatments included radiotherapy (25.2 Gy in 14 fractions), chemotherapy with one cycle of bleomycin, etoposide, cisplatin or one cycle of carboplatin (AUC 7). One group was managed with </w:t>
      </w:r>
    </w:p>
    <w:p>
      <w:pPr/>
      <w:r>
        <w:rPr>
          <w:b/>
        </w:rPr>
        <w:t>POSSIBLE 2025:</w:t>
      </w:r>
      <w:r>
        <w:t xml:space="preserve"> The increasing importance of changes in nuptiality: policy mismatch and fertility decline in low-fertility Asian societies — https://doi.org/10.1080/21620555.2025.2480296</w:t>
      </w:r>
    </w:p>
    <w:p>
      <w:pPr/>
      <w:r>
        <w:rPr>
          <w:b/>
        </w:rPr>
        <w:t>Shared claim-specific concepts:</w:t>
      </w:r>
      <w:r>
        <w:t xml:space="preserve"> fertility, decline, recent; EU scope not established. This is a provisional connection, not an outcome finding.</w:t>
      </w:r>
    </w:p>
    <w:p>
      <w:pPr>
        <w:pStyle w:val="SourceNote"/>
      </w:pPr>
      <w:r>
        <w:rPr>
          <w:b/>
        </w:rPr>
        <w:t>Available abstract (not full text):</w:t>
      </w:r>
      <w:r>
        <w:t xml:space="preserve"> Despite the strong relationship between marriage and childbearing in Asian societies, policies addressing “lowest-low” fertility have often prioritized parity progression within married couples while overlooking a concurrent and increasingly significant trend: the rising prevalence of delayed marriage and nonmarriage. Against this backdrop, we first discuss recent fertility trends and the role of marriage in declining fertility, then review policy efforts in South Korea, Japan, Taiwan, and Singapore, arguing that these pronatalist policies have been mistargeted. We subsequently examine the extent to which the decrease in fertility is attributable to changes in marital fertility versus shifts in nuptiality. Our decomposition analysis of fertility trends using data from the United Nations Population Division shows that while a decline in marital fertility played a dominant role during the initial stages of the fertility transition, nuptiality has been the primary driver of decreasing fertility rates in recent decades. These findings highlight the importance of the growing incidence of singlehood and the potential, albeit modest, increase in diverse family forms, both of which have received scant attention in policy discourse.</w:t>
      </w:r>
    </w:p>
    <w:p>
      <w:pPr/>
      <w:r>
        <w:rPr>
          <w:b/>
        </w:rPr>
        <w:t>POSSIBLE 2025:</w:t>
      </w:r>
      <w:r>
        <w:t xml:space="preserve"> Impact of Coronavirus Disease 2019 on Fertility: An Integrative Review — https://doi.org/10.1002/hpm.3908</w:t>
      </w:r>
    </w:p>
    <w:p>
      <w:pPr/>
      <w:r>
        <w:rPr>
          <w:b/>
        </w:rPr>
        <w:t>Shared claim-specific concepts:</w:t>
      </w:r>
      <w:r>
        <w:t xml:space="preserve"> fertility, fewer, pandemic, recent, countries; EU scope not established. This is a provisional connection, not an outcome finding.</w:t>
      </w:r>
    </w:p>
    <w:p>
      <w:pPr>
        <w:pStyle w:val="SourceNote"/>
      </w:pPr>
      <w:r>
        <w:rPr>
          <w:b/>
        </w:rPr>
        <w:t>Available abstract (not full text):</w:t>
      </w:r>
      <w:r>
        <w:t xml:space="preserve"> This integrative review aimed to explore the impact of the spread of coronavirus disease 2019 (COVID-19) on fertility to establish foundational knowledge and guide future epidemiological studies. The PubMed and Central Journal of Medicine databases were searched, yielding 80 relevant articles published between 2019 and 2021. Of these, 14 were published in Japanese and 66 in English. None of the Japanese studies met the inclusion criteria. Fourteen English-language studies, all of which were retrieved from PubMed, were included in the final analysis. No relevant literature was found in the Central Journal of Medicine. The keywords used were COVID-19, fertility, and demographics. COVID-19 led to an increase in unplanned pregnancies and abortions in developing countries. Fever associated with the infection was suggested to have reduced sperm concentration and motility, and the spread of the infection caused young couples to delay childbearing, potentially decreasing fertility. Conversely, relatively older couples showed fewer changes in their childbearing plans, indicating that COVID-19 had both positive and negative effects on fertility. Physical, psychological, and economic factors as well as sex, age, and cultural background exerted complex effects on fertility. Herein, the impact of social crises on fertility rates has been discussed in the context of the recent COVID-19 pande</w:t>
      </w:r>
    </w:p>
    <w:p>
      <w:pPr>
        <w:pStyle w:val="Heading2"/>
      </w:pPr>
      <w:r>
        <w:t>625.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r>
        <w:rPr>
          <w:b/>
        </w:rPr>
        <w:t>POSSIBLE 2025:</w:t>
      </w:r>
      <w:r>
        <w:t xml:space="preserve"> The Space–Nuclear Nexus in European Security — https://doi.org/10.55163/gepv2578</w:t>
      </w:r>
    </w:p>
    <w:p>
      <w:pPr/>
      <w:r>
        <w:rPr>
          <w:b/>
        </w:rPr>
        <w:t>Shared claim-specific concepts:</w:t>
      </w:r>
      <w:r>
        <w:t xml:space="preserve"> developments, security, dependencies; EU scope visible. This is a provisional connection, not an outcome finding.</w:t>
      </w:r>
    </w:p>
    <w:p>
      <w:pPr>
        <w:pStyle w:val="SourceNote"/>
      </w:pPr>
      <w:r>
        <w:rPr>
          <w:b/>
        </w:rPr>
        <w:t>Available abstract (not full text):</w:t>
      </w:r>
      <w:r>
        <w:t xml:space="preserve"> The space–nuclear nexus is prominent in today’s European security environment, amid shifting alliance dynamics and developments in Russia’s war in Ukraine. This paper compares dependencies, priorities and strategic cultures of various actors in the space and nuclear domains, beginning with the North Atlantic Treaty Organization (NATO), the European Union (EU) and their three nuclear-armed states: France, the United Kingdom and the United States. These actors feature centrally in Russian threat perceptions and converge on their sources of threats—primarily Russia, and to a lesser degree China, Iran and North Korea—but diverge significantly on the level of threat. The paper consequently examines Russia and its bilateral cooperation on space and nuclear weapons with China, Iran and North Korea, noting convergences as well as divergences in each relationship. The paper analyses how convergences and divergences in alliances and partnerships can impact stability and shape escalation risks at the space–nuclear nexus. The paper explores stabilizing effects, as well as concerning destabilizing effects of these relationships. The latter include potential to drive escalatory and mirroring behaviours, distort threat perceptions, further blur red lines, legitimize attacks on space systems and encourage inaccurate perceptions of blocs that impede multilateral negotiations. Accordingly, the p</w:t>
      </w:r>
    </w:p>
    <w:p>
      <w:pPr/>
      <w:r>
        <w:rPr>
          <w:b/>
        </w:rPr>
        <w:t>POSSIBLE 2025:</w:t>
      </w:r>
      <w:r>
        <w:t xml:space="preserve"> Trust, Security, and Digital Readiness in B2B E-Business Adoption by MSMEs: An Integrated Framework — https://doi.org/10.52783/eel.v15i3.3727</w:t>
      </w:r>
    </w:p>
    <w:p>
      <w:pPr/>
      <w:r>
        <w:rPr>
          <w:b/>
        </w:rPr>
        <w:t>Shared claim-specific concepts:</w:t>
      </w:r>
      <w:r>
        <w:t xml:space="preserve"> adoption, security, current, literature; EU scope not established. This is a provisional connection, not an outcome finding.</w:t>
      </w:r>
    </w:p>
    <w:p>
      <w:pPr>
        <w:pStyle w:val="SourceNote"/>
      </w:pPr>
      <w:r>
        <w:rPr>
          <w:b/>
        </w:rPr>
        <w:t>Available abstract (not full text):</w:t>
      </w:r>
      <w:r>
        <w:t xml:space="preserve"> Purpose – This paper examines how trust, security, and digital readiness affect the adoption of B2B e-business by Micro, Small, and Medium Enterprises (MSMEs). It integrates these three dimensions as decisive enablers or barriers in B2B digital adoption. Design/methodology/approach – A systematic literature review (SLR) was conducted using the SPAR-4-SLR protocol (Paul et al., 2021). This protocol includes three stages: Assembling (searching and identifying relevant literature), Arranging (screening and organising the studies), and Assessing (evaluating, analysing, and synthesising findings). A total of 140 peer-reviewed studies published between 1990 and 2023 were reviewed and coded against technology adoption frameworks such as TOE, TAM, DOI, and UTAUT, with emphasis on trust, security, and readiness in B2B adoption. Findings – The review reveals that MSME adoption of B2B e-business strongly depends on their ability to establish trust in business relationships, ensure security of digital transactions, and maintain readiness through infrastructure, skills, and organisational capacity. Current research often treats these aspects separately, leading to fragmented insights Research limitations/implications – Future studies should integrate trust, security, and readiness into process-oriented frameworks that capture the dynamics of MSME adoption in B2B contexts. Practical implicat</w:t>
      </w:r>
    </w:p>
    <w:p>
      <w:pPr/>
      <w:r>
        <w:rPr>
          <w:b/>
        </w:rPr>
        <w:t>POSSIBLE 2025:</w:t>
      </w:r>
      <w:r>
        <w:t xml:space="preserve"> Adoption Agrafa, Parts ‘Unwritten’ About Cold War Adoptions from Greece: Adoption Is a Life in a Sentence, Adoption Is a Life Sentence — https://doi.org/10.3390/genealogy9030081</w:t>
      </w:r>
    </w:p>
    <w:p>
      <w:pPr/>
      <w:r>
        <w:rPr>
          <w:b/>
        </w:rPr>
        <w:t>Shared claim-specific concepts:</w:t>
      </w:r>
      <w:r>
        <w:t xml:space="preserve"> adoption, current, process; EU scope visible. This is a provisional connection, not an outcome finding.</w:t>
      </w:r>
    </w:p>
    <w:p>
      <w:pPr>
        <w:pStyle w:val="SourceNote"/>
      </w:pPr>
      <w:r>
        <w:rPr>
          <w:b/>
        </w:rPr>
        <w:t>Available abstract (not full text):</w:t>
      </w:r>
      <w:r>
        <w:t xml:space="preserve"> This essay focuses on the Greek adoptees’ search for identity and on the agrafa, or the “unwritten” territories, into which this search penetrates. The Greek adoptees represent an underresearched case study of the postwar intercountry adoption movement (1950–1975). Creating a narrative of the self is key to the adoptees’ identity formation, but their personal narrative is often undermined by stereotypes and denunciations that stunt its development. The research presented here has been guided by questions that interrogate the verdict-making or “sentencing” associated with the adoptees’ identity-shaping process: their sentencing to subjugation by stock opinions, the denouncing of their alternative viewpoints about “rescue” adoptions, and the verdict of their entrapment in feel-good master narratives. This essay also explores broader research questions pertaining to modes of interrogating “historic” adoptions from Greece. It is concerned with the why rather than with the how or the who of the oldest, post-WWII intercountry adoption flows. In what forums and genres (narrative, visual, journalistic, scholarly) are Greek adoption facts and legacies articulated, mediated, and/or materialized? How do memories, both positive and negative, underpin current projects of self-identification and transformation? What are the adoptees’ preferred outlets to speak about embodied experiences, and</w:t>
      </w:r>
    </w:p>
    <w:p>
      <w:pPr/>
      <w:r>
        <w:rPr>
          <w:b/>
        </w:rPr>
        <w:t>POSSIBLE 2025:</w:t>
      </w:r>
      <w:r>
        <w:t xml:space="preserve"> OLED illuminated metasurfaces for holographic image projection — https://doi.org/10.1038/s41377-025-01912-z</w:t>
      </w:r>
    </w:p>
    <w:p>
      <w:pPr/>
      <w:r>
        <w:rPr>
          <w:b/>
        </w:rPr>
        <w:t>Shared claim-specific concepts:</w:t>
      </w:r>
      <w:r>
        <w:t xml:space="preserve"> technologies, them, present; EU scope not established. This is a provisional connection, not an outcome finding.</w:t>
      </w:r>
    </w:p>
    <w:p>
      <w:pPr>
        <w:pStyle w:val="SourceNote"/>
      </w:pPr>
      <w:r>
        <w:rPr>
          <w:b/>
        </w:rPr>
        <w:t>Available abstract (not full text):</w:t>
      </w:r>
      <w:r>
        <w:t xml:space="preserve"> Organic light-emitting diodes (OLEDs) are thin film optoelectronic devices that feature simple fabrication, light weight and broad tunability, which makes them widely used in mobile phone and TV displays. As a flat and surface-emitting light source, OLEDs are also used in emerging applications such as optical wireless communications, biophotonics and sensing, where the ability to integrate with other technologies makes them good candidates to realise miniaturised photonic platforms. Control of the OLED far-field emission is increasingly important for both displays and these emerging applications. At present, however, studies mainly focus on tuning the electroluminescence (EL) spectrum and emission directionality. Fine-tuning of the far-field emission is particularly challenging and is limited by the low spatial coherence of OLEDs. In this work, we show that it is possible for a single OLED to project a high-resolution image when combined with a holographic metasurface as a compact projection system. The metasurface-OLED projector allows us to directly manipulate the OLED far-field emission and display holographic images on a screen. Here, we further show how the projected image quality relates to the spatial coherence length and the spectrum of the OLED. We believe our demonstration provides a path towards a miniaturised and highly integrated metasurface display.</w:t>
      </w:r>
    </w:p>
    <w:p>
      <w:pPr/>
      <w:r>
        <w:rPr>
          <w:b/>
        </w:rPr>
        <w:t>POSSIBLE 2025:</w:t>
      </w:r>
      <w:r>
        <w:t xml:space="preserve"> The European Para Sport Coaching Workforce: A Quasi-Professional Space — https://doi.org/10.1123/iscj.2024-0147</w:t>
      </w:r>
    </w:p>
    <w:p>
      <w:pPr/>
      <w:r>
        <w:rPr>
          <w:b/>
        </w:rPr>
        <w:t>Shared claim-specific concepts:</w:t>
      </w:r>
      <w:r>
        <w:t xml:space="preserve"> order, illuminate; EU scope visible. This is a provisional connection, not an outcome finding.</w:t>
      </w:r>
    </w:p>
    <w:p>
      <w:pPr>
        <w:pStyle w:val="SourceNote"/>
      </w:pPr>
      <w:r>
        <w:rPr>
          <w:b/>
        </w:rPr>
        <w:t>Available abstract (not full text):</w:t>
      </w:r>
      <w:r>
        <w:t xml:space="preserve"> Coaches in Paralympic and disability sport (Para coaching) play a significant societal role by providing opportunities for disabled people in sport and physical activity. Such is its importance; this role is now recognised by the European Union and its professionalisation agenda. Therefore, drawing on Abbott’s theory of professions and Thomas’ social relational model of disability, this original transnational study considers critically the characteristics of the European Para coaching workforce. Data collection followed a mixed methodology via an online survey of Para coaches ( N = 275). Combining quantitative and qualitative data, the analysis generated three higher order themes, “Exclusion, differentiated labour force and working contexts,” “Uneven coach education and development opportunities” and “Impairment effect as a source of coaches professional knowledge.” These themes illuminate Para coaching as a quasi-professional space shaped by specific workforce characteristics and those mediated by sporting domains. The findings and recommendations prompt significant considerations for policy makers, coach educators, and sport organisations.</w:t>
      </w:r>
    </w:p>
    <w:p>
      <w:pPr>
        <w:pStyle w:val="Heading2"/>
      </w:pPr>
      <w:r>
        <w:t>626.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Need for Synergy in Foresight Research for Healthcare and Medical Sciences — https://doi.org/10.36401/iddb-25-1</w:t>
      </w:r>
    </w:p>
    <w:p>
      <w:pPr/>
      <w:r>
        <w:rPr>
          <w:b/>
        </w:rPr>
        <w:t>Shared claim-specific concepts:</w:t>
      </w:r>
      <w:r>
        <w:t xml:space="preserve"> use, foresight, technology, possible, image, strategies;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application, national;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Theoretical and methodological essence of foresight marketing of information technologies — https://doi.org/10.15276/mdt.9.2.2025.10</w:t>
      </w:r>
    </w:p>
    <w:p>
      <w:pPr/>
      <w:r>
        <w:rPr>
          <w:b/>
        </w:rPr>
        <w:t>Shared claim-specific concepts:</w:t>
      </w:r>
      <w:r>
        <w:t xml:space="preserve"> use, foresight, technology, determine, strategies, methods; EU scope not established. This is a provisional connection, not an outcome finding.</w:t>
      </w:r>
    </w:p>
    <w:p>
      <w:pPr>
        <w:pStyle w:val="SourceNote"/>
      </w:pPr>
      <w:r>
        <w:rPr>
          <w:b/>
        </w:rPr>
        <w:t>Available abstract (not full text):</w:t>
      </w:r>
      <w:r>
        <w:t xml:space="preserve"> The aim of the article is to study the theoretical foundations and develop methodological approaches to the application of foresight marketing in the field of information technology, based on a comprehensive analysis of modern concepts of forecasting and marketing strategy. Analysis results. The application of the foresight methodology for strategic planning and forecasting of the development of the IT sector is considered. The current state of the definition of the term "foresight" is investigated, a detailed analysis of the advantages and disadvantages of the existing definitions is carried out. The author's definition of the terms "foresight" is provided and the definition of the term "foresight marketing" is proposed for the first time. A schematic scheme of foresight as an economic category is developed, which includes the basic components of foresight: foresight philosophy (theory), foresight products and foresight processes. The existing principles in the theory of foresight are supplemented with new ones, in particular, it is proposed to consider the stakeholder approach, predictive activity, expertise and analytics as principles of foresight. Particular attention is paid to the methods of expert assessment, classification of foresight types to determine priority areas of scientific research and technological innovations. Additional criteria for the classification of fo</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foresight, technology, trends;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pStyle w:val="Heading2"/>
      </w:pPr>
      <w:r>
        <w:t>627.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r>
        <w:rPr>
          <w:b/>
        </w:rPr>
        <w:t>POSSIBLE 2025:</w:t>
      </w:r>
      <w:r>
        <w:t xml:space="preserve"> Human rights in the European Union in the present — https://doi.org/10.24144/2788-6018.2025.03.3.37</w:t>
      </w:r>
    </w:p>
    <w:p>
      <w:pPr/>
      <w:r>
        <w:rPr>
          <w:b/>
        </w:rPr>
        <w:t>Shared claim-specific concepts:</w:t>
      </w:r>
      <w:r>
        <w:t xml:space="preserve"> article, present, challenges, analyzed; EU scope visible. This is a provisional connection, not an outcome finding.</w:t>
      </w:r>
    </w:p>
    <w:p>
      <w:pPr>
        <w:pStyle w:val="SourceNote"/>
      </w:pPr>
      <w:r>
        <w:rPr>
          <w:b/>
        </w:rPr>
        <w:t>Available abstract (not full text):</w:t>
      </w:r>
      <w:r>
        <w:t xml:space="preserve"> The article examines the state of realization and protection of human rights in the European Union in the face of modern global challenges. The focus of the EU’s basic legal acts, in particular the Charter of Fundamental Rights of the European Union. The role of EU institutions in ensuring human rights, in particular the European Parliament, the European Commission and the Court of Justice, is considered. The impact of migration crisis, digitalization and armed conflicts on citizens’ rights and freedoms is analyzed. Issues related to discrimination, restriction of freedom of speech and interference with privacy are identified. Emphasis on the importance of cooperation between the EU and the European Court of Human Rights. Particular attention is paid to the mechanisms of monitoring and response to human rights violations in Member States. The article also discusses gender equality, minority rights and vulnerable groups. The conclusion was made on the need to strengthen the EU human rights policy in the context of the latest challenges. The article also analyzes the importance of balancing between security and human rights, especially in terrorist threats and emergencies. Issues in the context of the fight against terrorism, in particular in the aspects of migration control and access to personal data, are considered. The importance of the right to information and freedom of exp</w:t>
      </w:r>
    </w:p>
    <w:p>
      <w:pPr/>
      <w:r>
        <w:rPr>
          <w:b/>
        </w:rPr>
        <w:t>POSSIBLE 2025:</w:t>
      </w:r>
      <w:r>
        <w:t xml:space="preserve"> Internationalisation of higher education: its conceptual evolution as a process, intended aims, and unintended effects in the global and European context — https://doi.org/10.5117/ejep2025.3.001.dewi</w:t>
      </w:r>
    </w:p>
    <w:p>
      <w:pPr/>
      <w:r>
        <w:rPr>
          <w:b/>
        </w:rPr>
        <w:t>Shared claim-specific concepts:</w:t>
      </w:r>
      <w:r>
        <w:t xml:space="preserve"> article, present, challenges; EU scope visible. This is a provisional connection, not an outcome finding.</w:t>
      </w:r>
    </w:p>
    <w:p>
      <w:pPr>
        <w:pStyle w:val="SourceNote"/>
      </w:pPr>
      <w:r>
        <w:rPr>
          <w:b/>
        </w:rPr>
        <w:t>Available abstract (not full text):</w:t>
      </w:r>
      <w:r>
        <w:t xml:space="preserve"> Higher education has long been viewed as inherently international, yet the concept of being international is interpreted in various ways. It is shaped by institutional, local, and regional contexts, as well as the diverse intentions of stakeholders both within and outside the sector. As a strategic approach, internationalisation is a relatively recent phenomenon, emerging over the past three to four decades and influenced by political, social, economic, and educational factors. However, most internationalisation actions and policies remain ad hoc, fragmented, and marginal, often misaligned with the core mission of higher education institutions and national higher education policies (de Wit, 2024). This article explores the evolution of the concept of internationalisation from the 1980s to the present, examining its development and varying interpretations. It also analyses the dimensions and actions associated with the process, identifying which are most dominant. Additionally, it reviews key achievements of recent decades and assesses the primary challenges that hinder further progress. The discussion is framed within the context of a shifting global landscape, where political support for internationalism in higher education and research has waned compared to the 1980s and 1990s. The article highlights the European context, where internationalisation efforts have been driven by</w:t>
      </w:r>
    </w:p>
    <w:p>
      <w:pPr/>
      <w:r>
        <w:rPr>
          <w:b/>
        </w:rPr>
        <w:t>POSSIBLE 2025:</w:t>
      </w:r>
      <w:r>
        <w:t xml:space="preserve"> Sustainability in the European Automotive Sector: Approaches and Challenges — https://doi.org/10.2478/logi-2025-0019</w:t>
      </w:r>
    </w:p>
    <w:p>
      <w:pPr/>
      <w:r>
        <w:rPr>
          <w:b/>
        </w:rPr>
        <w:t>Shared claim-specific concepts:</w:t>
      </w:r>
      <w:r>
        <w:t xml:space="preserve"> main, quantitative, challenges; EU scope visible. This is a provisional connection, not an outcome finding.</w:t>
      </w:r>
    </w:p>
    <w:p>
      <w:pPr>
        <w:pStyle w:val="SourceNote"/>
      </w:pPr>
      <w:r>
        <w:rPr>
          <w:b/>
        </w:rPr>
        <w:t>Available abstract (not full text):</w:t>
      </w:r>
      <w:r>
        <w:t xml:space="preserve"> Abstract Sustainability has become increasingly essential for companies to remain competitive. The automotive industry is one of the sectors most affected by sustainable regulatory standards. Companies face pressures, changes in consumer behaviour, and evolving expectations alongside growing demands for environmentally sustainable practices. However, sustainability implementation practices and main initiatives remain inconsistent across the sector. This study aims to identify key indicators for successful sustainability implementation by analysing best practices among the four largest companies within the European automotive industry through quantitative and qualitative content analysis. The findings define main approaches and challenges companies faced, categorising key activities within the environmental, social, and governance (ESG) dimensions, and underscoring the importance of embedding sustainability into corporate strategy. The analysis also highlights inconsistencies between stated objectives and actual approaches of analysed companies, which may jeopardise the effectiveness of sustainability implementation, companies’ competitive positions, and performance. Based on the analysis of best practices, the study provides practical recommendations and guidelines for smaller manufacturers, suppliers, and other industries and organizations to adapt and successfully implement s</w:t>
      </w:r>
    </w:p>
    <w:p>
      <w:pPr>
        <w:pStyle w:val="Heading2"/>
      </w:pPr>
      <w:r>
        <w:t>628.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2024:</w:t>
      </w:r>
      <w:r>
        <w:t xml:space="preserve"> REFORMING THE SCIENTIFIC SPHERE IN THE REPUBLIC OF CROATIA AT THE END OF THE 20TH – THE BEGINNING OF THE 21ST CENTURY: ACHIEVEMENTS AND SHORTCOMINGS — https://doi.org/10.24919/2308-4863/78-1-2</w:t>
      </w:r>
    </w:p>
    <w:p>
      <w:pPr/>
      <w:r>
        <w:rPr>
          <w:b/>
        </w:rPr>
        <w:t>Shared claim-specific concepts:</w:t>
      </w:r>
      <w:r>
        <w:t xml:space="preserve"> beginning, republic, croatia; EU scope visible. This is a provisional connection, not an outcome finding.</w:t>
      </w:r>
    </w:p>
    <w:p>
      <w:pPr>
        <w:pStyle w:val="SourceNote"/>
      </w:pPr>
      <w:r>
        <w:rPr>
          <w:b/>
        </w:rPr>
        <w:t>Available abstract (not full text):</w:t>
      </w:r>
      <w:r>
        <w:t xml:space="preserve"> The purpose of the article is to analyze the scientific policy of the Republic of Croatia during 1991-2023, to determine its achievements and shortcomings.The research methodology is based on the principles of historicism, authorial objectivity, multifactoriality, historical-genetic, historical-typological and historic-systemic methods.A periodization of the scientific policy of independent Croatia is proposed, which consists of three periods: the first (1991)(1992)(1993)(1994)(1995)(1996)(1997)(1998)(1999)(2000)(2001)(2002)(2003), -preservation of the post-Yugoslav principles of the functioning of the scientific sphere, preservation of the relevant infrastructure and approaches to financing education; the second (2003)(2004)(2005)(2006)(2007)(2008)(2009)(2010)(2011)(2012) -the first attempts at reforming the scientific sphere, the establishment of National Science Council, National Council of Higher Education and Agency for Science and Higher Education, an increase in state funding of scientific research, an increase in the number of scientific and pedagogical workers in connection with the opening of new universities, orientation towards European scientific institutions and foundations; the third (from 2013)carrying out the reform of the scientific sphere, aimed at bringing scientific research and innovations as closely as possible to the needs of the economy and civil societ</w:t>
      </w:r>
    </w:p>
    <w:p>
      <w:pPr/>
      <w:r>
        <w:rPr>
          <w:b/>
        </w:rPr>
        <w:t>POSSIBLE 2024:</w:t>
      </w:r>
      <w:r>
        <w:t xml:space="preserve"> THE REPUBLIC OF CYPRUS AND INTERNATIONAL LAW: ANALYSIS OF THE FOREIGN POLICY STRATEGY OF A SMALL STATE — https://doi.org/10.32842/2078-3736/2024.4.47</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A characteristic feature of the evolution of international relations and international law at the end of the 20th and the beginning of the 21st centuries is the growing importance of small states in the international dimension.The decline in the ability of big powers to effectively resolve external conflicts, on the one hand, and, on the other, the ability of small states to look for new ideas of international cooperation, create the preconditions for a further increase in the role of small states in international relations.The Republic of Cyprus is a vivid example of a small state, although at the same time it is the third largest island in the Mediterranean.The experience of this small state in the implementation of foreign policy, as well as European integration, is an atypical precedent from the point of view of the norms of international law, as well as an important example of successful construction of foreign policy and active participation in international relations, despite acute internal crises.The Republic of Cyprus, despite the unresolved territorial problems, is actively developing bilateral and multilateral cooperation with other subjects of international law.The geostrategic position of the island led to the Cyprus problem.The Republic of Cyprus is divided between two ethnic groups -Greeks and Turks.The Cyprus conflict is a frozen issue for Greece and Turkey.The </w:t>
      </w:r>
    </w:p>
    <w:p>
      <w:pPr/>
      <w:r>
        <w:rPr>
          <w:b/>
        </w:rPr>
        <w:t>POSSIBLE 2024:</w:t>
      </w:r>
      <w:r>
        <w:t xml:space="preserve"> AN OVERVIEW OF TÜRKİYE’S RENEWABLE ENERGY OUTLOOK — https://doi.org/10.46399/muhendismakina.1599383</w:t>
      </w:r>
    </w:p>
    <w:p>
      <w:pPr/>
      <w:r>
        <w:rPr>
          <w:b/>
        </w:rPr>
        <w:t>Shared claim-specific concepts:</w:t>
      </w:r>
      <w:r>
        <w:t xml:space="preserve"> outlook, energy; EU scope visible. This is a provisional connection, not an outcome finding.</w:t>
      </w:r>
    </w:p>
    <w:p>
      <w:pPr>
        <w:pStyle w:val="SourceNote"/>
      </w:pPr>
      <w:r>
        <w:rPr>
          <w:b/>
        </w:rPr>
        <w:t>Available abstract (not full text):</w:t>
      </w:r>
      <w:r>
        <w:t xml:space="preserve"> A critical outcome of climate change and energy security concerns is the need to diversify energy sources. In this context, renewable energy emerges as a significant opportunity. Türkiye has significant potential in terms of renewable energy resources. In particular, the widespread use of wind and solar energy sources has gained momentum since 2011. In recent years, Türkiye's renewable energy sector has experienced rapid growth and is poised to become a prominent player among European countries in this field. This article provides a comprehensive overview of the renewable energy sector in Türkiye. The study was conducted using the document analysis method. The information presented in this article was taken from national and international reports, national energy plans, international agreements, energy company statistics and research papers. The results show that the renewable energy sector in Türkiye has experienced radical growth in the last fifteen years. Hydropower has been used for many years and Türkiye is one of the leading countries in terms of installed capacity. However, the development of installed wind and solar capacity is particularly noteworthy. Between 2010 and 2024, installed wind power capacity increased about sevenfold. Between 2015 and 2024, installed solar power capacity grew by about fifty times.</w:t>
      </w:r>
    </w:p>
    <w:p>
      <w:pPr/>
      <w:r>
        <w:rPr>
          <w:b/>
        </w:rPr>
        <w:t>POSSIBLE 2024:</w:t>
      </w:r>
      <w:r>
        <w:t xml:space="preserve"> AN OVERVIEW OF TÜRKİYE’S RENEWABLE ENERGY OUTLOOK — https://doi.org/10.46399/muhendismakina.1425654</w:t>
      </w:r>
    </w:p>
    <w:p>
      <w:pPr/>
      <w:r>
        <w:rPr>
          <w:b/>
        </w:rPr>
        <w:t>Shared claim-specific concepts:</w:t>
      </w:r>
      <w:r>
        <w:t xml:space="preserve"> outlook, energy; EU scope visible. This is a provisional connection, not an outcome finding.</w:t>
      </w:r>
    </w:p>
    <w:p>
      <w:pPr>
        <w:pStyle w:val="SourceNote"/>
      </w:pPr>
      <w:r>
        <w:rPr>
          <w:b/>
        </w:rPr>
        <w:t>Available abstract (not full text):</w:t>
      </w:r>
      <w:r>
        <w:t xml:space="preserve"> A critical outcome of climate change and energy security concerns is the need to diversify energy sources. In this context, renewable energy emerges as a significant opportunity. Türkiye has significant potential in terms of renewable energy resources. In particular, the widespread use of wind and solar energy sources has gained momentum since 2011. In recent years, Türkiye's renewable energy sector has experienced rapid growth and is poised to become a prominent player among European countries in this field. This article provides a comprehensive overview of the renewable energy sector in Türkiye. The study was conducted using the document analysis method. The information presented in this article was taken from national and international reports, national energy plans, international agreements, energy company statistics and research papers. The results show that the renewable energy sector in Türkiye has experienced radical growth in the last fifteen years. Hydropower has been used for many years and Türkiye is one of the leading countries in terms of installed capacity. However, the development of installed wind and solar capacity is particularly noteworthy. Between 2010 and 2024, installed wind power capacity increased about sevenfold. Between 2015 and 2024, installed solar power capacity grew by about fifty times.</w:t>
      </w:r>
    </w:p>
    <w:p>
      <w:pPr>
        <w:pStyle w:val="Heading2"/>
      </w:pPr>
      <w:r>
        <w:t>629.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findings, making, full, improving, coordination, however;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Comparison of countries in the WHO European Region according to noncommunicable disease indicators by multi-criteria decision making methods — https://doi.org/10.32552/2025.actamedica.1067</w:t>
      </w:r>
    </w:p>
    <w:p>
      <w:pPr/>
      <w:r>
        <w:rPr>
          <w:b/>
        </w:rPr>
        <w:t>Shared claim-specific concepts:</w:t>
      </w:r>
      <w:r>
        <w:t xml:space="preserve"> based, findings, making, full, however; EU scope visible. This is a provisional connection, not an outcome finding.</w:t>
      </w:r>
    </w:p>
    <w:p>
      <w:pPr>
        <w:pStyle w:val="SourceNote"/>
      </w:pPr>
      <w:r>
        <w:rPr>
          <w:b/>
        </w:rPr>
        <w:t>Available abstract (not full text):</w:t>
      </w:r>
      <w:r>
        <w:t xml:space="preserve"> Objective: The aim of this study is to compare the relative risk prevalence of noncommunicable diseases (NCDs) in the countries of the European Region as defined by WHO (World Health Organization) using WASPAS (Weighted Aggregated Sum Product Assessment) and MULTIMOORA (Multi-Objective Optimization by Ratio Analysis plus the full Multiplicative Form) multi-criteria decision-making (MCDM) methods. Materials and Methods: The cross-sectional study’s target population consisted of 50 countries in the WHO European Region with complete observations. The study utilizes NCDs data that the WHO publicly released. Analysis was performed using the R programming language and Microsoft Excel. Results: Based on the CRITIC (CRiteria Importance Through Intercorrelated Corrected) weighted WASPAS analysis, it was observed that 24 European countries exhibited Q scores above the average, while 26 countries displayed Q scores below the average. Finland, Cyprus, Switzerland, Spain, Iceland, Iceland, Sweden, Slovenia, Italy, Norway, Latvia, Portugal, Luxembourg, Belgium, France, Greece, the Netherlands, Germany, Malta, Austria, Ireland, Israel, Lithuania, Israel, Lithuania and Estonia have the highest Q scores. Twenty-four countries with above-average Q scores have lower NCD prevalence than twenty-six European countries. In Türkiye, the prevalence of NCDs is above the European average. However, Switze</w:t>
      </w:r>
    </w:p>
    <w:p>
      <w:pPr/>
      <w:r>
        <w:rPr>
          <w:b/>
        </w:rPr>
        <w:t>POSSIBLE 2025:</w:t>
      </w:r>
      <w:r>
        <w:t xml:space="preserve"> Future evolution of large floods in Europe — https://doi.org/10.5194/egusphere-egu25-9464</w:t>
      </w:r>
    </w:p>
    <w:p>
      <w:pPr/>
      <w:r>
        <w:rPr>
          <w:b/>
        </w:rPr>
        <w:t>Shared claim-specific concepts:</w:t>
      </w:r>
      <w:r>
        <w:t xml:space="preserve"> based, findings, five, but, increased;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HEALTH-ORIENTED EMPLOYMENT PROGRAMMES: INTERNATIONAL EXPERIENCE (BASED ON FIVE WESTERN EUROPEAN COUNTRIES) — https://doi.org/10.17323/1999-5431-2025-0-4-182-210</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Empirical studies demonstrate a bidirectional relationship between population health status and employment, highlighting the importance of integrating these areas within social policy. This article aims to identify successful international practices for integrating health considerations into employment policy and to develop recommendations for adapting them in the Russian context. Based on the analysis of scientific literature, regulatory documents, and report data, the study examines European approaches to the implementation of employment programs that account for the health status of the population – both universal programs and those targeted at older adults. The findings reveal a steady trend toward cross-sectoral integration, whereby employment initiatives are implemented in partnership with healthcare institutions, insurance funds, and businesses. The analysis also highlights the decentralization of authority to the regional level and the individualization of support, particularly for individuals with chronic illnesses or prolonged absences from the labor market. Programs aimed at older workers focus on extending labor participation through workplace adaptations, continuous learning, and medical-social support. As a key result of the study, a set of measures was proposed to enhance the integration of employment and health policy. These include: the development of remote em</w:t>
      </w:r>
    </w:p>
    <w:p>
      <w:pPr/>
      <w:r>
        <w:rPr>
          <w:b/>
        </w:rPr>
        <w:t>POSSIBLE 2025:</w:t>
      </w:r>
      <w:r>
        <w:t xml:space="preserve"> Teaching for tomorrow: a qualitative exploration of ESD in initial teacher education across five European universities — https://doi.org/10.1108/ijshe-09-2024-0690</w:t>
      </w:r>
    </w:p>
    <w:p>
      <w:pPr/>
      <w:r>
        <w:rPr>
          <w:b/>
        </w:rPr>
        <w:t>Shared claim-specific concepts:</w:t>
      </w:r>
      <w:r>
        <w:t xml:space="preserve"> findings, five, actual, framework; EU scope visible. This is a provisional connection, not an outcome finding.</w:t>
      </w:r>
    </w:p>
    <w:p>
      <w:pPr>
        <w:pStyle w:val="SourceNote"/>
      </w:pPr>
      <w:r>
        <w:rPr>
          <w:b/>
        </w:rPr>
        <w:t>Available abstract (not full text):</w:t>
      </w:r>
      <w:r>
        <w:t xml:space="preserve"> Purpose The purpose of this study is to critucally examine how education for sustainable development (ESD) is integrated into initial teacher education (ITE) across five European universities. Despite strong European Union and United Nations Educational, Scientific and Cultural Organisation (UNESCO) frameworks, the actual practices of embedding ESD competences in pre-service teacher training remain underexplored. Design/methodology/approach The authors reviewed policy documents from Finland, Germany, Ireland, Portugal and Spain to contextualise national strategies for ESD, followed by semi-structured interviews with six university-based educators to explore how ESD is interpreted, implemented and supported in ITE. Thematic analysis informed the interpretation of the data. Findings Results reveal a fragmented landscape of ESD integration, with significant inconsistencies in curricular approaches, institutional support and educator preparedness. ESD often remains optional or implicitly embedded, constrained by structural factors such as rigid credit systems and lack of faculty development. Practical implications Insights inform policy makers, teacher educators and institutions aiming to harmonise ESD competences across diverse European contexts, fostering more consistent and impactful integration. Originality/value By capturing the lived experiences of teacher educators, this stu</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Community versus institutionalised care for people with severe mental illness in five countries in Southeast Europe: pooled analysis of five randomised trials — https://doi.org/10.1136/bmjgh-2024-018594</w:t>
      </w:r>
    </w:p>
    <w:p>
      <w:pPr/>
      <w:r>
        <w:rPr>
          <w:b/>
        </w:rPr>
        <w:t>Shared claim-specific concepts:</w:t>
      </w:r>
      <w:r>
        <w:t xml:space="preserve"> based, findings, five, full, improving; EU scope visible. This is a provisional connection, not an outcome finding.</w:t>
      </w:r>
    </w:p>
    <w:p>
      <w:pPr>
        <w:pStyle w:val="SourceNote"/>
      </w:pPr>
      <w:r>
        <w:rPr>
          <w:b/>
        </w:rPr>
        <w:t>Available abstract (not full text):</w:t>
      </w:r>
      <w:r>
        <w:t xml:space="preserve"> BACKGROUND: The RECOVER-E project implemented community-based mental healthcare (CMH) oriented at functional recovery in people with schizophrenia, bipolar and severe major depressive disorder in five countries: Bulgaria, Croatia, Montenegro, North Macedonia and Romania, with the aim to shift care from institutions to communities. OBJECTIVE: To evaluate the effectiveness of CMH under real-world circumstances across various healthcare ecologies and contexts. METHODS: A randomised comparison of CMH versus treatment as usual (TAU) based on pooled data from all five RECOVER-E trials (N=931). Outcomes were personal and social role functioning (WHO Disability Assessment Schedule, WHODAS 2.0) and health-related quality of life (EuroQoL-5 Dimensions-3 Levels) at baseline, 12 and 18 months postbaseline. Intention-to-treat analysis was conducted with mixed modelling and a sensitivity analysis adjusted for the impact of COVID-19 on healthcare delivery and outcomes. FINDINGS: At 18-month follow-up, CMH had a 4.55 lower WHODAS disability score than TAU, which was significant (b=-4.55, SE=1.21, z=-3.75, p&lt;0.001), and improved quality of life by 0.07 utility (b=0.07, SE=0.014, z=4.56, p&lt;0.001) equivalent to an additional 25 days in full health. Similar effects were observed in each of the five countries and for all WHODAS subdomains (cognition, mobility, self-care, getting along with people, </w:t>
      </w:r>
    </w:p>
    <w:p>
      <w:pPr/>
      <w:r>
        <w:rPr>
          <w:b/>
        </w:rPr>
        <w:t>POSSIBLE 2025:</w:t>
      </w:r>
      <w:r>
        <w:t xml:space="preserve"> Regional Strategies for PV-Based Sustainable Energy in GCC and Europe — https://doi.org/10.31875/2410-2199.2025.12.09</w:t>
      </w:r>
    </w:p>
    <w:p>
      <w:pPr/>
      <w:r>
        <w:rPr>
          <w:b/>
        </w:rPr>
        <w:t>Shared claim-specific concepts:</w:t>
      </w:r>
      <w:r>
        <w:t xml:space="preserve"> based, making, efficiency;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findings, but, however, increased;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pStyle w:val="Heading2"/>
      </w:pPr>
      <w:r>
        <w:t>630.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key;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Female Directors, Family Firms, Climate Talk and Climate Walk: European Evidence — https://doi.org/10.1002/bse.4348</w:t>
      </w:r>
    </w:p>
    <w:p>
      <w:pPr/>
      <w:r>
        <w:rPr>
          <w:b/>
        </w:rPr>
        <w:t>Shared claim-specific concepts:</w:t>
      </w:r>
      <w:r>
        <w:t xml:space="preserve"> climate, not, reduction, role;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2024:</w:t>
      </w:r>
      <w:r>
        <w:t xml:space="preserve"> CLIMATE NEUTRALITY: CONTEMPORARY CHALLENGES FOR EUROPEAN POLICY — https://doi.org/10.17721/1728-2292.2024/1-58/33-40</w:t>
      </w:r>
    </w:p>
    <w:p>
      <w:pPr/>
      <w:r>
        <w:rPr>
          <w:b/>
        </w:rPr>
        <w:t>Shared claim-specific concepts:</w:t>
      </w:r>
      <w:r>
        <w:t xml:space="preserve"> achievement, climate, neutrality, union, not, possible; EU scope visible. This is a provisional connection, not an outcome finding.</w:t>
      </w:r>
    </w:p>
    <w:p>
      <w:pPr>
        <w:pStyle w:val="SourceNote"/>
      </w:pPr>
      <w:r>
        <w:rPr>
          <w:b/>
        </w:rPr>
        <w:t>Available abstract (not full text):</w:t>
      </w:r>
      <w:r>
        <w:t xml:space="preserve">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climate, neutrality, possible;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r>
        <w:rPr>
          <w:b/>
        </w:rPr>
        <w:t>POSSIBLE 2024:</w:t>
      </w:r>
      <w:r>
        <w:t xml:space="preserve"> Studying Regional Disparities at European Level with a View to Achieving Climate Neutrality Objectives — https://doi.org/10.35219/eai15840409463</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pPr/>
      <w:r>
        <w:rPr>
          <w:b/>
        </w:rPr>
        <w:t>POSSIBLE 2024:</w:t>
      </w:r>
      <w:r>
        <w:t xml:space="preserve"> MODIFICATION OF ECONOMIC DEPENDENCE AND ACHIEVEMENT OF CLIMATE NEUTRALITY AT THE CROSSROAD — https://doi.org/10.46299/979-8-89504-809-2</w:t>
      </w:r>
    </w:p>
    <w:p>
      <w:pPr/>
      <w:r>
        <w:rPr>
          <w:b/>
        </w:rPr>
        <w:t>Shared claim-specific concepts:</w:t>
      </w:r>
      <w:r>
        <w:t xml:space="preserve"> achievement, climate, neutrality; EU scope not established. This is a provisional connection, not an outcome finding.</w:t>
      </w:r>
    </w:p>
    <w:p>
      <w:pPr>
        <w:pStyle w:val="SourceNote"/>
      </w:pPr>
      <w:r>
        <w:rPr>
          <w:b/>
        </w:rPr>
        <w:t>Available abstract (not full text):</w:t>
      </w:r>
      <w:r>
        <w:t xml:space="preserve">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pPr>
        <w:pStyle w:val="Heading2"/>
      </w:pPr>
      <w:r>
        <w:t>631.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Costs and potentials of heat savings in existing buildings in Europe — https://doi.org/10.34726/hss.2025.125160</w:t>
      </w:r>
    </w:p>
    <w:p>
      <w:pPr/>
      <w:r>
        <w:rPr>
          <w:b/>
        </w:rPr>
        <w:t>Shared claim-specific concepts:</w:t>
      </w:r>
      <w:r>
        <w:t xml:space="preserve"> six, different, potential, level, infrastructure; EU scope visible. This is a provisional connection, not an outcome finding.</w:t>
      </w:r>
    </w:p>
    <w:p>
      <w:pPr>
        <w:pStyle w:val="SourceNote"/>
      </w:pPr>
      <w:r>
        <w:rPr>
          <w:b/>
        </w:rPr>
        <w:t>Available abstract (not full text):</w:t>
      </w:r>
      <w:r>
        <w:t xml:space="preserve"> With the objective to reach carbon neutrality in 2050, the European Union (EU) institutionalised the Energy Efficiency First principle (EE1st) in its legislation. For decarbonising the EU’s building stock, which accounts for around a third of current EU-wide energy-related CO2 emissions, this principle means that investments in supply infrastructure should only be considered if demand side efficiency measures are not available or more costly. The aim of this thesis is to provide new insights for the application of the EE1st principle at local, national and EU-level by quantifying costs and potentials for heat savings in buildings together with their sensitivity to various influencing factors.The analyses in this work are based on a bottom-up representation of existing building stocks in the form of building archetypes. Costs for achieving different levels of heat savings in the building stocks are quantified by identifying combinations of thermal renovation packages in different building archetypes within two case studies: an analysis at national level for six countries using a ranking approach, and an analysis at local level for three cities using an optimisation approach. The latter analysis also considers a spatially explicit representation of the buildings and the results. In a third case study different thermal renovation packages are combined with carbon-neutral supply op</w:t>
      </w:r>
    </w:p>
    <w:p>
      <w:pPr/>
      <w:r>
        <w:rPr>
          <w:b/>
        </w:rPr>
        <w:t>POSSIBLE 2025:</w:t>
      </w:r>
      <w:r>
        <w:t xml:space="preserve"> Variation in Cell Wall Composition and Saccharification Potential of Seed‐Based Miscanthus Hybrids Grown on Marginal Lands Across Six European Trial Locations — https://doi.org/10.1111/gcbb.70059</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Miscanthus breeding programs have focused on developing intraspecific (M. sinensis × M. sinensis) and interspecific (M. sinensis × M. sacchariflorus) seed‐based hybrids with distinct cell wall characteristics for different biomass value chains. Here, we evaluated the performance of 13 novel hybrids (including seed‐based intraspecific, seed‐based interspecific, and one clonally propagated interspecific hybrid) relative to Miscanthus × giganteus (M × g). We compared the cell wall composition, saccharification efficiency, and yield after spring harvests in 2021 and 2022 across six European locations. Cell wall content and composition varied significantly among hybrids and were influenced by environmental conditions, yet differences due to parental background were largely consistent across locations. On average, seed‐based interspecific hybrids (80.6%–84.0% neutral detergent fiber) had a lower total cell wall content than the other hybrids evaluated in this study (88.3%–90.8%). In contrast, cellulose was ~5.5% higher in hybrids with an M. sinensis × M. sacchariflorus background relative to the intraspecific hybrids, while hemicellulose averaged above 34% for intraspecific hybrids, 29.4% to 31.8% in the interspecific hybrids, and below 27% for M × g. Lignin content was highest in M × g (~13.8%), intermediate in the interspecific hybrids (11.0%–12.2%), and lowest in the intr</w:t>
      </w:r>
    </w:p>
    <w:p>
      <w:pPr/>
      <w:r>
        <w:rPr>
          <w:b/>
        </w:rPr>
        <w:t>POSSIBLE 2025:</w:t>
      </w:r>
      <w:r>
        <w:t xml:space="preserve"> The relation between circuity and mobility cultures: A study of 41 European cities — https://doi.org/10.1016/j.cities.2025.106087</w:t>
      </w:r>
    </w:p>
    <w:p>
      <w:pPr/>
      <w:r>
        <w:rPr>
          <w:b/>
        </w:rPr>
        <w:t>Shared claim-specific concepts:</w:t>
      </w:r>
      <w:r>
        <w:t xml:space="preserve"> six, different, network, configuration, transportation, modes; EU scope visible. This is a provisional connection, not an outcome finding.</w:t>
      </w:r>
    </w:p>
    <w:p>
      <w:pPr>
        <w:pStyle w:val="SourceNote"/>
      </w:pPr>
      <w:r>
        <w:rPr>
          <w:b/>
        </w:rPr>
        <w:t>Available abstract (not full text):</w:t>
      </w:r>
      <w:r>
        <w:t xml:space="preserve"> Street network configuration shapes travel behavior, network performance, and accessibility. Analyzing how physical space relates to transportation becomes vital to assessing transportation systems and planning improvements. Such an assessment can be performed by evaluating the efficiency of the network through different metrics. Within these, circuity measures the ratio between the road network and straight-line distances. This work analyzes and compares circuity for walking, cycling, and driving networks across 41 European cities. Concurrently, we identify cities' mobility cultures (socio-cultural constructs related to mobility) to identify differences between cities' circuities and mobility patterns. Data-driven methods were employed to cluster cities into six groups according to their mobility culture: Cycling Champion Cities, Sustainable Transportation Advocates, Multimodal Metropolises, Car Dependent Cities, Walking Conducive Cities, and Pro Transit Cities. Both intra- and inter-city differences were discovered for average circuity levels, and statistical differences were found between different clusters' circuity values. Car Dependent Cities had the worst circuity levels across the three transport modes; Sustainable Transport Advocates had the lowest circuity overall; and Cycling Champions Cities exhibited low levels of circuity for cycling and walking but high for drivi</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pStyle w:val="Heading2"/>
      </w:pPr>
      <w:r>
        <w:t>632.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r>
        <w:rPr>
          <w:b/>
        </w:rPr>
        <w:t>POSSIBLE 2025:</w:t>
      </w:r>
      <w:r>
        <w:t xml:space="preserve"> The Long Way to the Compliance of Data Retention with European Union Law — https://doi.org/10.1093/9780191998980.003.0010</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Abstract In Chapter 8 the authors examine the evolution of Italian rules on retention and access to traffic data. After some introductory remarks on the guarantees ensured by Article 15 of the Italian Constitution, protecting the freedom and secrecy of communications, special attention is paid to the evolution of the case law, considering the issues which appear most sensitive, in light of the pronouncements of the Court of Justice. The analysis therefore focuses on the principles of legality and proportionality, the control by an impartial authority and the usability of data acquired in violation of European Union law. The chapter then proceeds to examine the role and decisions of the Italian Supervisory Authority, and, finally, deals with the latest intervention of the Italian legislator on the matter, which raises some doubts on the real consistency with European requirements.</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pStyle w:val="Heading2"/>
      </w:pPr>
      <w:r>
        <w:t>633.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2025:</w:t>
      </w:r>
      <w:r>
        <w:t xml:space="preserve"> Novel Synthetic Opioids (NSOs) and Their Evolving Crisis: Utilising NPSfinder® as a Real-Time Predictive Tool — https://doi.org/10.3390/ph19010017</w:t>
      </w:r>
    </w:p>
    <w:p>
      <w:pPr/>
      <w:r>
        <w:rPr>
          <w:b/>
        </w:rPr>
        <w:t>Shared claim-specific concepts:</w:t>
      </w:r>
      <w:r>
        <w:t xml:space="preserve"> monitoring, challenges, health; EU scope not established. This is a provisional connection, not an outcome finding.</w:t>
      </w:r>
    </w:p>
    <w:p>
      <w:pPr>
        <w:pStyle w:val="SourceNote"/>
      </w:pPr>
      <w:r>
        <w:rPr>
          <w:b/>
        </w:rPr>
        <w:t>Available abstract (not full text):</w:t>
      </w:r>
      <w:r>
        <w:t xml:space="preserve"> Background/Objectives: The rapidly evolving crisis of Novel Synthetic Opioids (NSOs) poses a serious and growing threat for global public health. NSOs include prescription/non-prescription opioids (fentanyl, non-fentanyl analogues), herbal derivatives, and other emerging analogues that are of critical concern due to their high potency, misuse potential, and addiction and intoxication risk. There remains an important gap in real-time, systematic monitoring of NSOs emergence, especially in online communities where these substances appear for the first time. This study aimed to employ the NPSfinder® automated web-crawling tool to detect, monitor, analyse, and evaluate the evolving NSOs scene. Methods: Data were collected during two time-periods, i.e., 2017–2019 and 2023, from selected high traffic psychonaut online platforms to better understand trends in opioids market evolution and adaptability and compare NPSfinder® findings with other well-known Early Warning Systems (EWSs) databases to assess detection overlap and early identification capacity. Results: Within the selected time-periods, a total of 446 NSOs were detected by NPSfinder®; fentanyl analogues (n = 249) were dominant, with a notable rise in non-fentanyl analogues, especially nitazene-like compounds, in 2023. Over 57% of these NSOs were not captured by any of the other EWSs, confirming the tool’s strong capacity to i</w:t>
      </w:r>
    </w:p>
    <w:p>
      <w:pPr>
        <w:pStyle w:val="Heading2"/>
      </w:pPr>
      <w:r>
        <w:t>634.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2024:</w:t>
      </w:r>
      <w:r>
        <w:t xml:space="preserve"> Study of the feasibility of energy transition policies applicable in Colombia based on the analysis of international references. — https://openalex.org/W7133450036</w:t>
      </w:r>
    </w:p>
    <w:p>
      <w:pPr/>
      <w:r>
        <w:rPr>
          <w:b/>
        </w:rPr>
        <w:t>Shared claim-specific concepts:</w:t>
      </w:r>
      <w:r>
        <w:t xml:space="preserve"> based, energy, policies; EU scope not established. This is a provisional connection, not an outcome finding.</w:t>
      </w:r>
    </w:p>
    <w:p>
      <w:pPr>
        <w:pStyle w:val="SourceNote"/>
      </w:pPr>
      <w:r>
        <w:rPr>
          <w:b/>
        </w:rPr>
        <w:t>Available abstract (not full text):</w:t>
      </w:r>
      <w:r>
        <w:t xml:space="preserve"> La transición energética es cada día una realidad más cercana a la nuestra razón por la cual en 2015 se firmó el acuerdo de Paris, el cual, propone llegar a la carbono neutralidad para el año 2050 manteniendo el aumento de la temperatura hasta un nivel máximo de 1.5°C por encima de los niveles preindustriales como su objetivo principal. En la COP 27 realizada el año 2022, 7 años después de la firma del acuerdo los balances realizados por la ONU no muestran resultados alentadores, con la tendencia global actual para el año 2030 se registrarían temperaturas 10% mayores a las registradas en el año 2010. Situación crítica que obliga a intensificar los esfuerzos de manera global, en este orden de ideas y entendiendo que los contextos para llevar a cabo transiciones exitosas son diferentes para cada país, se intentan identificar diferentes estrategias y estructuras que se acomoden al contexto colombiano, partiendo del estudio de referentes internacionales con modelos de transición energética avanzados.</w:t>
      </w:r>
    </w:p>
    <w:p>
      <w:pPr/>
      <w:r>
        <w:rPr>
          <w:b/>
        </w:rPr>
        <w:t>POSSIBLE 2024:</w:t>
      </w:r>
      <w:r>
        <w:t xml:space="preserve"> Impacts of large-scale deployment of vertical bifacial photovoltaics on European electricity market dynamics — https://doi.org/10.1038/s41467-024-50762-7</w:t>
      </w:r>
    </w:p>
    <w:p>
      <w:pPr/>
      <w:r>
        <w:rPr>
          <w:b/>
        </w:rPr>
        <w:t>Shared claim-specific concepts:</w:t>
      </w:r>
      <w:r>
        <w:t xml:space="preserve"> energy, system, policies, introduced; EU scope visible. This is a provisional connection, not an outcome finding.</w:t>
      </w:r>
    </w:p>
    <w:p>
      <w:pPr>
        <w:pStyle w:val="SourceNote"/>
      </w:pPr>
      <w:r>
        <w:rPr>
          <w:b/>
        </w:rPr>
        <w:t>Available abstract (not full text):</w:t>
      </w:r>
      <w:r>
        <w:t xml:space="preserve"> Self-sufficiency, climate change and increasing geopolitical risks have driven energy policies to make renewable energy sources dominant in the power production portfolios. The initial boom in the mid-2000s of global photovoltaic installations demonstrated the feasibility of the ambitious renewable energy targets. However, this rapid scale-up has introduced challenges, including price volatility and system integration issues. This communication calls the attention to these emerging challenges and offers quantitative insights on how rapid adoption of a more diversified photovoltaics deployment strategies can mitigate price volatilities, reduce fossil fuel dependence and steer Europe towards a forward-thinking sustainable energy pathway. The analysis reveals that as innovative bifacial photovoltaic systems are incorporated on a large-scale disruptive scenario, four main patterns emerge: economic value of solar production increases, base-load electricity price decreases, sun-rich countries expand their solar contributions, whereas nations with ample grid interconnections enhance their energy imports from neighbouring countries. It also underscores the importance of maintaining photovoltaics an attractive option for energy investors and traders in the future. Establishing this groundwork is critical since a successful integration of large-scale solar systems contributing to decreas</w:t>
      </w:r>
    </w:p>
    <w:p>
      <w:pPr/>
      <w:r>
        <w:rPr>
          <w:b/>
        </w:rPr>
        <w:t>POSSIBLE 2024:</w:t>
      </w:r>
      <w:r>
        <w:t xml:space="preserve"> THE EUROPEAN UNION'S GLOBAL GATEWAY IN THE FRAMEWORK OF SINO-EUROPEAN RELATIONS — https://doi.org/10.51799/2763-8685v4n2014</w:t>
      </w:r>
    </w:p>
    <w:p>
      <w:pPr/>
      <w:r>
        <w:rPr>
          <w:b/>
        </w:rPr>
        <w:t>Shared claim-specific concepts:</w:t>
      </w:r>
      <w:r>
        <w:t xml:space="preserve"> based, system, policies; EU scope visible. This is a provisional connection, not an outcome finding.</w:t>
      </w:r>
    </w:p>
    <w:p>
      <w:pPr>
        <w:pStyle w:val="SourceNote"/>
      </w:pPr>
      <w:r>
        <w:rPr>
          <w:b/>
        </w:rPr>
        <w:t>Available abstract (not full text):</w:t>
      </w:r>
      <w:r>
        <w:t xml:space="preserve"> This article aims to analyze the European Union proposal called Global Gateway, a new instrument reflecting Brussels’ medium-term strategy to compete with the Belt and Road Initiative of the People’s Republic of China. This analysis will focus on how the Global Gateway not only represents an economic and geopolitical response to the Chinese initiative, but also how it embodies the promotion of EU values and democracy at the global level. It will begin by examining the historical positions that the European Union has been defending with regard to the Asian country, with a geopolitical and geoeconomic analysis of the relations between the two actors. In light of the paradigm shift in these relationships as of 2019, the project that gives name to this document is studied in depth. Based on a thematic review of existing literature, it will analyze how Brussels uses the programme to disseminate its principles and values through cooperation and development policies. Finally, the implications of the Global Gateway in the current international system and its possible collision with the aforementioned Chinese project will be observed, paying particular attention to how this instrument influences global competition for leadership in infrastructure and connectivity and how it can serve as a vehicle for the globalization of European values, promoting democracy and respect for human rights </w:t>
      </w:r>
    </w:p>
    <w:p>
      <w:pPr/>
      <w:r>
        <w:rPr>
          <w:b/>
        </w:rPr>
        <w:t>POSSIBLE 2024:</w:t>
      </w:r>
      <w:r>
        <w:t xml:space="preserve"> Trends in Hybrid Renewable Energy System (HRES) Applications: A Review — https://doi.org/10.3390/en17112578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Microgrids and hybrid renewable energy systems play a crucial role in today’s energy transition. They enable local power generation and distribution, reducing dependence on large centralized infrastructures, can operate independently or connected to a grid, and can provide backup power, thus increasing system resilience. In addition, they combine multiple renewable energy sources, such as solar, wind, hydro, and biomass, to maximize the efficiency and reliability of the supply, and are also adaptable to location-specific conditions, taking advantage of locally available energy resources and reducing the need for energy imports. Moreover, they contribute to decarbonization goals by offering a cleaner and more sustainable alternative. In this article, a documentary review is presented on the interaction of Homer Pro software 3.16.2 (July 2023), used for the design of hybrid renewable energy systems (HRES), with other methods of optimization or sizing. Allusion is made to the type of architecture in the most prominent clean and fossil source configurations, the levelized cost, net annual cost, and maintenance and capital investment cost. A comparison is made among the works reported in the last five years regarding the use of this software tool, based on load demand, geographical area, renewable energy sources, fossil sources, and objective functions, applied to the educational, r</w:t>
      </w:r>
    </w:p>
    <w:p>
      <w:pPr>
        <w:pStyle w:val="Heading2"/>
      </w:pPr>
      <w:r>
        <w:t>635.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636.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2023:</w:t>
      </w:r>
      <w:r>
        <w:t xml:space="preserve"> An Evaluation of a Physical Activity and Exercise Promotion Pathway for Young Patients with Congenital Heart Disease — https://doi.org/10.31219/osf.io/8xjfq</w:t>
      </w:r>
    </w:p>
    <w:p>
      <w:pPr/>
      <w:r>
        <w:rPr>
          <w:b/>
        </w:rPr>
        <w:t>Shared claim-specific concepts:</w:t>
      </w:r>
      <w:r>
        <w:t xml:space="preserve"> pathway, requires, also; EU scope not established. This is a provisional connection, not an outcome finding.</w:t>
      </w:r>
    </w:p>
    <w:p>
      <w:pPr>
        <w:pStyle w:val="SourceNote"/>
      </w:pPr>
      <w:r>
        <w:rPr>
          <w:b/>
        </w:rPr>
        <w:t>Available abstract (not full text):</w:t>
      </w:r>
      <w:r>
        <w:t xml:space="preserve"> BackgroundIncreased physical activity has been shown to result in improved physical fitness, quality of life, self-confidence, and reduced anxiety in adults with congenital heart disease (CHD). In comparison to adults there are relatively few data on the benefit of physical activity for children and adolescents with CHD. It is clear that increasing physical activity (PA) plays an important, beneficial role in long-term cardiovascular and general health. However, whilst clinicians recognise the importance of promoting PA to children with CHD, ‘how’ it is best promoted and delivered to the young patients is not known. Most guidelines for patients with CHD are focused on restriction of competitive sports and are also devised for adults. However, competitive sport is only one part of the physical activity continuum, with physical activity being defined as ‘any bodily movement produced by skeletal muscles that requires energy expenditure above resting levels’ (WHO, 2020) and can include activities such as walking, dancing, jogging and swimming.MethodsThis is a randomised control trial study and 76 participants (n=38 each in the intervention and control groups) will be recruited from the children’s CHD clinic. After baseline testing participants will be randomised to the exercise intervention or control arm of the study. Cardiovascular, physical and mental health assessments will be </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Utilising Human Crash Tolerance to Design an Interim and Ultimate Safe System for Road Safety — https://doi.org/10.3390/su14063491</w:t>
      </w:r>
    </w:p>
    <w:p>
      <w:pPr/>
      <w:r>
        <w:rPr>
          <w:b/>
        </w:rPr>
        <w:t>Shared claim-specific concepts:</w:t>
      </w:r>
      <w:r>
        <w:t xml:space="preserve"> pathway, interim, ultimate, all; EU scope not established. This is a provisional connection, not an outcome finding.</w:t>
      </w:r>
    </w:p>
    <w:p>
      <w:pPr>
        <w:pStyle w:val="SourceNote"/>
      </w:pPr>
      <w:r>
        <w:rPr>
          <w:b/>
        </w:rPr>
        <w:t>Available abstract (not full text):</w:t>
      </w:r>
      <w:r>
        <w:t xml:space="preserve"> Many jurisdictions globally have adopted a zero road trauma target by 2050 and an interim target of a 50% reduction by 2030. The objective of this study was to investigate what the road system will need to look like in order to achieve these respective targets. Utilising human tolerance to injury as the key design factor, this study defined the combination of vehicle, infrastructure, and travel speed requirements to manage crash energy in order to: 1. prevent all fatalities and serious injuries by 2050 in an Ultimate Safe System scenario; and 2. significantly reduce fatalities and severe injuries by 2030 in an Interim Safe System scenario. Victoria, Australia and its Movement and Place (M&amp;P) framework was employed as a case study. With the vehicle and infrastructure countermeasures currently available coupled with appropriate travel speeds it is possible to construct an Ultimate Safe System that can manage crash forces to achieve zero trauma and an Interim Safe System that can significantly reduce the most severe injuries in Victoria. This study has demonstrated a potential pathway from the current situation to 2030 and then 2050 that can achieve safety targets while meeting the core objectives of the transport system.</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use, grassland, water, land, also;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pStyle w:val="Heading2"/>
      </w:pPr>
      <w:r>
        <w:t>637.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2025:</w:t>
      </w:r>
      <w:r>
        <w:t xml:space="preserve"> The European Approach to the Use of Artificial Intelligence for Sustainable Development — https://doi.org/10.1093/9780198945215.003.0161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Abstract Sustainable development in AI is an essential element to ensure that this technology fosters a beneficial future from environmental, social, and economic perspectives. Indeed, the multiple applications of AI have great potential for achieving the UN Sustainable Development Goals. Accordingly, the EU has enacted the Artificial Intelligence Act, a legal framework adopted in 2024 that incorporates (to varying degrees) the principles of sustainable development in the use of AI systems. To this end, the legislative technique is fundamentally based on a risk management approach. The law classifies AI systems according to their risk levels and assigns different requirements and obligations accordingly. Thus, this article examines how the European law addresses the advancement of AI in its contribution to sustainability.</w:t>
      </w:r>
    </w:p>
    <w:p>
      <w:pPr/>
      <w:r>
        <w:rPr>
          <w:b/>
        </w:rPr>
        <w:t>POSSIBLE 2025:</w:t>
      </w:r>
      <w:r>
        <w:t xml:space="preserve"> Social Intervention in the Field of Honour-Based Violence in Europe: contributions to its Approach in Spain — https://openalex.org/W7114947958</w:t>
      </w:r>
    </w:p>
    <w:p>
      <w:pPr/>
      <w:r>
        <w:rPr>
          <w:b/>
        </w:rPr>
        <w:t>Shared claim-specific concepts:</w:t>
      </w:r>
      <w:r>
        <w:t xml:space="preserve"> based, approach; EU scope visible. This is a provisional connection, not an outcome finding.</w:t>
      </w:r>
    </w:p>
    <w:p>
      <w:pPr>
        <w:pStyle w:val="SourceNote"/>
      </w:pPr>
      <w:r>
        <w:rPr>
          <w:b/>
        </w:rPr>
        <w:t>Available abstract (not full text):</w:t>
      </w:r>
      <w:r>
        <w:t xml:space="preserve"> Honour-based violence is a serious social phenomenon whose institutional attention in Spain is still scarce. Therefore, this research aims to identify and analyse the existing literature within the European context that shows empirical results on social intervention in the field of honour-based violence. The aim is to contribute significant elements to the academic debate that favour the construction of an institutional response in Spain, as established by the Istanbul Convention of the Council of Europe. To this end, we developed an exploratory systematized review based on the PRISMA methodology. The results show how the greatest academic prominence is in the United Kingdom and Sweden, in correspondence with the greater institutional and regulatory attention given in both countries. The analysis of the selected articles allows us to place four thematic categories of interest: assistance and protection for victims, identification of risk and conditions of vulnerability, narratives and institutional discoursesand, finally, the detection of honour-based violence in the educational context. The study concludes by pointing out the importance of developing a holistic care model focused on the prevention of the phenomenon and the specific intervention with victims</w:t>
      </w:r>
    </w:p>
    <w:p>
      <w:pPr/>
      <w:r>
        <w:rPr>
          <w:b/>
        </w:rPr>
        <w:t>POSSIBLE 2025:</w:t>
      </w:r>
      <w:r>
        <w:t xml:space="preserve"> Multiple Regression with Transformations and Variable Selection at the Industrial Scale — https://doi.org/10.1080/26939169.2025.2490027</w:t>
      </w:r>
    </w:p>
    <w:p>
      <w:pPr/>
      <w:r>
        <w:rPr>
          <w:b/>
        </w:rPr>
        <w:t>Shared claim-specific concepts:</w:t>
      </w:r>
      <w:r>
        <w:t xml:space="preserve"> based, multiple, regression, article, scale, transformations; EU scope not established. This is a provisional connection, not an outcome finding.</w:t>
      </w:r>
    </w:p>
    <w:p>
      <w:pPr>
        <w:pStyle w:val="SourceNote"/>
      </w:pPr>
      <w:r>
        <w:rPr>
          <w:b/>
        </w:rPr>
        <w:t>Available abstract (not full text):</w:t>
      </w:r>
      <w:r>
        <w:t xml:space="preserve"> This article explores the development of a statistical model to predict roll forces during hot rolling in a commercial steel mill based on a data set from an industrial-scale operation; this data set consists of 2,255 individual coils, processed through five roll stands in the mill, for a total of 11,275 distinct data points. This work is informed by a physics-based equation and applies variable transformations, variable selection and model comparisons; it illustrates several topics introduced throughout a regression modeling course, including data visualization, multiple linear regression, residual diagnostics and heteroscedastiscity, variable transformations, collinearity and confounding due to strong correlations between predictor variables, the false correlation paradox, variable selection, and measures of model quality for predictive use. Extensions, including autocorrelation, mixed models, and resampling methods, are also suitable as more advanced topics and for open-ended courses. Finally, we add an interesting real data set and associated analysis to the publicly available resources for statistics and data science education.</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based, multiple, article, activity, major;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Assessing Multidimensional Poverty in the European Union: Insights From SDG 1 and the Benefit of the Doubt Approach — https://doi.org/10.1111/manc.70030</w:t>
      </w:r>
    </w:p>
    <w:p>
      <w:pPr/>
      <w:r>
        <w:rPr>
          <w:b/>
        </w:rPr>
        <w:t>Shared claim-specific concepts:</w:t>
      </w:r>
      <w:r>
        <w:t xml:space="preserve"> based, multiple, approach, article, transformations, demographic; EU scope visible. This is a provisional connection, not an outcome finding.</w:t>
      </w:r>
    </w:p>
    <w:p>
      <w:pPr>
        <w:pStyle w:val="SourceNote"/>
      </w:pPr>
      <w:r>
        <w:rPr>
          <w:b/>
        </w:rPr>
        <w:t>Available abstract (not full text):</w:t>
      </w:r>
      <w:r>
        <w:t xml:space="preserve"> ABSTRACT The eradication of poverty remains one of the greatest economic challenges of the 21st century, particularly in light of transformations in labour markets, demographic shifts, and recent crises such as the COVID‐19 pandemic. Sustainable Development Goal 1 (SDG 1) acknowledges the need for broader approaches to measuring and addressing poverty, going beyond income‐based metrics to include multiple social and economic dimensions. This article analyses the evolution of multidimensional poverty across European Union countries between 2015 and 2023, using 11 indicators linked to SDG 1. The benefit of the doubt (BoD) method is employed to construct a composite index with endogenously determined weights, allowing for cross‐country comparisons that account for national specificities. The findings reveal distinct regional patterns: Northern and Western European countries, such as Finland and the Czech Republic, demonstrated stronger performance, while Southern and Eastern European countries continued to face persistent vulnerabilities.</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pStyle w:val="Heading2"/>
      </w:pPr>
      <w:r>
        <w:t>638.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currently, target, emissions;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Are tracking recommendations biased? A review of teachers’ role in the creation of inequalities in tracking decisions — https://doi.org/10.1016/j.tate.2022.103985</w:t>
      </w:r>
    </w:p>
    <w:p>
      <w:pPr/>
      <w:r>
        <w:rPr>
          <w:b/>
        </w:rPr>
        <w:t>Shared claim-specific concepts:</w:t>
      </w:r>
      <w:r>
        <w:t xml:space="preserve"> find, track, yet; EU scope not established. This is a provisional connection, not an outcome finding.</w:t>
      </w:r>
    </w:p>
    <w:p>
      <w:pPr>
        <w:pStyle w:val="SourceNote"/>
      </w:pPr>
      <w:r>
        <w:rPr>
          <w:b/>
        </w:rPr>
        <w:t>Available abstract (not full text):</w:t>
      </w:r>
      <w:r>
        <w:t xml:space="preserve"> Sorting students into hierarchically ordered tracks or streams on the basis of their academic performance (i.e., tracking) is ubiquitous in educational systems, and oftentimes based on teachers’ track recommendations. International surveys indicate that tracking is associated with educational inequalities. To determine if inequalities in tracking may be due to teacher recommendations being biased against students from disadvantaged socio-economic and/or ethnic backgrounds, we conducted a systematic review of 26 recent articles on tracking recommendations and students’ socio-economic or ethnic background. We find that teacher recommendations are biased against students from disadvantaged socio-economic backgrounds, yet evidence with respect to ethnic biases is more mixed. We also conducted an integrative review to examine which factors may account for social and ethnic inequalities in teacher tracking recommendations. We conclude that students’, parents’ and teachers’ attitudes and behaviours play a role in tracking recommendations but cannot fully account for the inequality in these recommendations. We discuss promising areas for future study, and argue that research may want to focus on finding institutional moderators in order to combat biases in educational institutions.</w:t>
      </w:r>
    </w:p>
    <w:p>
      <w:pPr>
        <w:pStyle w:val="Heading2"/>
      </w:pPr>
      <w:r>
        <w:t>639.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pStyle w:val="Heading2"/>
      </w:pPr>
      <w:r>
        <w:t>640.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Civil liability and environmental protection :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preventive.However, paradoxically civil liability may appear today in several respects as a model to be more faithfully rediscovered for a more effective and coherent protection of the environment.</w:t>
      </w:r>
    </w:p>
    <w:p>
      <w:pPr/>
      <w:r>
        <w:rPr>
          <w:b/>
        </w:rPr>
        <w:t>POSSIBLE 2022:</w:t>
      </w:r>
      <w:r>
        <w:t xml:space="preserve"> Civil liability and environmental protection: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 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 However, paradoxically civil liability may appear today in several respects as a model to be more faithfully rediscovered for a more effective and coherent protection of the environment.</w:t>
      </w:r>
    </w:p>
    <w:p>
      <w:pPr>
        <w:pStyle w:val="Heading2"/>
      </w:pPr>
      <w:r>
        <w:t>641.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2024:</w:t>
      </w:r>
      <w:r>
        <w:t xml:space="preserve"> Imagining alternative futures with augmentative and alternative communication: a manifesto — https://doi.org/10.1136/medhum-2024-013022</w:t>
      </w:r>
    </w:p>
    <w:p>
      <w:pPr/>
      <w:r>
        <w:rPr>
          <w:b/>
        </w:rPr>
        <w:t>Shared claim-specific concepts:</w:t>
      </w:r>
      <w:r>
        <w:t xml:space="preserve"> not, about, alternative, different; EU scope not established. This is a provisional connection, not an outcome finding.</w:t>
      </w:r>
    </w:p>
    <w:p>
      <w:pPr>
        <w:pStyle w:val="SourceNote"/>
      </w:pPr>
      <w:r>
        <w:rPr>
          <w:b/>
        </w:rPr>
        <w:t>Available abstract (not full text):</w:t>
      </w:r>
      <w:r>
        <w:t xml:space="preserve"> This manifesto seeks to challenge dominant narratives about the future of augmentative and alternative communication (AAC). Current predictions are mainly driven by technological developments-technologies usually being developed for different markets-and are often based on ableist assumptions. In online conversations and a discussion panel at the 2023 International Society for Augmentative and Alternative Communication conference, we explored alternative futures by adopting different starting positions. Our case is presented under five headings: questioning the dominance of predictions that artificial intelligence and brain-computer interfaces will define the future of AAC; resisting disability being framed medically, as a problem to be solved, yet acknowledging both the pleasures and pains of being disabled; declaring that people who use AAC-as cyborgs of necessity rather than choice-should have choice and ownership of our technologies; challenging notions of independence as the necessary end goal for disabled bodies and considering interdependence as a human right; imagining alternative futures in which all people who use AAC are accepted and embraced for our communication and self-expression. This manifesto is an invitation for further discussion, and we welcome responses. While our focus is AAC, and three of the authors use AAC, we believe that our stance could be relevant </w:t>
      </w:r>
    </w:p>
    <w:p>
      <w:pPr/>
      <w:r>
        <w:rPr>
          <w:b/>
        </w:rPr>
        <w:t>POSSIBLE 2024:</w:t>
      </w:r>
      <w:r>
        <w:t xml:space="preserve"> What about the alternatives? — https://doi.org/10.1017/9781108951968.032</w:t>
      </w:r>
    </w:p>
    <w:p>
      <w:pPr/>
      <w:r>
        <w:rPr>
          <w:b/>
        </w:rPr>
        <w:t>Shared claim-specific concepts:</w:t>
      </w:r>
      <w:r>
        <w:t xml:space="preserve"> not, about, alternative, them; EU scope not established. This is a provisional connection, not an outcome finding.</w:t>
      </w:r>
    </w:p>
    <w:p>
      <w:pPr>
        <w:pStyle w:val="SourceNote"/>
      </w:pPr>
      <w:r>
        <w:rPr>
          <w:b/>
        </w:rPr>
        <w:t>Available abstract (not full text):</w:t>
      </w:r>
      <w:r>
        <w:t xml:space="preserve"> The chapter draws some epistemic lessons from forgotten alternatives, theoretical conjectures that led to them, observational refutations, and the roles they played in building orthodox consensus. Most alternatives have never been fully developed, and some examples suggest that the potential for their improvement should not be underestimated. Moreover, viable alternatives and criticisms in cosmology can arrive piecemeal, not necessarily as fully worked out models. Finally, less apparent general theoretical assumptions may always lurk in the background of any model, a reflection on which may improve it or lead to a new one. Features of old models can once again become attractive, as the field interrelates various observations and theoretical presuppositions. The chapter offers some examples of this. It then ranks the alternative explanations in terms of plausibility, persuasiveness, and possible fruitfulness of some of their features.</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2023:</w:t>
      </w:r>
      <w:r>
        <w:t xml:space="preserve"> DRIVERS FOR ALTERNATIVE PROTEIN CONSUMPTION — https://doi.org/10.14488/enegep2023_tn_wpg_407_2007_46332</w:t>
      </w:r>
    </w:p>
    <w:p>
      <w:pPr/>
      <w:r>
        <w:rPr>
          <w:b/>
        </w:rPr>
        <w:t>Shared claim-specific concepts:</w:t>
      </w:r>
      <w:r>
        <w:t xml:space="preserve"> not, but, developing, alternative, sustainable; EU scope not established. This is a provisional connection, not an outcome finding.</w:t>
      </w:r>
    </w:p>
    <w:p>
      <w:pPr>
        <w:pStyle w:val="SourceNote"/>
      </w:pPr>
      <w:r>
        <w:rPr>
          <w:b/>
        </w:rPr>
        <w:t>Available abstract (not full text):</w:t>
      </w:r>
      <w:r>
        <w:t xml:space="preserve"> By 2050, the global population is projected to surpass nine billion individuals (FAO, 2013).Consequently, the United Nations has recognized the imperative to substantially augment food production to meet the future population's demands.Notably, the consumption of animalderived food is anticipated to rise by 2050, particularly in developing nations, at an accelerated pace (HPLE, 2016).Conversely, livestock-related activities engender adverse environmental repercussions, primarily attributable to their substantial contributions to greenhouse gas emissions and the depletion of critical resources such as land and water (FAO, 2013).Concerning climate change, global greenhouse gas (GHG) emissions have experienced a resurgence, reaching a record-breaking 52.4 gigatons of carbon dioxide equivalent (GtCO2e) in 2019 (PNUMA, 2020).Bill Gates (2021) posits that the agricultural sector accounts for 19% of total GHG emissions, with livestock production for food constituting the principal contributor within this sector.However, the author asserts that the primary culprits are not carbon dioxide but rather methane and nitrous oxide, which possess significantly higher heat-trapping potentials compared to carbon dioxide, with factors of 28 and 265 times, respectively.Global data substantiate that livestock production contributes the largest share of GHG emissions within the agricultural sector, </w:t>
      </w:r>
    </w:p>
    <w:p>
      <w:pPr/>
      <w:r>
        <w:rPr>
          <w:b/>
        </w:rPr>
        <w:t>POSSIBLE 2023:</w:t>
      </w:r>
      <w:r>
        <w:t xml:space="preserve"> Algae as a potential source of protein meat alternatives — https://doi.org/10.3389/fnut.2023.1254300</w:t>
      </w:r>
    </w:p>
    <w:p>
      <w:pPr/>
      <w:r>
        <w:rPr>
          <w:b/>
        </w:rPr>
        <w:t>Shared claim-specific concepts:</w:t>
      </w:r>
      <w:r>
        <w:t xml:space="preserve"> about, but, developing, sustainable; EU scope not established. This is a provisional connection, not an outcome finding.</w:t>
      </w:r>
    </w:p>
    <w:p>
      <w:pPr>
        <w:pStyle w:val="SourceNote"/>
      </w:pPr>
      <w:r>
        <w:rPr>
          <w:b/>
        </w:rPr>
        <w:t>Available abstract (not full text):</w:t>
      </w:r>
      <w:r>
        <w:t xml:space="preserve"> With the rise of plant-based meat alternatives, there is a growing need for sustainable and nutritious sources of protein. Alga is a rich protein source, and initial studies show that it can be a good component in developing protein meat alternatives. However, there are certain limitations in their use as the need for efficient and optimal technical process in large-scale protein extraction and purification, as well as overcoming certain negative effects such as potentially harmful compounds, allergenicity issues, or sensorial affections, especially in color but also in textural and flavor characteristics. This review offers a vision of the fledgling research about using alga protein in the development of meat alternatives or supplementing meat products.</w:t>
      </w:r>
    </w:p>
    <w:p>
      <w:pPr/>
      <w:r>
        <w:rPr>
          <w:b/>
        </w:rPr>
        <w:t>POSSIBLE 2023:</w:t>
      </w:r>
      <w:r>
        <w:t xml:space="preserve"> Beliefs About the Inevitability of Sexual Attraction Predict Stereotypes About Asexuality — https://doi.org/10.1007/s10508-023-02616-4</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Similar to other sexual minorities, asexual individuals often face prejudice and stereotyping. However, the source of these attitudes and beliefs is not well understood. We hypothesized that asexual stereotypes stem from the belief that sexual attraction is an inevitable part of human development. This attraction inevitability assumption can lead to the deduction that people who identify as asexual do so because they are going through a transitory stage or excusing socially avoidant tendencies. To test this stereotype deduction account, we examined whether specific asexual stereotypes (immaturity and non-sociality) were associated with adherence to the attraction inevitability assumption. Heterosexual participants (N = 322; 201 women, 114 men; mean age 34.6 yrs.) from the UK and the US read vignettes describing a target character that was either asexual or heterosexual. People who assumed that attraction is inevitable were more likely to evaluate asexual targets (but not heterosexual targets) as immature and non-social. The impact of the sexual inevitability assumption was present even when social dominance orientation, an attitude closely related to negativity toward all sexual minorities, was accounted for. Participants who adhered to the attraction inevitability assumption also showed a reduced inclination to befriend asexual individuals. These findings suggest that generali</w:t>
      </w:r>
    </w:p>
    <w:p>
      <w:pPr>
        <w:pStyle w:val="Heading2"/>
      </w:pPr>
      <w:r>
        <w:t>642.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2024:</w:t>
      </w:r>
      <w:r>
        <w:t xml:space="preserve"> The impact of COVID-19 on young people’s mental health, wellbeing and routine from a European perspective: A co-produced qualitative systematic review — https://doi.org/10.1371/journal.pone.0299547</w:t>
      </w:r>
    </w:p>
    <w:p>
      <w:pPr/>
      <w:r>
        <w:rPr>
          <w:b/>
        </w:rPr>
        <w:t>Shared claim-specific concepts:</w:t>
      </w:r>
      <w:r>
        <w:t xml:space="preserve"> appraisal, conducted; EU scope visible. This is a provisional connection, not an outcome finding.</w:t>
      </w:r>
    </w:p>
    <w:p>
      <w:pPr>
        <w:pStyle w:val="SourceNote"/>
      </w:pPr>
      <w:r>
        <w:rPr>
          <w:b/>
        </w:rPr>
        <w:t>Available abstract (not full text):</w:t>
      </w:r>
      <w:r>
        <w:t xml:space="preserve"> BACKGROUND: The impact of the Covid-19 pandemic on young people's (YP) mental health has been mixed. Systematic reviews to date have focused predominantly on quantitative studies and lacked involvement from YP with lived experience of mental health difficulties. Therefore, our primary aim was to conduct a qualitative systematic review to examine the perceived impact of the Covid-19 pandemic on YP's (aged 10-24) mental health and wellbeing across Europe. METHODS AND FINDINGS: We searched MEDLINE, PsycINFO, Embase, Web of Science, MEDRXIV, OSF preprints, Google, and voluntary sector websites for studies published from 1st January 2020 to 15th November 2022. European studies were included if they reported qualitative data that could be extracted on YP's (aged 10-24) own perspectives of their experiences of Covid-19 and related disruptions to their mental health and wellbeing. Screening, data extraction and appraisal was conducted independently in duplicate by researchers and YP with lived experience of mental health difficulties (co-researchers). Confidence was assessed using the Confidence in the Evidence from Reviews of Qualitative Research (CERQual) approach. We co-produced an adapted narrative thematic synthesis with co-researchers. This study is registered with PROSPERO, CRD42021251578. We found 82 publications and included 77 unique studies in our narrative synthesis. Most s</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2022:</w:t>
      </w:r>
      <w:r>
        <w:t xml:space="preserve"> Evaluating European ECOSTRESS Hub Evapotranspiration Products Retrieved from Three Structurally Contrasting SEB Models over Europe — https://doi.org/10.1002/essoar.10512884.1</w:t>
      </w:r>
    </w:p>
    <w:p>
      <w:pPr/>
      <w:r>
        <w:rPr>
          <w:b/>
        </w:rPr>
        <w:t>Shared claim-specific concepts:</w:t>
      </w:r>
      <w:r>
        <w:t xml:space="preserve"> three, produced, conducted; EU scope visible. This is a provisional connection, not an outcome finding.</w:t>
      </w:r>
    </w:p>
    <w:p>
      <w:pPr>
        <w:pStyle w:val="SourceNote"/>
      </w:pPr>
      <w:r>
        <w:rPr>
          <w:b/>
        </w:rPr>
        <w:t>Available abstract (not full text):</w:t>
      </w:r>
      <w:r>
        <w:t xml:space="preserve"> The ECOsystem Spaceborne Thermal Radiometer Experiment on Space Station (ECOSTRESS) is a scientific mission that collects high spatio-temporal resolution (~70 m, 1-5 days average revisit time) thermal images since its launch on 29 June 2018. As a predecessor of future missions, one of the main objectives of ECOSTRESS is to retrieve and understand the spatio-temporal variations in terrestrial evapotranspiration (ET) and its responses to soil water availability. In the European ECOSTRESS Hub (EEH), by taking advantage of land surface temperature retrievals, we generated ECOSTRESS ET products over Europe and Africa using three structurally contrasting models, namely Surface Energy Balance System (SEBS) and Two Source Energy Balance (TSEB) parametric models, as well as the non-parametric Surface Temperature Initiated Closure (STIC) model. A comprehensive evaluation of the EEH ET products was conducted with respect to flux measurements from 19 eddy covariance sites over 6 different biomes with diverse aridity levels. Results revealed comparable performances of STIC and SEBS (RMSE of ~70 W m -2 ). However, the relatively complex TSEB model produced a higher RMSE of ~90 W m -2 . Comparison between STIC ET estimate and the operational ECOSTRESS ET product from NASA PT-JPL model showed a difference in RMSE between the two ET products around 50 W m -2 . Substantial overestimation (&gt;80 W </w:t>
      </w:r>
    </w:p>
    <w:p>
      <w:pPr/>
      <w:r>
        <w:rPr>
          <w:b/>
        </w:rPr>
        <w:t>POSSIBLE 2022:</w:t>
      </w:r>
      <w:r>
        <w:t xml:space="preserve"> Predicting Patch Correctness Based on the Similarity of Failing Test Cases — https://doi.org/10.1145/3511096</w:t>
      </w:r>
    </w:p>
    <w:p>
      <w:pPr/>
      <w:r>
        <w:rPr>
          <w:b/>
        </w:rPr>
        <w:t>Shared claim-specific concepts:</w:t>
      </w:r>
      <w:r>
        <w:t xml:space="preserve"> failing, case, finally; EU scope not established. This is a provisional connection, not an outcome finding.</w:t>
      </w:r>
    </w:p>
    <w:p>
      <w:pPr>
        <w:pStyle w:val="SourceNote"/>
      </w:pPr>
      <w:r>
        <w:rPr>
          <w:b/>
        </w:rPr>
        <w:t>Available abstract (not full text):</w:t>
      </w:r>
      <w:r>
        <w:t xml:space="preserve"> How do we know a generated patch is correct? This is a key challenging question that automated program repair (APR) systems struggle to address given the incompleteness of available test suites. Our intuition is that we can triage correct patches by checking whether each generated patch implements code changes (i.e., behavior) that are relevant to the bug it addresses. Such a bug is commonly specified by a failing test case. Towards predicting patch correctness in APR, we propose a novel yet simple hypothesis on how the link between the patch behavior and failing test specifications can be drawn: similar failing test cases should require similar patches . We then propose BATS , an unsupervised learning-based approach to predict patch correctness by checking patch B ehavior A gainst failing T est S pecification. BATS exploits deep representation learning models for code and patches: For a given failing test case, the yielded embedding is used to compute similarity metrics in the search for historical similar test cases to identify the associated applied patches, which are then used as a proxy for assessing the correctness of the APR-generated patches. Experimentally, we first validate our hypothesis by assessing whether ground-truth developer patches cluster together in the same way that their associated failing test cases are clustered. Then, after collecting a large dataset of</w:t>
      </w:r>
    </w:p>
    <w:p>
      <w:pPr/>
      <w:r>
        <w:rPr>
          <w:b/>
        </w:rPr>
        <w:t>POSSIBLE 2022:</w:t>
      </w:r>
      <w:r>
        <w:t xml:space="preserve"> Country-level factors in a failing relationship with nature: Nature connectedness as a key metric for a sustainable future — https://doi.org/10.1007/s13280-022-01744-w</w:t>
      </w:r>
    </w:p>
    <w:p>
      <w:pPr/>
      <w:r>
        <w:rPr>
          <w:b/>
        </w:rPr>
        <w:t>Shared claim-specific concepts:</w:t>
      </w:r>
      <w:r>
        <w:t xml:space="preserve"> failing, sustainable, prosperity, conducted; EU scope visible. This is a provisional connection, not an outcome finding.</w:t>
      </w:r>
    </w:p>
    <w:p>
      <w:pPr>
        <w:pStyle w:val="SourceNote"/>
      </w:pPr>
      <w:r>
        <w:rPr>
          <w:b/>
        </w:rPr>
        <w:t>Available abstract (not full text):</w:t>
      </w:r>
      <w:r>
        <w:t xml:space="preserve"> Climate change and biodiversity loss show that the human-nature relationship is failing. That relationship can be measured through the construct of nature connectedness which is a key factor in pro-environmental behaviours and mental well-being. Country-level indicators of extinction of nature experience, consumption and commerce, use and control of nature and negativistic factors were selected. An exploratory analysis of the relationship between these metrics and nature connectedness across adult samples from 14 European countries was conducted (n = 14,745 respondents). The analysis provides insight into how affluence, technology and consumption are associated with the human-nature relationship. These findings motivate a comparison of how nature connectedness and composite indicators of prosperity, progress, development, and sustainability relate to indicators of human and nature's well-being. In comparison to composite indexes, it is proposed that nature connectedness is a critical indicator of human and nature's well-being needed to inform the transition to a sustainable future.</w:t>
      </w:r>
    </w:p>
    <w:p>
      <w:pPr>
        <w:pStyle w:val="Heading2"/>
      </w:pPr>
      <w:r>
        <w:t>643.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644.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r>
        <w:rPr>
          <w:b/>
        </w:rPr>
        <w:t>POSSIBLE 2025:</w:t>
      </w:r>
      <w:r>
        <w:t xml:space="preserve"> The Prehistory of Naval Mines - Floating Explosives in China, Europe, and the Americas — https://doi.org/10.5281/zenodo.17773707</w:t>
      </w:r>
    </w:p>
    <w:p>
      <w:pPr/>
      <w:r>
        <w:rPr>
          <w:b/>
        </w:rPr>
        <w:t>Shared claim-specific concepts:</w:t>
      </w:r>
      <w:r>
        <w:t xml:space="preserve"> article, provides, comprehensive, framework; EU scope visible. This is a provisional connection, not an outcome finding.</w:t>
      </w:r>
    </w:p>
    <w:p>
      <w:pPr>
        <w:pStyle w:val="SourceNote"/>
      </w:pPr>
      <w:r>
        <w:rPr>
          <w:b/>
        </w:rPr>
        <w:t>Available abstract (not full text):</w:t>
      </w:r>
      <w:r>
        <w:t xml:space="preserve"> Floating explosive devices occupy a surprisingly underexamined niche in the history of naval warfare. This article provides the first comprehensive analytical framework for understanding the evolution, strategic logic, and operational impact of drifting mines, fire-rafts, and other free-floating explosive mechanisms from antiquity to the early twentieth century. Drawing on cross-civilisational evidence from China, Europe, and the United States, the study demonstrates that floating explosives emerged repeatedly and independently in response to three recurring conditions: constrained littoral geography, asymmetric force balances, and technological environments that favoured remote-effect weapons. The analysis highlights how such devices—often improvised, low-cost, and deniable—expanded the tactical reach of weaker actors, disrupted blockades, shaped riverine engagements, and forced adversaries to adopt costly countermeasures. By integrating technological history with strategic theory, the article reframes floating explosives not as marginal curiosities, but as a distinct and durable class of naval weapons. Their influence, although episodic, was strategically disproportionate, illustrating how simple technologies can reshape maritime security dilemmas long before the advent of modern naval mines.</w:t>
      </w:r>
    </w:p>
    <w:p>
      <w:pPr/>
      <w:r>
        <w:rPr>
          <w:b/>
        </w:rPr>
        <w:t>POSSIBLE 2025:</w:t>
      </w:r>
      <w:r>
        <w:t xml:space="preserve"> COMPREHENSIVE REGULATIONS FOR DRUG AND COSMETICS IN EUROPEAN UNION — https://doi.org/10.22159/ijpps.2025v17i2.52827</w:t>
      </w:r>
    </w:p>
    <w:p>
      <w:pPr/>
      <w:r>
        <w:rPr>
          <w:b/>
        </w:rPr>
        <w:t>Shared claim-specific concepts:</w:t>
      </w:r>
      <w:r>
        <w:t xml:space="preserve"> article, provides, comprehensive, union, framework, also; EU scope visible. This is a provisional connection, not an outcome finding.</w:t>
      </w:r>
    </w:p>
    <w:p>
      <w:pPr>
        <w:pStyle w:val="SourceNote"/>
      </w:pPr>
      <w:r>
        <w:rPr>
          <w:b/>
        </w:rPr>
        <w:t>Available abstract (not full text):</w:t>
      </w:r>
      <w:r>
        <w:t xml:space="preserve"> Pharmaceuticals are regulated for quality, safety, and effectiveness by regulators for marketing approval with regard to good manufacturing practices, formulation, labelling, packaging, documentation and qualified individuals. Cosmetics for oneself or others are growing in popularity. The European Union (EU) Cosmetics Directive No. 1223/2009 enforces guidelines for cosmetic preparations. By considering the long-term risks of nanoparticles if misused by researchers and testers, the risk assessment outlined in Article 16 of the cosmetic code provides a framework for increasing the possibilities for innovation in nano-products. On March 14, 2024, the EU Commission published Regulation (EU) 2024/858, amending Cosmetics Regulation European Commission (EC) No. 1223/2009, which updated Annexes II and III regarding the use of certain nanomaterials in cosmetic products. Substances added in Annex II are prohibited from use, whereas those added in Annex III can be used when prescribed restrictions are met like essential conditions under European regulations for the import and sale of cosmetics. In the EU, the manufacturer is responsible for the safety of its products and must ensure that they undergo an expert scientific safety assessment before they are sold. The European Commission is also advised on issues related to the safety and allergenic properties of cosmetic products and ingredi</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2024:</w:t>
      </w:r>
      <w:r>
        <w:t xml:space="preserve"> A comprehensive overview of industrial demand response status in Europe — https://doi.org/10.1016/j.rser.2024.114797</w:t>
      </w:r>
    </w:p>
    <w:p>
      <w:pPr/>
      <w:r>
        <w:rPr>
          <w:b/>
        </w:rPr>
        <w:t>Shared claim-specific concepts:</w:t>
      </w:r>
      <w:r>
        <w:t xml:space="preserve"> comprehensive, overview, energy; EU scope visible. This is a provisional connection, not an outcome finding.</w:t>
      </w:r>
    </w:p>
    <w:p>
      <w:pPr>
        <w:pStyle w:val="SourceNote"/>
      </w:pPr>
      <w:r>
        <w:rPr>
          <w:b/>
        </w:rPr>
        <w:t>Available abstract (not full text):</w:t>
      </w:r>
      <w:r>
        <w:t xml:space="preserve"> Industrial demand response (IDR) will play a crucial role in shaping future electricity systems, as it is a key element of a just energy transition and industrial development. The aim of this work is to provide an overview of the current status of IDR in a holistic perspective. First, the main benefits and potential of IDR are reviewed, together with the motivations and challenges for the industrial sector. Most recent advances in European markets and regulations with specific focus on IDR applications are explored. Then, the different resources which are currently available to help industries participate and implement IDR programmes are reviewed. In particular: 1) the (possible) tools for defining energy-aware scheduling and planning of the manufacturing systems are analysed; 2) The role of aggregators (i.e. intermediaries between industries and power markets) for facilitating explicit IDR is examined; 3) the importance of digitalisation to provide better IDR services from the manufacturing industry is highlighted, pointing out that digital twins, cyber-physical systems, Internet of Things sensors, robots, edge computing, artificial intelligence, and big data are promising technologies; and 4) most recent related research projects are reviewed. Finally, it is analysed and discussed how each of those resources can address the different challenges that are still preventing indus</w:t>
      </w:r>
    </w:p>
    <w:p>
      <w:pPr>
        <w:pStyle w:val="Heading2"/>
      </w:pPr>
      <w:r>
        <w:t>645.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r>
        <w:rPr>
          <w:b/>
        </w:rPr>
        <w:t>POSSIBLE 2025:</w:t>
      </w:r>
      <w:r>
        <w:t xml:space="preserve"> Geospatial Insights into Healthcare Accessibility in Europe: A Scoping Review of GIS Applications — https://doi.org/10.3390/healthcare13222865</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Geographic Information Systems (GIS) have emerged as a critical tool in healthcare research, facilitating the assessment of healthcare accessibility through spatial analysis and data visualisation. This scoping review synthesises literature published between 2020 and 2024, a period marked by the COVID-19 pandemic and rapid methodological innovation, providing a timely overview of how GIS has been applied to evaluate healthcare access across European countries. Methods: The review underscores the role of GIS methodologies in identifying geographic disparities, optimising resource distribution, and informing policy decisions. Results: Key findings highlight significant urban-rural differences in healthcare access, shaped by factors such as transportation infrastructure, population density, and healthcare facility distribution. Additionally, GIS has proven valuable in examining the link between healthcare accessibility and utilisation, with better access generally correlating with higher service use. Conclusions: Despite its potential, challenges including data availability, methodological variability, and uneven adoption across regions limit its broader implementation. The review emphasises the need for integrating advanced technologies to foster more equitable healthcare access throughout Europe.</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based, factors;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pStyle w:val="Heading2"/>
      </w:pPr>
      <w:r>
        <w:t>646.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647.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pStyle w:val="Heading2"/>
      </w:pPr>
      <w:r>
        <w:t>648.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r>
        <w:rPr>
          <w:b/>
        </w:rPr>
        <w:t>POSSIBLE 2025:</w:t>
      </w:r>
      <w:r>
        <w:t xml:space="preserve"> Implementation of cites (convention on international trade in endangered species of wild fauna and flora) in dealing with illegal timber trade in Indonesia — https://doi.org/10.35335/jls.v7i1.5911</w:t>
      </w:r>
    </w:p>
    <w:p>
      <w:pPr/>
      <w:r>
        <w:rPr>
          <w:b/>
        </w:rPr>
        <w:t>Shared claim-specific concepts:</w:t>
      </w:r>
      <w:r>
        <w:t xml:space="preserve"> damage, trade, related; EU scope not established. This is a provisional connection, not an outcome finding.</w:t>
      </w:r>
    </w:p>
    <w:p>
      <w:pPr>
        <w:pStyle w:val="SourceNote"/>
      </w:pPr>
      <w:r>
        <w:rPr>
          <w:b/>
        </w:rPr>
        <w:t>Available abstract (not full text):</w:t>
      </w:r>
      <w:r>
        <w:t xml:space="preserve"> This research examines the implementation of the Convention on International Trade in Endangered Species of Wild Fauna and Flora in dealing with illegal timber trade in Indonesia. As a convention, CITES helps Indonesia deal with the illegal timber trade by making rules for timber traders. The problem of illegal logging and timber trade is a global crime. This action has damaged forests and even caused extinction for wildlife due to illegal logging for the benefit of certain groups. In this research, the author uses the literature study method by collecting information from reading which is then analyzed to get results. The purpose of this research is to find out the implementation of CITES in Indonesia in dealing with illegal timber trade that causes forest damage and loss. From the results of the study it can be found that Indonesia has ratified CITES and implemented it in the form of laws and Ministerial regulations. CITES is an international treaty that deals with plant and animal trade. Every country that ratifies CITES must be able to trade legally. By ratifying and making rules in Indonesia, timber trade can be carried out legally and pay attention to various aspects related to the environment. The implementation of CITES has an impact on forest protection, people can trade timber legally and protect animals in the forest.</w:t>
      </w:r>
    </w:p>
    <w:p>
      <w:pPr/>
      <w:r>
        <w:rPr>
          <w:b/>
        </w:rPr>
        <w:t>POSSIBLE 2025:</w:t>
      </w:r>
      <w:r>
        <w:t xml:space="preserve"> A panel analysis of FDI inflows and poverty reduction in ECOWAS sub region: Implication for the Sustainable Development Goal 1 — https://doi.org/10.55493/5009.v13i2.5443</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investigated the relationship between FDI and poverty reduction in the ECOWAS sub-region from 1990 to 2023. The study employed an ex-post-facto research design. Annual data were sourced from WDI and UNCTAD, respectively. Consequently, this study used the panel ARDL method to estimate the collected data. The findings revealed, among other things, that a long-run convergence existed between FDI and poverty reduction. FDI and poverty reduction had a negative relationship in the long run (β1 = -0.0040, t = 1.2393), but it was not significant. Trade openness and poverty reduction had a significant negative relationship (α2 = -0.0007, t = 2.5194). Policymakers of the ECOWAS sub-region should adopt stable economic policies to avoid FDI inflow-driven setbacks in poverty reduction in this area. Policymakers in the ECOWAS sub-region must develop trade policies to create active trade pathways with the global economy because trade openness negatively affects poverty reduction. Achieving SDG 1 (zero poverty) will be challenging for ECOWAS member states to accomplish before 2030 if FDI inflow-driven setbacks in poverty reduction are not addressed.</w:t>
      </w:r>
    </w:p>
    <w:p>
      <w:pPr>
        <w:pStyle w:val="Heading2"/>
      </w:pPr>
      <w:r>
        <w:t>649.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2023:</w:t>
      </w:r>
      <w:r>
        <w:t xml:space="preserve"> Incident type 2 diabetes attributable to suboptimal diet in 184 countries — https://doi.org/10.1038/s41591-023-02278-8</w:t>
      </w:r>
    </w:p>
    <w:p>
      <w:pPr/>
      <w:r>
        <w:rPr>
          <w:b/>
        </w:rPr>
        <w:t>Shared claim-specific concepts:</w:t>
      </w:r>
      <w:r>
        <w:t xml:space="preserve"> estimated, incident, million, cases; EU scope visible. This is a provisional connection, not an outcome finding.</w:t>
      </w:r>
    </w:p>
    <w:p>
      <w:pPr>
        <w:pStyle w:val="SourceNote"/>
      </w:pPr>
      <w:r>
        <w:rPr>
          <w:b/>
        </w:rPr>
        <w:t>Available abstract (not full text):</w:t>
      </w:r>
      <w:r>
        <w:t xml:space="preserve"> The global burden of diet-attributable type 2 diabetes (T2D) is not well established. This risk assessment model estimated T2D incidence among adults attributable to direct and body weight-mediated effects of 11 dietary factors in 184 countries in 1990 and 2018. In 2018, suboptimal intake of these dietary factors was estimated to be attributable to 14.1 million (95% uncertainty interval (UI), 13.8-14.4 million) incident T2D cases, representing 70.3% (68.8-71.8%) of new cases globally. Largest T2D burdens were attributable to insufficient whole-grain intake (26.1% (25.0-27.1%)), excess refined rice and wheat intake (24.6% (22.3-27.2%)) and excess processed meat intake (20.3% (18.3-23.5%)). Across regions, highest proportional burdens were in central and eastern Europe and central Asia (85.6% (83.4-87.7%)) and Latin America and the Caribbean (81.8% (80.1-83.4%)); and lowest proportional burdens were in South Asia (55.4% (52.1-60.7%)). Proportions of diet-attributable T2D were generally larger in men than in women and were inversely correlated with age. Diet-attributable T2D was generally larger among urban versus rural residents and higher versus lower educated individuals, except in high-income countries, central and eastern Europe and central Asia, where burdens were larger in rural residents and in lower educated individuals. Compared with 1990, global diet-attributable T2D in</w:t>
      </w:r>
    </w:p>
    <w:p>
      <w:pPr/>
      <w:r>
        <w:rPr>
          <w:b/>
        </w:rPr>
        <w:t>POSSIBLE 2023:</w:t>
      </w:r>
      <w:r>
        <w:t xml:space="preserve"> Correlating Connected Vehicle Estimated Deceleration Events with Crash Incidents near Interstate Interchanges — https://doi.org/10.4236/jtts.2023.134031</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Historical roadway safety analyses have used labor and time-intensive crash data collection procedures. However, crash reporting is often delayed and crash locations are reported with varying levels of spatial accuracy and detail. Recent advances in connected vehicle (CV) data provide an opportunity for stakeholders to proactively identify areas of safety concerns in near-real time with high spatial precision. Public and private sector stakeholders including automotive original equipment manufacturers (OEM) and insurance providers may independently define acceleration thresholds for reporting unsafe driver behavior. Although some OEMs have provided fixed threshold hard-braking event data for a number of years, this varies by OEM and there is no published literature on the best thresholds to use for identifying emerging safety issues. This research proposes a methodology to estimate deceleration events from raw CV trajectory data at varying thresholds that can be scaled to any CV. The estimated deceleration events and crash incident records around 629 interstate exits in Indiana were analyzed for a three-month period from March 1-May 31, 2023. Nearly 20 million estimated deceleration events and 4800 crash records were spatially joined to a 2-mile search radius around each exit ramp. Results showed that deceleration events between -0.5 g and -0.4 g had the highest correlation wit</w:t>
      </w:r>
    </w:p>
    <w:p>
      <w:pPr/>
      <w:r>
        <w:rPr>
          <w:b/>
        </w:rPr>
        <w:t>POSSIBLE 2023:</w:t>
      </w:r>
      <w:r>
        <w:t xml:space="preserve"> Pneumococcal Serotype Evolution and Burden in European Adults in the Last Decade: A Systematic Review — https://doi.org/10.3390/microorganisms11061376</w:t>
      </w:r>
    </w:p>
    <w:p>
      <w:pPr/>
      <w:r>
        <w:rPr>
          <w:b/>
        </w:rPr>
        <w:t>Shared claim-specific concepts:</w:t>
      </w:r>
      <w:r>
        <w:t xml:space="preserve"> additional, prevalent, cases; EU scope visible. This is a provisional connection, not an outcome finding.</w:t>
      </w:r>
    </w:p>
    <w:p>
      <w:pPr>
        <w:pStyle w:val="SourceNote"/>
      </w:pPr>
      <w:r>
        <w:rPr>
          <w:b/>
        </w:rPr>
        <w:t>Available abstract (not full text):</w:t>
      </w:r>
      <w:r>
        <w:t xml:space="preserve"> Pneumococcal disease is a major cause of morbidity/mortality worldwide, and vaccination is an important measure in its prevention. Despite European children being vaccinated with pneumococcal conjugate vaccines (PCVs), pneumococcal infections are still a major cause of morbidity/mortality in adults with risk conditions and their vaccination might be an important prevention strategy. New PCVs have been approved, but information is lacking on their potential impact in European adults. In our review, we searched PubMed, MEDLINE, and Embase for studies on the additional PCV20 serotypes (concerning incidence, prevalence, disease severity, lethality, and antimicrobial resistance) in European adults, between January 2010 and April 2022, having included 118 articles and data from 33 countries. We found that these serotypes have become more prevalent in both invasive and non-invasive pneumococcal disease (IPD and NIPD), representing a significant proportion of cases (serotypes 8, 12F, 22F) and more serious disease and/or lethality (10A, 11A, 15B, 22F), showing antimicrobial resistance (11A, 15B, 33F), and/or affecting more vulnerable individuals such as the elderly, immunocompromised patients, and those with comorbidities (8, 10A, 11A, 15B, 22F). The relevance of pneumococcal adult carriers (11A, 15B, 22F, and 8) was also identified. Altogether, our data showed an increase in the additi</w:t>
      </w:r>
    </w:p>
    <w:p>
      <w:pPr/>
      <w:r>
        <w:rPr>
          <w:b/>
        </w:rPr>
        <w:t>POSSIBLE 2023:</w:t>
      </w:r>
      <w:r>
        <w:t xml:space="preserve"> Estimating the Health and Economic Impact of Improved Management in Prevalent Chronic Obstructive Pulmonary Disease Populations in England, Germany, Canada, and Japan: A Modelling Study — https://doi.org/10.2147/copd.s416988</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Introduction: COPD is a leading cause of morbidity and mortality globally. Management is complex and costly. Although international quality standards for diagnosis and management exist, opportunities remain to improve outcomes, especially in reducing avoidable hospitalisations. Objective: To estimate the potential health and economic impact of improved adherence to guideline-recommended care for prevalent, on-treatment COPD populations in four high-income settings. Methods: A disease simulation model was developed to evaluate the impact of theoretical improvements to COPD management, comparing outcomes for usual care and policy scenarios for interventions that reduce avoidable hospitalisations: 1) increased attendance (50% vs 31-38%) of early follow-up review after severe exacerbation hospitalisation; 2) increased access (30% vs 5-10%) to an integrated disease management (IDM) programme that provides guideline adherent care. Results: For cohorts of 100,000 patients, Policy 1 yielded additional life years (England: 523; Germany: 759; Canada: 1316; Japan: 512) and lifetime cost savings (-£2.89 million; -€6.58 million; -$40.08 million; -¥735.58 million). For Policy 2, additional life years (2299; 3619; 3656) and higher lifetime total costs (£38.15 million; €35.58 million; ¥1091.53 million) were estimated in England, Germany and Japan, and additional life years (4299) and cost savi</w:t>
      </w:r>
    </w:p>
    <w:p>
      <w:pPr/>
      <w:r>
        <w:rPr>
          <w:b/>
        </w:rPr>
        <w:t>POSSIBLE 2022:</w:t>
      </w:r>
      <w:r>
        <w:t xml:space="preserve"> Hybridization and introgression are prevalent in Southern European Erysimum (Brassicaceae) species — https://doi.org/10.1093/aob/mcac048</w:t>
      </w:r>
    </w:p>
    <w:p>
      <w:pPr/>
      <w:r>
        <w:rPr>
          <w:b/>
        </w:rPr>
        <w:t>Shared claim-specific concepts:</w:t>
      </w:r>
      <w:r>
        <w:t xml:space="preserve"> million, prevalent, cases; EU scope visible. This is a provisional connection, not an outcome finding.</w:t>
      </w:r>
    </w:p>
    <w:p>
      <w:pPr>
        <w:pStyle w:val="SourceNote"/>
      </w:pPr>
      <w:r>
        <w:rPr>
          <w:b/>
        </w:rPr>
        <w:t>Available abstract (not full text):</w:t>
      </w:r>
      <w:r>
        <w:t xml:space="preserve"> BACKGROUND AND AIMS: Hybridization is a common and important force in plant evolution. One of its outcomes is introgression - the transfer of small genomic regions from one taxon to another by hybridization and repeated backcrossing. This process is believed to be common in glacial refugia, where range expansions and contractions can lead to cycles of sympatry and isolation, creating conditions for extensive hybridization and introgression. Polyploidization is another genome-wide process with a major influence on plant evolution. Both hybridization and polyploidization can have complex effects on plant evolution. However, these effects are often difficult to understand in recently evolved species complexes. METHODS: We combined flow cytometry, analyses of transcriptomic sequences and pollen tube growth assays to investigate the consequences of polyploidization, hybridization and introgression on the recent evolution of several Erysimum (Brassicaceae) species from the South of the Iberian Peninsula, a well-known glacial refugium. This species complex differentiated in the last 2 million years, and its evolution has been hypothesized to be determined mainly by polyploidization, interspecific hybridization and introgression. KEY RESULTS: Our results support a scenario of widespread hybridization involving both extant and 'ghost' taxa. Several taxa studied here, most notably those </w:t>
      </w:r>
    </w:p>
    <w:p>
      <w:pPr/>
      <w:r>
        <w:rPr>
          <w:b/>
        </w:rPr>
        <w:t>POSSIBLE 2022:</w:t>
      </w:r>
      <w:r>
        <w:t xml:space="preserve"> Clinical and societal burden of incident major depressive disorder: A population‐wide cohort study in Stockholm — https://doi.org/10.1111/acps.13414</w:t>
      </w:r>
    </w:p>
    <w:p>
      <w:pPr/>
      <w:r>
        <w:rPr>
          <w:b/>
        </w:rPr>
        <w:t>Shared claim-specific concepts:</w:t>
      </w:r>
      <w:r>
        <w:t xml:space="preserve"> additional, incident, million, prevalent; EU scope visible. This is a provisional connection, not an outcome finding.</w:t>
      </w:r>
    </w:p>
    <w:p>
      <w:pPr>
        <w:pStyle w:val="SourceNote"/>
      </w:pPr>
      <w:r>
        <w:rPr>
          <w:b/>
        </w:rPr>
        <w:t>Available abstract (not full text):</w:t>
      </w:r>
      <w:r>
        <w:t xml:space="preserve"> OBJECTIVE: Major depressive disorder (MDD) is a highly prevalent condition and a significant contributor to global disability. The vast majority of MDD is handled by primary care, but most real-life studies on MDD only include data from secondary care. The aim of this study was therefore to estimate the total clinical and societal burden of incident MDD including data from all healthcare levels in a large well-defined western European healthcare region. METHODS: Population-wide observational study included healthcare data from Region Stockholm, Sweden's largest region with approximately 2.4 million inhabitants. All patients in Region Stockholm having their first unipolar MDD episode between January 1, 2012, and December 31, 2018, were included. The sample also included matched study population controls. Outcomes were psychiatric and non-psychiatric comorbid conditions, antidepressant therapy use, healthcare resource utilization, work loss, and all-cause mortality. RESULTS: In the study period, 137,822 patients in Region Stockholm were diagnosed with their first unipolar MDD episode. Compared with matched controls, MDD patients had a higher burden of non-psychiatric and psychiatric comorbid conditions, 3.2 times higher outpatient healthcare resource utilization and 8.6 times more work loss. MDD was also associated with a doubled all-cause mortality compared with matched controls</w:t>
      </w:r>
    </w:p>
    <w:p>
      <w:pPr>
        <w:pStyle w:val="Heading2"/>
      </w:pPr>
      <w:r>
        <w:t>650.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here, climate, data, monthly,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here, database, climate, data;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Twenty Years of Land Accounts in Europe — https://doi.org/10.3390/land13091350</w:t>
      </w:r>
    </w:p>
    <w:p>
      <w:pPr/>
      <w:r>
        <w:rPr>
          <w:b/>
        </w:rPr>
        <w:t>Shared claim-specific concepts:</w:t>
      </w:r>
      <w:r>
        <w:t xml:space="preserve"> accessible, climate, data;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pStyle w:val="Heading2"/>
      </w:pPr>
      <w:r>
        <w:t>651.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2024:</w:t>
      </w:r>
      <w:r>
        <w:t xml:space="preserve"> European cybersecurity standardisation: a tale of two solitudes in view of Europe’s cyber resilience — https://doi.org/10.1080/13511610.2024.2349626</w:t>
      </w:r>
    </w:p>
    <w:p>
      <w:pPr/>
      <w:r>
        <w:rPr>
          <w:b/>
        </w:rPr>
        <w:t>Shared claim-specific concepts:</w:t>
      </w:r>
      <w:r>
        <w:t xml:space="preserve"> approach, makers, support; EU scope visible. This is a provisional connection, not an outcome finding.</w:t>
      </w:r>
    </w:p>
    <w:p>
      <w:pPr>
        <w:pStyle w:val="SourceNote"/>
      </w:pPr>
      <w:r>
        <w:rPr>
          <w:b/>
        </w:rPr>
        <w:t>Available abstract (not full text):</w:t>
      </w:r>
      <w:r>
        <w:t xml:space="preserve"> Cybersecurity resilience as a concept and EU policy approach encompasses, in broad terms, the preparedness of organisations against and the ability to recover from cyber-attacks. Policy and law makers in the European Union have started endorsing strategies moving both towards reactive measures mitigating the consequences of cybersecurity incidents and proactive measures geared towards prevention. Recently, a political agreement was reached on a new horizontal Regulation addressing cyber resilience of products with digital elements. An essential aspect of the Cyber Resilience Act is technical standardisation to support its goals. How appropriate is however the European Standardisation system for such a role in EU cybersecurity law? The paper argues that for European standards to be conceptualised as a building block of cyber resilience in the European Union, their development process must be inclusive and open, and a prerequisite for that is that the ESOs jointly work towards the common goal of developing and adopting European standards in support of the EU cyber resilience policy and law. This collaborative approach is mandated both by the nature of cyber resilience and cybersecurity as regulated fields, but also the changing nature of standardisation aspiring to contribute to areas pertaining to societal interests and fundamental rights.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approach, support;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Cultural State aid: A myriad of approaches — https://doi.org/10.4337/9781803927138.00017</w:t>
      </w:r>
    </w:p>
    <w:p>
      <w:pPr/>
      <w:r>
        <w:rPr>
          <w:b/>
        </w:rPr>
        <w:t>Shared claim-specific concepts:</w:t>
      </w:r>
      <w:r>
        <w:t xml:space="preserve"> aid, support; EU scope visible. This is a provisional connection, not an outcome finding.</w:t>
      </w:r>
    </w:p>
    <w:p>
      <w:pPr>
        <w:pStyle w:val="SourceNote"/>
      </w:pPr>
      <w:r>
        <w:rPr>
          <w:b/>
        </w:rPr>
        <w:t>Available abstract (not full text):</w:t>
      </w:r>
      <w:r>
        <w:t xml:space="preserve"> The prohibition of State aid is one of the cornerstones of the EU integration project. However, this scrutiny should not lead to Member States being unable to support (local) cultural initiatives. Consequently, the EU institutions have over time created multiple escape routes, providing a certain level of leeway for cultural State aid. This chapter analyses and compares the most important mechanisms. At the end, the reader will be provided with key take-aways in the field of State aid law regarding the interaction between EU internal market objectives and national cultural policy.</w:t>
      </w:r>
    </w:p>
    <w:p>
      <w:pPr/>
      <w:r>
        <w:rPr>
          <w:b/>
        </w:rPr>
        <w:t>POSSIBLE 2024:</w:t>
      </w:r>
      <w:r>
        <w:t xml:space="preserve"> State Aid for Green Technologies in The European Union: Limitations and Risks — https://doi.org/10.24425/pyil.2024.152296</w:t>
      </w:r>
    </w:p>
    <w:p>
      <w:pPr/>
      <w:r>
        <w:rPr>
          <w:b/>
        </w:rPr>
        <w:t>Shared claim-specific concepts:</w:t>
      </w:r>
      <w:r>
        <w:t xml:space="preserve"> aid, technologies; EU scope visible. This is a provisional connection, not an outcome finding.</w:t>
      </w:r>
    </w:p>
    <w:p>
      <w:pPr>
        <w:pStyle w:val="SourceNote"/>
      </w:pPr>
      <w:r>
        <w:rPr>
          <w:b/>
        </w:rPr>
        <w:t>Available abstract (not full text):</w:t>
      </w:r>
      <w:r>
        <w:t xml:space="preserve"> This article analyzes the recently adopted European Union State aid rules designed to facilitate the implementation of “green” technologies. This initiative is in line with European objectives to combat climate change and transition to an emission-free economy. By contextualizing State aid rules within the broader regulatory policy landscape, the author aims to assess the inherent limitations of these tools. Based on this evaluation, the article attempts to determine if and to what extent EU State aid law can be successfully utilized to promote environmental objectives. The analysis begins with an overview of the State aid toolbox and its role in regulatory policies, situated on a spectrum between incentive-based and obligation-based approaches. Subsequently, it delves into the evaluation of potential consequences, encompassing risks such as the deepening disparities between wealthier and poorer Member States, inadequate safeguards against offshoring in pursuit of lenient environmental norms, and the peril of fostering subsidy dependence.</w:t>
      </w:r>
    </w:p>
    <w:p>
      <w:pPr>
        <w:pStyle w:val="Heading2"/>
      </w:pPr>
      <w:r>
        <w:t>652.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2023:</w:t>
      </w:r>
      <w:r>
        <w:t xml:space="preserve"> The Role of Humor in Work Group Dynamics in Times of Crisis — https://doi.org/10.1177/10464964231173335</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Humor is a key indicator of the health of work groups, including during times of crisis. Moreover, studies of newly formed groups show that the type of humor used can change as members of a group get to know one another and form bonds. Yet in the context of a relatively established work group, can the nature of the group’s humor evolve in response to a crisis? We address this question in the context of the Federal Open Market Committee (FOMC), examining whether the FOMC was able to pivot its use of humor following the 2007 financial crash. As hypothesized, we find a post-crash increase in “affiliative” humor in general, and “playful banter” specifically, indicating effective group dynamics among members (which bodes well for the global economy). The FOMC thus offers evidence that established work groups can use humor as a dynamic mechanism for adapting to new circumstances.</w:t>
      </w:r>
    </w:p>
    <w:p>
      <w:pPr/>
      <w:r>
        <w:rPr>
          <w:b/>
        </w:rPr>
        <w:t>POSSIBLE 2023:</w:t>
      </w:r>
      <w:r>
        <w:t xml:space="preserve"> Stories from an unfinished prototype: a seemingly never-ending loop of practice and research — https://doi.org/10.21606/iasdr.2023.131</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This pictorial focuses on the role prototyping played within the author’s latest research on tangible narratives exemplified in the design case of [Project’s title removed for review]. The pictorial illustrates the ongoing process of prototyping this design case. It discusses the challenges and insights gained from it, among them, the importance of accounting ergonomic principles when prototyping artefacts, embracing the physical properties of working materials during the prototyping process, considering the potential pitfalls of relying too heavily on technical knowledge, and the importance of compartmentalizing and prioritizing during the ideation process. Finally, the pictorial concludes with an analisis on the role played by the action of prototyping and the importance of the continuous dialogue between the designer/researcher and the artefacts created.</w:t>
      </w:r>
    </w:p>
    <w:p>
      <w:pPr/>
      <w:r>
        <w:rPr>
          <w:b/>
        </w:rPr>
        <w:t>POSSIBLE 2023:</w:t>
      </w:r>
      <w:r>
        <w:t xml:space="preserve"> Feeling and performing ‘the crisis’: on the affective phenomenology and politics of the corona crisis — https://doi.org/10.1007/s11097-022-09877-9</w:t>
      </w:r>
    </w:p>
    <w:p>
      <w:pPr/>
      <w:r>
        <w:rPr>
          <w:b/>
        </w:rPr>
        <w:t>Shared claim-specific concepts:</w:t>
      </w:r>
      <w:r>
        <w:t xml:space="preserve"> conclude, nature, crisis; EU scope not established. This is a provisional connection, not an outcome finding.</w:t>
      </w:r>
    </w:p>
    <w:p>
      <w:pPr>
        <w:pStyle w:val="SourceNote"/>
      </w:pPr>
      <w:r>
        <w:rPr>
          <w:b/>
        </w:rPr>
        <w:t>Available abstract (not full text):</w:t>
      </w:r>
      <w:r>
        <w:t xml:space="preserve"> How does it feel to be in a crisis? Is the idea of the crisis itself bound to our affectivity in the sense that without the occurrence of specific emotions or a change in our affective lives at large we cannot even talk about a crisis properly speaking? In this paper, I explore these questions by analyzing the exemplary case of the corona crisis. In order to do so, I first explore the affective phenomenology of crises in general and the corona crisis in particular, thereby paying attention to both individual (personal) and collective (socio-political) crises and crisis experiences. Then, I turn to the limits of the analogy between individual and collective crises. I reflect on how socio-political crises are not simply there but performed and procedurally constructed and show how, in the context of the corona pandemic, fears and hopes, feelings of solidarity and antagonistic emotions mirror political interests and values. While the phenomenological reflections in the first part help us to account for the fact that crises are not just objective facts but also subjective forms of experience, the political reflections in the second part help us to do justice to the inherently political nature of the language and experiences of (collective) crises. I conclude by pointing out a twofold relationship between (socio-political) crisis and critique. Thanks to their characteristic affectiv</w:t>
      </w:r>
    </w:p>
    <w:p>
      <w:pPr/>
      <w:r>
        <w:rPr>
          <w:b/>
        </w:rPr>
        <w:t>POSSIBLE 2023:</w:t>
      </w:r>
      <w:r>
        <w:t xml:space="preserve"> Responsible Leadership in Crisis Management: Lessons from the Cuban Missile Crisis and Russia-Ukraine War — https://doi.org/10.4236/ojbm.2023.113054</w:t>
      </w:r>
    </w:p>
    <w:p>
      <w:pPr/>
      <w:r>
        <w:rPr>
          <w:b/>
        </w:rPr>
        <w:t>Shared claim-specific concepts:</w:t>
      </w:r>
      <w:r>
        <w:t xml:space="preserve"> discussing, crisis, role; EU scope not established. This is a provisional connection, not an outcome finding.</w:t>
      </w:r>
    </w:p>
    <w:p>
      <w:pPr>
        <w:pStyle w:val="SourceNote"/>
      </w:pPr>
      <w:r>
        <w:rPr>
          <w:b/>
        </w:rPr>
        <w:t>Available abstract (not full text):</w:t>
      </w:r>
      <w:r>
        <w:t xml:space="preserve"> This research paper examines the role of responsible and irresponsible leadership in two major crises: the Cuban Missile Crisis and the Russia-Ukraine War. The paper provides a background and context for responsible leadership and an overview of the two crises. The purpose and significance of the research paper are discussed, along with an analysis of the leadership style of key figures in each crisis. The paper evaluates how President Kennedy’s responsible leadership approach contributed to a successful resolution of the Cuban Missile Crisis and how Khrushchev’s irresponsible leadership approach contributed to an escalation of the crisis. Similarly, the paper examines how President Putin’s responsible leadership approach contributed to a more stable and peaceful resolution of the Russia-Ukraine War, while Yanukovych’s irresponsible leadership approach contributed to the destabilization of Ukraine. The paper concludes by discussing the importance of responsible leadership principles in crises, highlighting how leaders who prioritize transparency, ethical decision-making, and a commitment to promoting the broader social, economic, and environmental interests of the population can build trust, reduce tensions, and promote peaceful solutions. The paper also highlights the consequences of leaders who prioritize their own interests over the broader interests of the population, disre</w:t>
      </w:r>
    </w:p>
    <w:p>
      <w:pPr/>
      <w:r>
        <w:rPr>
          <w:b/>
        </w:rPr>
        <w:t>POSSIBLE 2023:</w:t>
      </w:r>
      <w:r>
        <w:t xml:space="preserve"> Shrinking social spaces: The role of nurseries as social infrastructure and brokers of support in times of crisis — https://doi.org/10.1111/chso.12775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Abstract COVID‐19 produced temporary closures and changes to organisational practices in nurseries, which shrank social spaces and presented challenges in providing and accessing parental support. Limited attention has been paid in early childhood literature to the role of nurseries. We explored how one nursery mediated the impact of the pandemic on mothers. Our London case study showed that mothers valued it as social infrastructure and as a broker of support networks. Our findings contribute to conceptual understandings and have important implications for the recognition of the role of nurseries in providing supportive spaces in times of economic and public health crises.</w:t>
      </w:r>
    </w:p>
    <w:p>
      <w:pPr/>
      <w:r>
        <w:rPr>
          <w:b/>
        </w:rPr>
        <w:t>POSSIBLE 2022:</w:t>
      </w:r>
      <w:r>
        <w:t xml:space="preserve"> Crisis, Ψ-trauma, refugees — https://doi.org/10.24135/ppi.v20i4.04</w:t>
      </w:r>
    </w:p>
    <w:p>
      <w:pPr/>
      <w:r>
        <w:rPr>
          <w:b/>
        </w:rPr>
        <w:t>Shared claim-specific concepts:</w:t>
      </w:r>
      <w:r>
        <w:t xml:space="preserve"> discussing, crisis, role; EU scope visible. This is a provisional connection, not an outcome finding.</w:t>
      </w:r>
    </w:p>
    <w:p>
      <w:pPr>
        <w:pStyle w:val="SourceNote"/>
      </w:pPr>
      <w:r>
        <w:rPr>
          <w:b/>
        </w:rPr>
        <w:t>Available abstract (not full text):</w:t>
      </w:r>
      <w:r>
        <w:t xml:space="preserve"> Since 2014 the situation in the Mediterranean Sea has been named and tackled as a ‘refugee crisis’, and in the name of this ‘crisis’ migrants have been accommodated in ‘hotspots’ and camps. Within these spaces, their experiences have often been articulated by the humanitarian sector and the discipline of psychology as traumatic, with refugees being described as traumatised. In this article, I critically discuss the politics of psychology and trauma within the European territory of aid, with a specific focus on Greece, amid the current, so-called ‘refugee crisis’. I start by situating crisis and trauma as concepts and their role within humanitarian and state governance. I continue by discussing how the terms ‘hotspot’ and ‘camp’ emerged in state and humanitarian discourse and practice, to explore then the politics of psychology and trauma there. Both space and time are important elements for understanding the role of psychology, as they comprise the material landscape of migration amid ‘refugee crisis’. At the same time, the discourses of psychology and trauma are implicated in the very production of these spaces. Approaching critically their interconnection through the lens of critical psychology and the work of Frantz Fanon, the article concludes that the gaze of humanitarian aid and psychology, besides medicalising refugees, psychologises the inherently political issues of mi</w:t>
      </w:r>
    </w:p>
    <w:p>
      <w:pPr/>
      <w:r>
        <w:rPr>
          <w:b/>
        </w:rPr>
        <w:t>POSSIBLE 2022:</w:t>
      </w:r>
      <w:r>
        <w:t xml:space="preserve"> The Unfinished Business of Defining Premature Ejaculation: The Need for Targeted Research — https://doi.org/10.1016/j.sxmr.2021.11.003</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INTRODUCTION: Fifteen years have passed since the International Society of Sexual Medicine first established the 3-pronged criteria for premature ejaculation (PE): a short ejaculation latency, lack of ejaculatory control, and bother/distress. Although the process of establishing valid criteria for any condition or disorder is an ongoing one, a dearth of targeted research on these criteria has hindered professional societies from updating and revising them. OBJECTIVES: To review and critique existing criteria used in the diagnosis of PE, to identify specific problems with them, and to recommend studies that will address shortcomings. METHODS: Each of the PE criteria was evaluated and compared against standard procedures for establishing validated measures. Following each analysis, targeted research to address the gaps has been recommended. RESULTS: Each PE criterion has shortcomings and each can be improved by using standard validation procedures, as noted by the targeted research outcomes. Professional societies can play an important role by encouraging broad participation in research that generates new and relevant data supporting, validating, or challenging the existing criteria. CONCLUSION: The concepts underlying the diagnostic criteria for PE have both broad consensus and functional utility. Nevertheless, much of the research investigating PE has uncritically adopted these</w:t>
      </w:r>
    </w:p>
    <w:p>
      <w:pPr>
        <w:pStyle w:val="Heading2"/>
      </w:pPr>
      <w:r>
        <w:t>653.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654.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pStyle w:val="Heading2"/>
      </w:pPr>
      <w:r>
        <w:t>655.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2025:</w:t>
      </w:r>
      <w:r>
        <w:t xml:space="preserve"> POLITICS OF THE INDIAN OCEAN AFTER WORLD WAR II TO THE ERA OF GLOBALIZATION — https://openalex.org/W7217302936</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Indian Ocean region has historically been a vital arena of global strategic, economic, and political competition. Since the end of World War II, the region has undergone significant transformation due to decolonization, Cold War rivalry, and the rise of globalization. Rich in natural resources and traversed by critical sea-lanes of communication, the Indian Ocean has attracted major powers seeking strategic dominance and economic advantage. The presence of competing military powers, fragile littoral states, and transnational challenges such as piracy and terrorism have further complicated the regional dynamics. This paper examines the evolving geopolitics of the Indian Ocean from the post–World War II period to the contemporary era of globalization, with particular focus on the role of external powers, littoral state politics, maritime security, and India’s strategic position.</w:t>
      </w:r>
    </w:p>
    <w:p>
      <w:pPr/>
      <w:r>
        <w:rPr>
          <w:b/>
        </w:rPr>
        <w:t>POSSIBLE 2025:</w:t>
      </w:r>
      <w:r>
        <w:t xml:space="preserve"> The Political Relevance of Kartosuwiryo's Hijrah in the Global Context: Inspiration for Struggle in the Modern Era — https://doi.org/10.24090/jihm.v4i1.13073</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Sekarmadji Maridjan Kartosuwiryo, familiarly called Kartosuwiryo, was the proclamator of the Islamic State of Indonesia. Kartosuwiryo believed Islam had a significant influence on every aspect of human life. The idea he wanted to realize was establishing the Islamic State of Indonesia, and hijrah politics was one of Kartosuwiryo's efforts toward the Islamic State of Indonesia. This article will analyze the basic concept of the hijrah political thought of Sekarmadji Maridjan Kartosuwiryo in establishing the Islamic State of Indonesia. The method used is qualitative, with literature studies such as books, journals, articles, and others. In addition, the author uses a historical approach and the construction of a day approach to explore information about Kartosuwiryo's hijrah politics. The results showed that Kartosuwiryo's hijrah politics was an Islamic-based struggle to build a state with laws and order based on the Qur'an. This concept remains relevant to address modern global challenges, such as migration, religious identity, and cross-cultural solidarity. In addition, this article also shows that the politics of hijrah is not only a strategy of resistance against colonialism but also has relevance in the modern era. Hijrah can be translated as an effort to create social transformation, such as community empowerment, cross-cultural solidarity, and humane management of global m</w:t>
      </w:r>
    </w:p>
    <w:p>
      <w:pPr/>
      <w:r>
        <w:rPr>
          <w:b/>
        </w:rPr>
        <w:t>POSSIBLE 2025:</w:t>
      </w:r>
      <w:r>
        <w:t xml:space="preserve"> Speaking Truth to Power: Language, Politics, and Human Rights in a Globalized World — https://doi.org/10.33682/f3dn-v7tx</w:t>
      </w:r>
    </w:p>
    <w:p>
      <w:pPr/>
      <w:r>
        <w:rPr>
          <w:b/>
        </w:rPr>
        <w:t>Shared claim-specific concepts:</w:t>
      </w:r>
      <w:r>
        <w:t xml:space="preserve"> political, world, complex; EU scope visible. This is a provisional connection, not an outcome finding.</w:t>
      </w:r>
    </w:p>
    <w:p>
      <w:pPr>
        <w:pStyle w:val="SourceNote"/>
      </w:pPr>
      <w:r>
        <w:rPr>
          <w:b/>
        </w:rPr>
        <w:t>Available abstract (not full text):</w:t>
      </w:r>
      <w:r>
        <w:t xml:space="preserve"> This article investigates linguistic socio-political structures in a globalized world, focusing on the intersections between language policy, ideology, and socio-political disturbances. It examines cases of linguistic suppression in Franco-era Spain and communist China to explore similarities in language policy in authoritarian contexts. A comparison of English and Portuguese lects serves to explore language ideologies within the context of social and cultural hierarchies. This article highlights the complex relationship between legal and social aspects of language discrimination within nation-states and linguistic cultures; it argues that understanding these linguistic socio-political structures can serve not only to better understand a political context, but as a bellwether for minority rights and human rights violations.</w:t>
      </w:r>
    </w:p>
    <w:p>
      <w:pPr/>
      <w:r>
        <w:rPr>
          <w:b/>
        </w:rPr>
        <w:t>POSSIBLE 2025:</w:t>
      </w:r>
      <w:r>
        <w:t xml:space="preserve"> Globalization and Youth: Transnational Migration as a Factor of Political Changes — https://doi.org/10.32523/2616-6887-2025-153-4-47-58</w:t>
      </w:r>
    </w:p>
    <w:p>
      <w:pPr/>
      <w:r>
        <w:rPr>
          <w:b/>
        </w:rPr>
        <w:t>Shared claim-specific concepts:</w:t>
      </w:r>
      <w:r>
        <w:t xml:space="preserve"> political, main; EU scope not established. This is a provisional connection, not an outcome finding.</w:t>
      </w:r>
    </w:p>
    <w:p>
      <w:pPr>
        <w:pStyle w:val="SourceNote"/>
      </w:pPr>
      <w:r>
        <w:rPr>
          <w:b/>
        </w:rPr>
        <w:t>Available abstract (not full text):</w:t>
      </w:r>
      <w:r>
        <w:t xml:space="preserve"> The article defines the role of migration in the development of civil society, in the formation of transnational networks, in changing the priorities of public policy that include the issues of publicity and implementation to global challenges. The aim of the article is defining the causes, changes and factors that influence on youth migration and assessment of its impacts on the enhancement of civil society, democratization and transformation of public policy. The article examines the impact of globalization and the transnational migration of youth on political changes in Kazakhstan. The study examines the links between globalization processes, migration flows of youth and the transformation of political systems in our country and host countries. Particular attention is paid to the development of proposals for optimizing migration and youth policies in Kazakhstan in the context of globalization. Particular attention is also paid to the analysis of the characteristics of youth migration in Kazakhstan, including the causes of migration processes, their socio-economic and political consequences. The study is based on a comprehensive analysis of theoretical concepts, statistical data and Kazakhstani experience, taking into account the characteristics of the political and socio-economic system of the country. The findings determine the need to develop effective strategies for migra</w:t>
      </w:r>
    </w:p>
    <w:p>
      <w:pPr>
        <w:pStyle w:val="Heading2"/>
      </w:pPr>
      <w:r>
        <w:t>656.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r>
        <w:rPr>
          <w:b/>
        </w:rPr>
        <w:t>POSSIBLE 2025:</w:t>
      </w:r>
      <w:r>
        <w:t xml:space="preserve"> Development and evaluation of a method for classifying foods to be consumed in moderation — https://doi.org/10.1101/2025.03.20.25324317</w:t>
      </w:r>
    </w:p>
    <w:p>
      <w:pPr/>
      <w:r>
        <w:rPr>
          <w:b/>
        </w:rPr>
        <w:t>Shared claim-specific concepts:</w:t>
      </w:r>
      <w:r>
        <w:t xml:space="preserve"> food, consumed, assess; EU scope not established. This is a provisional connection, not an outcome finding.</w:t>
      </w:r>
    </w:p>
    <w:p>
      <w:pPr>
        <w:pStyle w:val="SourceNote"/>
      </w:pPr>
      <w:r>
        <w:rPr>
          <w:b/>
        </w:rPr>
        <w:t>Available abstract (not full text):</w:t>
      </w:r>
      <w:r>
        <w:t xml:space="preserve"> Abstract Background While the 2020-2025 Dietary Guidelines for Americans (DGA) recommend limiting foods high in added sugars, saturated fat, refined grains, and sodium, they do not provide criteria for classifying foods high in these components. Objective To develop and evaluate quantitative criteria for classifying moderation foods informed by the DGA. Design The 2017-2018 Food and Nutrient Database for Dietary Studies (FNDDS, n=6909 foods) was used to evaluate food-level content validity, by examining the proportion of moderation foods within recommended and non-recommended food groups, and convergent validity, by comparing nutrient density in moderation versus non-moderation foods. Dietary recall data from the cross-sectional, nationally representative National Health and Nutrition Examination Survey (2017-2018) were used to assess diet-level convergent validity, by investigating correlations of moderation food intake (% kcal) with overall diet quality. Participants/Setting Participants in the U.S. aged 2+ years (n=6180) were included. Main outcome measures The Nutrient Rich Foods 9.3 index (NRF) measured food-level nutrient density; Healthy Eating Index-2020 scores (HEI) measured person-level diet quality. Statistical Analyses T-tests and ANOVA evaluated differences in nutrient density by moderation food classification. Pearson’s correlations estimated associations of moder</w:t>
      </w:r>
    </w:p>
    <w:p>
      <w:pPr/>
      <w:r>
        <w:rPr>
          <w:b/>
        </w:rPr>
        <w:t>POSSIBLE 2025:</w:t>
      </w:r>
      <w:r>
        <w:t xml:space="preserve"> Editorial: Measuring diets and food choice in the context of a changing world — https://doi.org/10.3389/fnut.2025.1571706</w:t>
      </w:r>
    </w:p>
    <w:p>
      <w:pPr/>
      <w:r>
        <w:rPr>
          <w:b/>
        </w:rPr>
        <w:t>Shared claim-specific concepts:</w:t>
      </w:r>
      <w:r>
        <w:t xml:space="preserve"> types, food, consumed, along, dynamics, climate; EU scope visible. This is a provisional connection, not an outcome finding.</w:t>
      </w:r>
    </w:p>
    <w:p>
      <w:pPr>
        <w:pStyle w:val="SourceNote"/>
      </w:pPr>
      <w:r>
        <w:rPr>
          <w:b/>
        </w:rPr>
        <w:t>Available abstract (not full text):</w:t>
      </w:r>
      <w:r>
        <w:t xml:space="preserve"> As incomes rise and local food environments undergo rapid changes providing consumers with a wider array of options at competitive prices, understanding the underlying drivers of food choice including the preferences and values that underpin them has become increasingly important (Blake et al., 2023;Rampali et al., 2023). In recent years there have been renewed efforts to understand the drivers of food choice in the context of changing food environments and broader food system, and how these drivers link with food consumption (Karanga et al., 2022;Kim et al., 2024). The goal of this Research Topic was to look beyond dietary consumption (what people eat) by considering more holistically the various drivers of food choice (how and why people eat the foods they do), to better understand what underpins individual decisions (Blake et al., 2021). Ultimately, by understanding why people make the choices they do -especially when situated in the local food environment and/or broader food system -we can identify important entry points for behavior change interventions, develop a better understanding about the role of food safety in food choice decisions, improve the environment, climate, and food systems through improved knowledge on the drivers of food choice, and learn about how changing livelihoods shifts dynamics related to food choice, amongst other important research tied to driver</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657.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2025:</w:t>
      </w:r>
      <w:r>
        <w:t xml:space="preserve"> Investigating the preferences for autonomous vehicle use in European road transport: a binary logit model — https://doi.org/10.1038/s44333-025-00055-3</w:t>
      </w:r>
    </w:p>
    <w:p>
      <w:pPr/>
      <w:r>
        <w:rPr>
          <w:b/>
        </w:rPr>
        <w:t>Shared claim-specific concepts:</w:t>
      </w:r>
      <w:r>
        <w:t xml:space="preserve"> show, road, transport, policies; EU scope visible. This is a provisional connection, not an outcome finding.</w:t>
      </w:r>
    </w:p>
    <w:p>
      <w:pPr>
        <w:pStyle w:val="SourceNote"/>
      </w:pPr>
      <w:r>
        <w:rPr>
          <w:b/>
        </w:rPr>
        <w:t>Available abstract (not full text):</w:t>
      </w:r>
      <w:r>
        <w:t xml:space="preserve"> This research study investigates the factors shaping European citizens’ perceptions and decisions regarding the adoption of Autonomous Vehicles (AVs). Key aspects such as safety, infrastructure readiness, data protection, legislation, and vehicle cost, were identified through a literature review. An online stated preference survey collected 235 responses across Europe, which were analyzed using Binary Logistic Regression. Findings reveal that safety is the most influential factor, followed by road infrastructure and legislative support. Socio-demographic patterns show that younger and higher-income individuals are more likely to adopt AVs, while drivers of cars and motorcycles express more favorable attitudes toward automation. These insights emphasize the need to address regulatory, infrastructural, and social barriers to support AV integration. The study offers guidance for developing targeted strategies and policies to accelerate AV adoption in Europe, ensuring their benefits are accessible to a wide range of users.</w:t>
      </w:r>
    </w:p>
    <w:p>
      <w:pPr/>
      <w:r>
        <w:rPr>
          <w:b/>
        </w:rPr>
        <w:t>POSSIBLE 2025:</w:t>
      </w:r>
      <w:r>
        <w:t xml:space="preserve"> Green Energy Fuelling Stations in Road Transport: Poland in the European and Global Context — https://doi.org/10.3390/en18154110</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The transition to green energy in the transport sector is becoming a priority in the context of global climate challenges and the European Green Deal. This paper investigates the development of alternative fuelling stations, particularly electric vehicle (EV) charging infrastructure and hydrogen stations, across EU countries with a focus on Poland. It combines a policy and technology overview with a quantitative scientific analysis, offering a multidimensional perspective on green infrastructure deployment. A Pearson correlation analysis reveals significant links between charging station density and both GDP per capita and the share of renewable energy. The study introduces an original Infrastructure Accessibility Index (IAI) to compare infrastructure availability across EU member states and models Poland’s EV charging station demand up to 2030 under multiple growth scenarios. Furthermore, the article provides a comprehensive overview of biofuels, including first-, second-, and third-generation technologies, and highlights recent advances in hydrogen and renewable electricity integration. Emphasis is placed on life cycle considerations, energy source sustainability, and economic implications. The findings support policy development toward zero-emission mobility and the decarbonisation of transport systems, offering recommendations for infrastructure expansion and energy diversi</w:t>
      </w:r>
    </w:p>
    <w:p>
      <w:pPr/>
      <w:r>
        <w:rPr>
          <w:b/>
        </w:rPr>
        <w:t>POSSIBLE 2025:</w:t>
      </w:r>
      <w:r>
        <w:t xml:space="preserve"> The cyber-enhanced tank: a novel concept for increased realism and multi-modal monitoring in tank based finfish aquaculture research — https://doi.org/10.3389/frobt.2025.1629884</w:t>
      </w:r>
    </w:p>
    <w:p>
      <w:pPr/>
      <w:r>
        <w:rPr>
          <w:b/>
        </w:rPr>
        <w:t>Shared claim-specific concepts:</w:t>
      </w:r>
      <w:r>
        <w:t xml:space="preserve"> tank, achieve, potential, present; EU scope not established. This is a provisional connection, not an outcome finding.</w:t>
      </w:r>
    </w:p>
    <w:p>
      <w:pPr>
        <w:pStyle w:val="SourceNote"/>
      </w:pPr>
      <w:r>
        <w:rPr>
          <w:b/>
        </w:rPr>
        <w:t>Available abstract (not full text):</w:t>
      </w:r>
      <w:r>
        <w:t xml:space="preserve"> In recent years, several studies that analyze and interpret fish behavioral patterns in aquaculture settings have been published. Understanding how the fish react and respond to various scenarios and treatments can help provide insight and knowledge on how to achieve sustainable and efficient aquaculture production. Many of these research efforts have been conducted in land based tanks as this allows for closer and more continuous monitoring of the fish than what is possible at commercial facilities, essentially improving data quality and hence the possible insights to gain from these. However, most experimental tanks are closed-loop environments that are not particularly similar to commercial production units, as a consequence the results obtained in these systems are not directly transferable to industrial setups. Moreover, tank monitoring in such trials is often done using a single or a limited selection of different observation modes, which may not be sufficient to capture the full dynamics of fish responses. The present study seeks to address these challenges by developing the Cyber-Enhanced tank environment for aquaculture research. This concept features a tank environment setup to simulate the prevailing conditions in aquaculture units, mimicking natural light conditions, hiding sensors and other systems to reduce impacts on the fish and potential collisions, and using a</w:t>
      </w:r>
    </w:p>
    <w:p>
      <w:pPr>
        <w:pStyle w:val="Heading2"/>
      </w:pPr>
      <w:r>
        <w:t>658.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2024:</w:t>
      </w:r>
      <w:r>
        <w:t xml:space="preserve"> Radiation-shielding concrete: A review of materials, performance, and the impact of radiation on concrete properties — https://doi.org/10.1016/j.jobe.2024.110800</w:t>
      </w:r>
    </w:p>
    <w:p>
      <w:pPr/>
      <w:r>
        <w:rPr>
          <w:b/>
        </w:rPr>
        <w:t>Shared claim-specific concepts:</w:t>
      </w:r>
      <w:r>
        <w:t xml:space="preserve"> radiation, power; EU scope not established. This is a provisional connection, not an outcome finding.</w:t>
      </w:r>
    </w:p>
    <w:p>
      <w:pPr>
        <w:pStyle w:val="SourceNote"/>
      </w:pPr>
      <w:r>
        <w:rPr>
          <w:b/>
        </w:rPr>
        <w:t>Available abstract (not full text):</w:t>
      </w:r>
      <w:r>
        <w:t xml:space="preserve"> The efficiency of radiation shielding is crucial across industries having radioactive activities, from medical facilities to nuclear power stations. Radiation-Shielding Concrete (RSC) emerges as the preferred material for its cost-effectiveness, robust mechanical performance, ease of production, and excellent radiation attenuation properties against ionizing radiations such as gamma rays, X-rays, and neutrons. This comprehensive review delves into the evolution of SCI indexed research on concrete materials for radiation protection, focusing primarily on studies published in the last decade. It meticulously analyze the latest literature to understand how RSC materials enhance radiation attenuation. The review provides valuable insights into the influence of irradiation on both macro- and micro-properties, enriching the knowledge base for material efficiency and effectiveness concerning different types of radiation and shielding requirements. Additionally, this review with a set of recommendations for future research to advance progress in modern construction, encouraging further examination and innovation in the selection of RSC materials. • The effectiveness of various materials in Radiation-Shielding Concrete (RSC) production has been identified and analysed. • The impact of irradiation on the micro and macro properties of concrete has been thoroughly explored. • The mechanism</w:t>
      </w:r>
    </w:p>
    <w:p>
      <w:pPr/>
      <w:r>
        <w:rPr>
          <w:b/>
        </w:rPr>
        <w:t>POSSIBLE 2023:</w:t>
      </w:r>
      <w:r>
        <w:t xml:space="preserve"> D5.1 Advanced and Reliable Models for Natural and Man-Made Hazards — https://doi.org/10.5281/zenodo.7620517</w:t>
      </w:r>
    </w:p>
    <w:p>
      <w:pPr/>
      <w:r>
        <w:rPr>
          <w:b/>
        </w:rPr>
        <w:t>Shared claim-specific concepts:</w:t>
      </w:r>
      <w:r>
        <w:t xml:space="preserve"> reliable, hazards; EU scope not established. This is a provisional connection, not an outcome finding.</w:t>
      </w:r>
    </w:p>
    <w:p>
      <w:pPr>
        <w:pStyle w:val="SourceNote"/>
      </w:pPr>
      <w:r>
        <w:rPr>
          <w:b/>
        </w:rPr>
        <w:t>Available abstract (not full text):</w:t>
      </w:r>
      <w:r>
        <w:t xml:space="preserve"> Deliverable 5.1 presents advanced and reliable modelling for a broad spectrum of natural and man-made hazards as pertinent to the four pilot sites of HYPERION in Rhodes, Granada, Venice and Tonsberg, and provides the involved stakeholders, scientists and users useful information for their specific needs in handling natural and human-induced disasters. Models were implemented by AUTH, with the assistance of FMI, RG and NTUA, building on existing research capacity in a broad spectrum of modelling approaches to natural and man-made hazards. Models of climatic impact are described based on environmental parameters (according to a reliability-based approach for durability) in order to define the needed parameters for the modeling purpose.</w:t>
      </w:r>
    </w:p>
    <w:p>
      <w:pPr/>
      <w:r>
        <w:rPr>
          <w:b/>
        </w:rPr>
        <w:t>POSSIBLE 2023:</w:t>
      </w:r>
      <w:r>
        <w:t xml:space="preserve"> Towards sustainable human space exploration—priorities for radiation research to quantify and mitigate radiation risks — https://doi.org/10.1038/s41526-023-00262-7</w:t>
      </w:r>
    </w:p>
    <w:p>
      <w:pPr/>
      <w:r>
        <w:rPr>
          <w:b/>
        </w:rPr>
        <w:t>Shared claim-specific concepts:</w:t>
      </w:r>
      <w:r>
        <w:t xml:space="preserve"> radiation, astronauts, space, weather; EU scope not established. This is a provisional connection, not an outcome finding.</w:t>
      </w:r>
    </w:p>
    <w:p>
      <w:pPr>
        <w:pStyle w:val="SourceNote"/>
      </w:pPr>
      <w:r>
        <w:rPr>
          <w:b/>
        </w:rPr>
        <w:t>Available abstract (not full text):</w:t>
      </w:r>
      <w:r>
        <w:t xml:space="preserve"> Human spaceflight is entering a new era of sustainable human space exploration. By 2030 humans will regularly fly to the Moon's orbit, return to the Moon's surface and preparations for crewed Mars missions will intensify. In planning these undertakings, several challenges will need to be addressed in order to ensure the safety of astronauts during their space travels. One of the important challenges to overcome, that could be a major showstopper of the space endeavor, is the exposure to the space radiation environment. There is an urgent need for quantifying, managing and limiting the detrimental health risks and electronics damage induced by space radiation exposure. Such risks raise key priority topics for space research programs. Risk limitation involves obtaining a better understanding of space weather phenomena and the complex radiation environment in spaceflight, as well as developing and applying accurate dosimetric instruments, understanding related short- and long-term health risks, and strategies for effective countermeasures to minimize both exposure to space radiation and the remaining effects post exposure. The ESA/SciSpacE Space Radiation White Paper identifies those topics and underlines priorities for future research and development, to enable safe human and robotic exploration of space beyond Low Earth Orbit.</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pStyle w:val="Heading2"/>
      </w:pPr>
      <w:r>
        <w:t>659.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decarbonization;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pStyle w:val="Heading2"/>
      </w:pPr>
      <w:r>
        <w:t>660.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661.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662.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Plant-Based Diet for Mission LiFE: Food Security, Health, and Environment — https://doi.org/10.1007/978-981-97-4730-6_8</w:t>
      </w:r>
    </w:p>
    <w:p>
      <w:pPr/>
      <w:r>
        <w:rPr>
          <w:b/>
        </w:rPr>
        <w:t>Shared claim-specific concepts:</w:t>
      </w:r>
      <w:r>
        <w:t xml:space="preserve"> environment, security, health, energy, food, climate; EU scope not established. This is a provisional connection, not an outcome finding.</w:t>
      </w:r>
    </w:p>
    <w:p>
      <w:pPr>
        <w:pStyle w:val="SourceNote"/>
      </w:pPr>
      <w:r>
        <w:rPr>
          <w:b/>
        </w:rPr>
        <w:t>Available abstract (not full text):</w:t>
      </w:r>
      <w:r>
        <w:t xml:space="preserve"> Abstract This chapter explores the interplay between food insecurity, energy security, and climate change, emphasising the need for integrated solutions to address these challenges. The chapter advocates for adopting plant-based diets, which align with India's Mission Lifestyle for Environment (LiFE) to promote sustainable food production and reduce environmental impacts. Additionally, it discusses the emergence of the degrowth concept as a potential pathway to sustainability, highlighting the need for resilient food systems through local production, reducing food waste, and regenerative agriculture. While degrowth presents economic and political challenges, the chapter suggests that a balanced approach could enhance food security and sustainability. The complexities of adopting plant-based diets, including health, environmental, and socioeconomic considerations, are also analysed, emphasising the importance of informed choices for personal and ecological wellbeing.</w:t>
      </w:r>
    </w:p>
    <w:p>
      <w:pPr/>
      <w:r>
        <w:rPr>
          <w:b/>
        </w:rPr>
        <w:t>POSSIBLE 2025:</w:t>
      </w:r>
      <w:r>
        <w:t xml:space="preserve"> Overpopulation and Environmental Degradation: Selected Aspects — https://doi.org/10.31124/advance.174884583.34116156/v1</w:t>
      </w:r>
    </w:p>
    <w:p>
      <w:pPr/>
      <w:r>
        <w:rPr>
          <w:b/>
        </w:rPr>
        <w:t>Shared claim-specific concepts:</w:t>
      </w:r>
      <w:r>
        <w:t xml:space="preserve"> degradation, energy, air, water, problems, not; EU scope not established. This is a provisional connection, not an outcome finding.</w:t>
      </w:r>
    </w:p>
    <w:p>
      <w:pPr>
        <w:pStyle w:val="SourceNote"/>
      </w:pPr>
      <w:r>
        <w:rPr>
          <w:b/>
        </w:rPr>
        <w:t>Available abstract (not full text):</w:t>
      </w:r>
      <w:r>
        <w:t xml:space="preserve"> One of the most precarious issues that humanity is currently facing is the environmental degradation. Global population continues to rise in absolute terms despite generally declining birth rates. Poverty, overcrowding, air and water pollution are consequences of the populace excess. To find a remedy, a new attitude to the childbearing should be accepted worldwide: the procreation is a matter of public concern. Global acceptance of this maxim is a prerequisite of international understanding and trust. Several regions are discussed here in some detail: the former Soviet Union, sub-Saharan Africa, Southern Asia and the Middle East. The topics of migrations and reproductive coercion are briefly delineated here. Particular ways to alleviation of overpopulation-related problems are discussed: nuclear energy for water desalination in arid regions; permanent contraception, vasectomy and caesarean tubal sterilization. So far, the population size can be controlled using humane, scientifically based methods, taking into account ecological and economical realities. It will not stay that way forever.</w:t>
      </w:r>
    </w:p>
    <w:p>
      <w:pPr/>
      <w:r>
        <w:rPr>
          <w:b/>
        </w:rPr>
        <w:t>POSSIBLE 2025:</w:t>
      </w:r>
      <w:r>
        <w:t xml:space="preserve"> Efficient secretion of a plastic degrading enzyme from the green algae Chlamydomonas reinhardtii — https://doi.org/10.1038/s41598-025-09100-0</w:t>
      </w:r>
    </w:p>
    <w:p>
      <w:pPr/>
      <w:r>
        <w:rPr>
          <w:b/>
        </w:rPr>
        <w:t>Shared claim-specific concepts:</w:t>
      </w:r>
      <w:r>
        <w:t xml:space="preserve"> degradation, environment, crisis, water, food; EU scope not established. This is a provisional connection, not an outcome finding.</w:t>
      </w:r>
    </w:p>
    <w:p>
      <w:pPr>
        <w:pStyle w:val="SourceNote"/>
      </w:pPr>
      <w:r>
        <w:rPr>
          <w:b/>
        </w:rPr>
        <w:t>Available abstract (not full text):</w:t>
      </w:r>
      <w:r>
        <w:t xml:space="preserve"> Plastic pollution has become a global crisis, with microplastics contaminating every environment on the planet, including our food, water, and even our bodies. In response, there is a growing interest in developing plastics that biodegrade naturally, thus avoiding the creation of persistent microplastics. As a mechanism to increase the rate of polyester plastic degradation, we examined the potential of using the green microalga Chlamydomonas reinhardtii for the expression and secretion of PHL7, an enzyme that breaks down post-consumer polyethylene terephthalate (PET) plastics. We engineered C. reinhardtii to secrete active PHL7 enzyme and selected strains showing robust expression, by using agar plates containing a polyester polyurethane (PU) dispersion as an efficient screening tool. This method demonstrated the enzyme's efficacy in degrading ester bond-containing plastics, such as PET and bio-based polyurethanes, and highlights the potential for microalgae to be implemented in environmental biotechnology. The effectiveness of algal-expressed PHL7 in degrading plastics was shown by incubating PET with the supernatant from engineered strains, resulting in substantial plastic degradation, confirmed by mass spectrometry analysis of terephthalic acid formation from PET. Our findings demonstrate the feasibility of polyester plastic recycling using microalgae to produce plastic-degr</w:t>
      </w:r>
    </w:p>
    <w:p>
      <w:pPr>
        <w:pStyle w:val="Heading2"/>
      </w:pPr>
      <w:r>
        <w:t>663.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2024:</w:t>
      </w:r>
      <w:r>
        <w:t xml:space="preserve"> SUSTAINABLE FINANCING AS A FACTOR INFLUENCING ECO-FRIENDLY BUSINESS TRANSFORMATION: EXISTING CHALLENGES AND POTENTIAL SOLUTIONS — https://doi.org/10.37547/tajiir/volume06issue10-02</w:t>
      </w:r>
    </w:p>
    <w:p>
      <w:pPr/>
      <w:r>
        <w:rPr>
          <w:b/>
        </w:rPr>
        <w:t>Shared claim-specific concepts:</w:t>
      </w:r>
      <w:r>
        <w:t xml:space="preserve"> all, aspects; EU scope not established. This is a provisional connection, not an outcome finding.</w:t>
      </w:r>
    </w:p>
    <w:p>
      <w:pPr>
        <w:pStyle w:val="SourceNote"/>
      </w:pPr>
      <w:r>
        <w:rPr>
          <w:b/>
        </w:rPr>
        <w:t>Available abstract (not full text):</w:t>
      </w:r>
      <w:r>
        <w:t xml:space="preserve"> This study underscores the slow adoption of eco-friendly practices, particularly in high-emission sectors ("brown" businesses), and emphasizes the role of sustainable financing in implementation of environmentally sustainable business practices, with a particular interest in such types of corporate financing as sustainability-linked loans and a relatively new type of financing provided to companies with core business falling under eligible green criteria (loans for green businesses). The purpose was to identify existing challenges preventing promotion of these two types of sustainable financing and borrowers’ sustainable transformation, and propose potential solutions addressing these challenges. The analysis was performed based on a vast literature review. The study revealed the existence of such challenges as borrowers’ profit-driven motives, lack in regulatory transparency, concerns of financial institutions about their profitability and risk of greenwashing, and insufficient governmental support. To address these challenges, regulatory measures are recommended to incentivize financial institutions to offer reduced interest rates on loans for green business and sustainability-linked loans, with governments compensating such losses through imposing higher taxes on “brown” businesses. The study also proposes a potential action plan on amending the regulatory framework with the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consumption, baseline;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European Social Policy and the COVID-19 Pandemic — https://doi.org/10.1093/oso/9780197676189.001.0001</w:t>
      </w:r>
    </w:p>
    <w:p>
      <w:pPr/>
      <w:r>
        <w:rPr>
          <w:b/>
        </w:rPr>
        <w:t>Shared claim-specific concepts:</w:t>
      </w:r>
      <w:r>
        <w:t xml:space="preserve"> number, encompassing, level, different; EU scope visible. This is a provisional connection, not an outcome finding.</w:t>
      </w:r>
    </w:p>
    <w:p>
      <w:pPr>
        <w:pStyle w:val="SourceNote"/>
      </w:pPr>
      <w:r>
        <w:rPr>
          <w:b/>
        </w:rPr>
        <w:t>Available abstract (not full text):</w:t>
      </w:r>
      <w:r>
        <w:t xml:space="preserve"> Abstract The coronavirus pandemic has brought about a number of partly improvised, partly only temporary, but in every respect diverse and often unprecedented social policy measures in Europe. The edited volume provides an encompassing and longer-term analysis of social policy responses during the COVID-19 crisis in order to ask in which direction the European welfare states on the one hand, and EU social policy on the other hand, are developing as a result of the pandemic with respect to polity, politics, and policy instruments. The book focuses on the tension between continuity and change from different interdisciplinary and theoretical perspectives. Contributions range from single case studies to comparative policy analyses. The chapters in this book study (1) welfare state change during the pandemic in order to contribute to welfare state and regime theory; (2) policy responses in specific social policy domains, their socio-structural effects for particular social groups; and their potential future effects on the social security systems in different countries; and (3) social policymaking as a multilevel process, analyzing different crises responses and discussing the implications for European integration and EU social policy. Overall, the different social policy areas, European countries, and social groups studied in this volume show not only that the welfare state is here </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pStyle w:val="Heading2"/>
      </w:pPr>
      <w:r>
        <w:t>664.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2023:</w:t>
      </w:r>
      <w:r>
        <w:t xml:space="preserve"> Looking at the fringes of MedTech innovation: a mapping review of horizon scanning and foresight methods — https://doi.org/10.1136/bmjopen-2023-073730</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OBJECTIVES: Horizon scanning (HS) is a method used to examine signs of change and may be used in foresight practice. HS methods used for the identification of innovative medicinal products cannot be applied in medical technologies (MedTech) due to differences in development and regulatory processes. The aim of this study is to identify HS and other methodologies used for MedTech foresight in support to healthcare decision-making. METHOD: A mapping review was performed. We searched bibliographical databases including MEDLINE, Embase, Scopus, Web of Science, IEEE Xplore and Compendex Engineering Village and grey literature sources such as Google, CORE database and the International HTA database. Our searches identified 8888 records. After de-duplication, and manual and automated title, abstracts and full-text screening, 49 papers met the inclusion criteria and were data extracted. RESULTS: Twenty-five single different methods were identified, often used in combination; of these, only three were novel (appearing only once in the literature). Text mining or artificial intelligence solutions appear as early as 2012, often practised in patent and social media sources. The time horizon used in scanning was not often justified. Some studies regarded experts both as a source and as a method. Literature searching remains one of the most used methods for innovation identification. HS meth</w:t>
      </w:r>
    </w:p>
    <w:p>
      <w:pPr/>
      <w:r>
        <w:rPr>
          <w:b/>
        </w:rPr>
        <w:t>POSSIBLE 2023:</w:t>
      </w:r>
      <w:r>
        <w:t xml:space="preserve"> Foresight in public health: application and challenges — https://doi.org/10.1093/eurpub/ckad160.1000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Research "Scenarios: Ukraine 2040" — https://doi.org/10.5281/zenodo.19045633</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The Russian invasion of Ukraine on 24 February 2022 has required Ukrainian parliamentarians and the government to address a large number of uncertainties when planning and developing policies and laws. To ensure that long-term thinking is applied to the policy process, the First Deputy Chairman of the Ukrainian Parliament requested a foresight study on the post-war recovery and development of Ukraine. This study was conducted as a joint project between the Inter-factional Union of Members of Parliament “Strategic Foresight of Ukraine” in the Verkhovna Rada and the All-Party Parliamentary Group for Future Generations in the United Kingdom, with the strong organizational support of the United Nations Development Programme (UNDP) Ukraine as well as other international partners. The aim of this study is threefold: to consider different possible scenarios for the recovery and development of Ukraine, including risks and ways to mitigate these risks, opportunities, and possible cognitive biases; and to provide insights about the future that will help parliamentarians engage in more effective decision-making in the uncertainty of wartime; and to generate insights regarding potential strategic implications for Ukraine. The scenarios presented in this report were developed over the course of seven months, between mid-July 2022 and mid-February 2023. The process was heavily based on works</w:t>
      </w:r>
    </w:p>
    <w:p>
      <w:pPr>
        <w:pStyle w:val="Heading2"/>
      </w:pPr>
      <w:r>
        <w:t>665.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2025:</w:t>
      </w:r>
      <w:r>
        <w:t xml:space="preserve"> IMPLEMENTATION OF TRANSPORT ACCESSIBILITY IN THE TOURISM SECTOR — https://doi.org/10.32782/2707-8019/2025-1-3</w:t>
      </w:r>
    </w:p>
    <w:p>
      <w:pPr/>
      <w:r>
        <w:rPr>
          <w:b/>
        </w:rPr>
        <w:t>Shared claim-specific concepts:</w:t>
      </w:r>
      <w:r>
        <w:t xml:space="preserve"> about, tourism, sector, various; EU scope not established. This is a provisional connection, not an outcome finding.</w:t>
      </w:r>
    </w:p>
    <w:p>
      <w:pPr>
        <w:pStyle w:val="SourceNote"/>
      </w:pPr>
      <w:r>
        <w:rPr>
          <w:b/>
        </w:rPr>
        <w:t>Available abstract (not full text):</w:t>
      </w:r>
      <w:r>
        <w:t xml:space="preserve"> The prevailing trend in the development of tourism is to enhance the accessibility of tourist services for all segments of society. To this end, a range of measures must be implemented at both the state and local levels, as well as by the enterprises themselves. The present paper explores the merits and drawbacks of the various modes of transport utilised in the provision of tourist services. It is determined that in the future the transport offer in tourism will develop in the following directions: increasing the environmental friendliness of transport, ecological types of transport; accessibility of transport offer for people with disabilities; increased attention to travel safety; improvement of transport infrastructure. It is noted that the main barriers faced by tourists with disabilities are: inaccessibility of transport infrastructure facilities; low quality of service provided by support staff; insufficient awareness of service providers; lack of information about accessible facilities, services, relevant websites; lack of accessible rooms in hotels, restaurants and public places. This paper sets out the measures that local authorities and heads of transport infrastructure enterprises should take to improve accessibility. The measures to ensure the accessibility of various types of transport are disclosed, as are the best foreign experiences in the field of infrastructu</w:t>
      </w:r>
    </w:p>
    <w:p>
      <w:pPr/>
      <w:r>
        <w:rPr>
          <w:b/>
        </w:rPr>
        <w:t>POSSIBLE 2025:</w:t>
      </w:r>
      <w:r>
        <w:t xml:space="preserve"> THE QUESTION OF THE SCOPE OF DECISION-MAKING OF COMBAT SYSTEMS BASED ON GENERATIVE ARTIFICIAL INTELLIGENCE TECHNOLOGY AS AN IMPORTANT ELEMENT OF RISK MANAGEMENT OF THE POTENTIAL RISKS ARISING FROM IT — https://doi.org/10.5604/01.3001.0055.5726</w:t>
      </w:r>
    </w:p>
    <w:p>
      <w:pPr/>
      <w:r>
        <w:rPr>
          <w:b/>
        </w:rPr>
        <w:t>Shared claim-specific concepts:</w:t>
      </w:r>
      <w:r>
        <w:t xml:space="preserve"> accordingly, use, based; EU scope not established. This is a provisional connection, not an outcome finding.</w:t>
      </w:r>
    </w:p>
    <w:p>
      <w:pPr>
        <w:pStyle w:val="SourceNote"/>
      </w:pPr>
      <w:r>
        <w:rPr>
          <w:b/>
        </w:rPr>
        <w:t>Available abstract (not full text):</w:t>
      </w:r>
      <w:r>
        <w:t xml:space="preserve"> Artificial intelligence (AI) is playing an increasingly prominent role in the military sphere, bringing both numerous benefits and key challenges and risks. AI in the military enables increased operational efficiency through autonomous drones and vehicles that can perform complex missions with minimal human intervention and improves the precision of military operations. Artificial intelligence also supports realtime data analysis for faster and more accurate decision-making. Determinants of AI technology applications in the military sphere are the growing demands of national security and the need to keep up with techno-logical advances, allowing countries to gain a strategic advantage and better protect their interests. However, AI applications also come with serious challenges and risks, such as issues of ethics and accountability, as autonomous combat systems can make decisions to use force without direct human oversight. In addition, information systems may be vulner-able to cyber attacks, for which AI technology may be involved, posing additional risks to national security. The development of AI technology, including generative AI, often precedes necessary changes in legal norms. It is necessary to develop an international legal framework to regulate the use of AI in armed conflict to prevent escalation and uncon-trolled development of military technologies. Accordingly, th</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tourism, sector;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pStyle w:val="Heading2"/>
      </w:pPr>
      <w:r>
        <w:t>666.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pStyle w:val="Heading2"/>
      </w:pPr>
      <w:r>
        <w:t>667.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2025:</w:t>
      </w:r>
      <w:r>
        <w:t xml:space="preserve"> Assessing GHG Emissions Implications of Forest Residue Use for Energy Production — https://doi.org/10.1111/gcbb.70045</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ABSTRACT As global interest in enhancing energy security, reducing energy costs, and promoting rural economic development grows, the use of forest residues for bioenergy has gained attention. While bioenergy derived from forest residues can help meet power needs and support policy goals, significant uncertainty remains regarding the greenhouse gas (GHG) emissions associated with their production and use. This study aims to explore the key drivers of these uncertainties by reviewing estimates of GHG emissions from forest residue use for energy, as presented in peer‐reviewed journals, reports, and gray literature. The findings reveal a wide range of GHG emission outcomes, with some studies suggesting net emissions and others indicating net removals. This uncertainty stems from the complexity of time scales, variety of forest management approaches and feedstock quality, assumptions about alternative scenarios, and varying approaches to emissions accounting. Recognizing that each method has its unique attributes, we propose an ideal framework that integrates multiple approaches to provide a more comprehensive assessment of the potential net GHG outcomes of using forest residues for energy.</w:t>
      </w:r>
    </w:p>
    <w:p>
      <w:pPr/>
      <w:r>
        <w:rPr>
          <w:b/>
        </w:rPr>
        <w:t>POSSIBLE 2025:</w:t>
      </w:r>
      <w:r>
        <w:t xml:space="preserve"> Mitigate GHG emissions on mixed livestock systems — https://openalex.org/W7206503929</w:t>
      </w:r>
    </w:p>
    <w:p>
      <w:pPr/>
      <w:r>
        <w:rPr>
          <w:b/>
        </w:rPr>
        <w:t>Shared claim-specific concepts:</w:t>
      </w:r>
      <w:r>
        <w:t xml:space="preserve"> reach, ghg, emissions, based, climate; EU scope visible. This is a provisional connection, not an outcome finding.</w:t>
      </w:r>
    </w:p>
    <w:p>
      <w:pPr>
        <w:pStyle w:val="SourceNote"/>
      </w:pPr>
      <w:r>
        <w:rPr>
          <w:b/>
        </w:rPr>
        <w:t>Available abstract (not full text):</w:t>
      </w:r>
      <w:r>
        <w:t xml:space="preserve"> The Climate Neutral Farms (ClieNFarms) project aims to reduce greenhouse gas emissions and increasing carbon storage in the agricultural sector. This project is based on a network of 20 demonstration case studies (I3S) where systemic innovative solutions were tested and evaluated using up-to-date modeling approaches and multicriteria assessment tools. We will focus on the dairy and beef case studies in Ireland, France, Netherlands, Spain, New-Zealand, Germany, Switzerland, Ukraine and Poland. Each farm carried out an initial assessment to define its environmental impact and, in particular, its carbon footprint. From this point, the farmers defined their action plan in co-construction. They rely on the catalogue of solutions drawn up by the project, as well as on the discussions held at their region’s creative arena, which brought together various players in the production sector. The levers chosen by the farmer are adapted to their own system and production objectives. The aim is then to measure the environmental and economic impact of implementing these practices. This will involve a finalassessment to quantify these changes, in particular the carbon footprint, but also other environmental indicators such as biodiversity, nitrogen management, water quality and soil health. The data collected will also enable a comparison of the diversity of carbon footprint calculation tools t</w:t>
      </w:r>
    </w:p>
    <w:p>
      <w:pPr/>
      <w:r>
        <w:rPr>
          <w:b/>
        </w:rPr>
        <w:t>POSSIBLE 2025:</w:t>
      </w:r>
      <w:r>
        <w:t xml:space="preserve"> Scaling Down the Outflow of GHG Emission in Maritime Industry — https://doi.org/10.47392/irjash.2025.013</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This paper has described the methodologies used for reduction in greenhouse gases like carbon dioxide [CO2], methane [CH4], nitrogen [NOx] etc. Also, it covers the technologies used all over the globe to capture the carbon [C], which is a major component of greenhouse gases. Moreover, this paper had also elaborated regarding the sustainable marine fuels like the hydrogen [H2] fuel cells and ammonia [NH3] as a marine fuel considering its specific energy (amount of energy present per unit mass of fuel expressed in MJ/kg) and energy density (amount of energy present per unit volume of fuel usually expressed in MJ/L), also the various types of biofuels like biodiesel, ethanol (C2H6O), E85 [combination of ethanol (C2H6O) and gasoline]. Overall, this paper will explain the feasibilities for the reduction of greenhouse gasses emission for the sustainable environment for the future generation. United Nation, European union and other countries has suggested steps to resolve the greenhouse gasses emission, and these steps are briefly elaborated in this paper. At the end this paper will conclude itself by the most feasible means of fuel sources in both environment and economic sustainability in the maritime industry.</w:t>
      </w:r>
    </w:p>
    <w:p>
      <w:pPr>
        <w:pStyle w:val="Heading2"/>
      </w:pPr>
      <w:r>
        <w:t>668.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2024:</w:t>
      </w:r>
      <w:r>
        <w:t xml:space="preserve"> Exploring how Europeans understand solidarity in the EU — https://doi.org/10.4324/9781032690902-3</w:t>
      </w:r>
    </w:p>
    <w:p>
      <w:pPr/>
      <w:r>
        <w:rPr>
          <w:b/>
        </w:rPr>
        <w:t>Shared claim-specific concepts:</w:t>
      </w:r>
      <w:r>
        <w:t xml:space="preserve"> understand, about, three;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How Europeans Understand Solidarity, Reciprocity and Fairness in the EU — https://openalex.org/W7137668820</w:t>
      </w:r>
    </w:p>
    <w:p>
      <w:pPr/>
      <w:r>
        <w:rPr>
          <w:b/>
        </w:rPr>
        <w:t>Shared claim-specific concepts:</w:t>
      </w:r>
      <w:r>
        <w:t xml:space="preserve"> understand, society, about; EU scope visible. This is a provisional connection, not an outcome finding.</w:t>
      </w:r>
    </w:p>
    <w:p>
      <w:pPr>
        <w:pStyle w:val="SourceNote"/>
      </w:pPr>
      <w:r>
        <w:rPr>
          <w:b/>
        </w:rPr>
        <w:t>Available abstract (not full text):</w:t>
      </w:r>
      <w:r>
        <w:t xml:space="preserve"> This edited book sheds new light on the understanding of solidarity, reciprocity and fairness from the perspective of European Union (EU) citizens and, with this, how cohesion in the EU can be achieved. Drawing on extensive focus group research across nine countries, the book presents the results of this large project to assess what citizens think they owe their fellow Europeans in other parts of the EU. It brings together participants from different social milieus – highly qualified professionals, low-paid and unemployed persons and young adults – and reveals much about how average citizens think and talk about the issues and crises facing the EU, such as the reasons behind their beliefs and the statements they develop when discussing such issues, and therefore, provides a deeper insight into how exactly EU citizens understand solidarity, reciprocity and fairness when it comes to transborder relations and their attitudes towards EU cohesion. This book will be of key interest to scholars and students in European studies/politics, and more broadly to comparative politics, international relations, civil society organisations and the wider social sciences.</w:t>
      </w:r>
    </w:p>
    <w:p>
      <w:pPr/>
      <w:r>
        <w:rPr>
          <w:b/>
        </w:rPr>
        <w:t>POSSIBLE 2024:</w:t>
      </w:r>
      <w:r>
        <w:t xml:space="preserve"> Did we achieve what we aimed for? Assessing the outcomes of a human–carnivore conflict mitigation and coexistence project in Europe — https://doi.org/10.1002/wlb3.01270</w:t>
      </w:r>
    </w:p>
    <w:p>
      <w:pPr/>
      <w:r>
        <w:rPr>
          <w:b/>
        </w:rPr>
        <w:t>Shared claim-specific concepts:</w:t>
      </w:r>
      <w:r>
        <w:t xml:space="preserve"> sector, three, among; EU scope visible. This is a provisional connection, not an outcome finding.</w:t>
      </w:r>
    </w:p>
    <w:p>
      <w:pPr>
        <w:pStyle w:val="SourceNote"/>
      </w:pPr>
      <w:r>
        <w:rPr>
          <w:b/>
        </w:rPr>
        <w:t>Available abstract (not full text):</w:t>
      </w:r>
      <w:r>
        <w:t xml:space="preserve"> Monitoring and evaluation practices, demanded by nature conservation project donors, often focus on practical outputs, leaving the assessment of intended short and medium‐term outcomes and long‐term impacts challenging. This study employs a merger of the conflict intervention triangle model (CITM) and its three dimensions relationship, substance, and process, together with the logical framework approach (LFA) within the context of a human–wildlife conflict and coexistence (HWCC) project (LIFE EuroLargeCarnivores) in order to assess project correlated outcomes on stakeholder level over time. Two stakeholder surveys were conducted across 14 project partner countries, capturing baseline perceptions in 2018 and assessing changes in 2021. To assess the actual influence of the project with its focus on conflict mitigation, we applied an ex post counterfactual analysis. Results indicate positive developments in all dimensions of the CITM. The influence of the project is demonstrated by statistically significant differences in response behavior between participants and non‐participants of project interventions. The overall outcome regarding beliefs in satisfactory future management of increasing large carnivore populations, is more intricate. Significant differences are observed among three selected main stakeholder categories over the project's timeframe. While nature conservationists</w:t>
      </w:r>
    </w:p>
    <w:p>
      <w:pPr>
        <w:pStyle w:val="Heading2"/>
      </w:pPr>
      <w:r>
        <w:t>669.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2023:</w:t>
      </w:r>
      <w:r>
        <w:t xml:space="preserve"> Meta-evaluation of a whole systems programme, ActEarly: A study protocol — https://doi.org/10.1371/journal.pone.0280696</w:t>
      </w:r>
    </w:p>
    <w:p>
      <w:pPr/>
      <w:r>
        <w:rPr>
          <w:b/>
        </w:rPr>
        <w:t>Shared claim-specific concepts:</w:t>
      </w:r>
      <w:r>
        <w:t xml:space="preserve"> large, high, levels; EU scope not established. This is a provisional connection, not an outcome finding.</w:t>
      </w:r>
    </w:p>
    <w:p>
      <w:pPr>
        <w:pStyle w:val="SourceNote"/>
      </w:pPr>
      <w:r>
        <w:rPr>
          <w:b/>
        </w:rPr>
        <w:t>Available abstract (not full text):</w:t>
      </w:r>
      <w:r>
        <w:t xml:space="preserve"> INTRODUCTION: Living in an area with high levels of child poverty predisposes children to poorer mental and physical health. ActEarly is a 5-year research programme that comprises a large number of interventions (&gt;20) with citizen science and co-production embedded. It aims to improve the health and well-being of children and families living in two areas of the UK with high levels of deprivation; Bradford in West Yorkshire, and the London Borough of Tower Hamlets. This protocol outlines the meta-evaluation (an evaluation of evaluations) of the ActEarly programme from a systems perspective, where individual interventions are viewed as events in the wider policy system across the two geographical areas. It includes investigating the programme's impact on early life health and well-being outcomes, interdisciplinary prevention research collaboration and capacity building, and local and national decision making. METHODS: The ActEarly meta-evaluation will follow and adapt the five iterative stages of the 'Evaluation of Programmes in Complex Adaptive Systems' (ENCOMPASS) framework for evaluation of public health programmes in complex adaptive systems. Theory-based and mixed-methods approaches will be used to investigate the fidelity of the ActEarly research programme, and whether, why and how ActEarly contributes to changes in the policy system, and whether alternative explanations ca</w:t>
      </w:r>
    </w:p>
    <w:p>
      <w:pPr/>
      <w:r>
        <w:rPr>
          <w:b/>
        </w:rPr>
        <w:t>POSSIBLE 2023:</w:t>
      </w:r>
      <w:r>
        <w:t xml:space="preserve"> Assessing Impact in Europe: A Systematic Review of Evaluation Methodologies in Homeless Interventions — https://doi.org/10.3390/systems11110541</w:t>
      </w:r>
    </w:p>
    <w:p>
      <w:pPr/>
      <w:r>
        <w:rPr>
          <w:b/>
        </w:rPr>
        <w:t>Shared claim-specific concepts:</w:t>
      </w:r>
      <w:r>
        <w:t xml:space="preserve"> approach, they, robust; EU scope visible. This is a provisional connection, not an outcome finding.</w:t>
      </w:r>
    </w:p>
    <w:p>
      <w:pPr>
        <w:pStyle w:val="SourceNote"/>
      </w:pPr>
      <w:r>
        <w:rPr>
          <w:b/>
        </w:rPr>
        <w:t>Available abstract (not full text):</w:t>
      </w:r>
      <w:r>
        <w:t xml:space="preserve"> Homelessness presents a complex societal challenge, necessitating evidence-based interventions. This paper conducts a PRISMA systematic review of impact evaluation methodologies in homeless interventions, examining the existence of standardized methodologies, and the role of theoretical frameworks, consensus on evaluation designs, and reliable outcome variables. Drawing from diverse studies, the research comprehensively analyzes impact evaluations with the goal of yielding valuable insights for practitioners and policymakers responding to the challenges and dynamics of the European context. The findings reveal a lack of standardized methodologies validated by regulatory agencies, particularly within Europe. Theoretical foundations guiding the evaluations vary widely, highlighting the need for a context-sensitive framework that considers the complexities of homelessness and socio-political factors across welfare states. While randomized controlled trials offer rigor, they are underutilized in Europe. The review advocates a mixed-methods approach for comprehensive insights to capture the multifaceted nature of homelessness interventions. Furthermore, the identification of suitable outcome variables emerges as a challenge, with inconsistent definitions hindering cross-study comparisons. The analysis underscores the significance of adopting standardized outcome variables, such as t</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large, recommended, high, levels;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pStyle w:val="Heading2"/>
      </w:pPr>
      <w:r>
        <w:t>670.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r>
        <w:rPr>
          <w:b/>
        </w:rPr>
        <w:t>POSSIBLE 2025:</w:t>
      </w:r>
      <w:r>
        <w:t xml:space="preserve"> Protection of Human Rights under the European Convention on Human Rights and in Central Europe: Hungary — https://doi.org/10.46941/2025.2.11</w:t>
      </w:r>
    </w:p>
    <w:p>
      <w:pPr/>
      <w:r>
        <w:rPr>
          <w:b/>
        </w:rPr>
        <w:t>Shared claim-specific concepts:</w:t>
      </w:r>
      <w:r>
        <w:t xml:space="preserve"> current, key, challenges; EU scope visible. This is a provisional connection, not an outcome finding.</w:t>
      </w:r>
    </w:p>
    <w:p>
      <w:pPr>
        <w:pStyle w:val="SourceNote"/>
      </w:pPr>
      <w:r>
        <w:rPr>
          <w:b/>
        </w:rPr>
        <w:t>Available abstract (not full text):</w:t>
      </w:r>
      <w:r>
        <w:t xml:space="preserve"> This study examines the protection of human rights in Hungary, with particular attention to its evolving relationship with the European Convention on Human Rights (ECHR) and the Council of Europe. The analysis begins by outlining the historical developments of human rights in Hungary, emphasising key milestones that have shaped the country's constitutional and legislative framework during its democratic transition and beyond. This historical context is essential for understanding Hungary’s current human rights commitments. The analysis then turns to Hungary’s engagement with the Council of Europe, focusing on its ratification and implementation of core human rights conventions. These include Protocol No. 1 to the European Convention for the Prevention of Torture, the European Social Charter, and the Framework Convention for the Protection of National Minorities. These international treaties play a vital role in shaping Hungary’s human rights obligations and influencing the development of domestic legal standards. Further, the article addresses Hungary’s national implementation of the ECHR, illustrating how its provisions are reflected in the Fundamental Law and major legislative acts. Important law-making processes influenced by the ECHR are discussed, highlighting the impact of international human rights standards on domestic legislation. Additionally, it reviews landmark case</w:t>
      </w:r>
    </w:p>
    <w:p>
      <w:pPr/>
      <w:r>
        <w:rPr>
          <w:b/>
        </w:rPr>
        <w:t>POSSIBLE 2024:</w:t>
      </w:r>
      <w:r>
        <w:t xml:space="preserve"> Population of Europe : from a Hungarian perspective — https://doi.org/10.54237/profnet.2024.tbdecce_2</w:t>
      </w:r>
    </w:p>
    <w:p>
      <w:pPr/>
      <w:r>
        <w:rPr>
          <w:b/>
        </w:rPr>
        <w:t>Shared claim-specific concepts:</w:t>
      </w:r>
      <w:r>
        <w:t xml:space="preserve"> hungarian, identify, trends; EU scope visible. This is a provisional connection, not an outcome finding.</w:t>
      </w:r>
    </w:p>
    <w:p>
      <w:pPr>
        <w:pStyle w:val="SourceNote"/>
      </w:pPr>
      <w:r>
        <w:rPr>
          <w:b/>
        </w:rPr>
        <w:t>Available abstract (not full text):</w:t>
      </w:r>
      <w:r>
        <w:t xml:space="preserve"> Population-related questions, such as the population composition of a country, have been a concern for community leaders, professionals, and experts since the beginning of the formation of early societies. Over the last centuries, sociologists and demographers have conducted countless studies to identify the driving forces behind population trends, employing, for example, theories of demographic transitions and economics. At the regional level, the demographic situation is both specific and general, although there are marked differences not only between continents but also between countries within a continent. This is also the case in Europe. In general, we can see a strong and specific migration trend, with declining birth rates and total fertility rates. However, in some European countries, such as Hungary, the demographic picture over the last decade has differed from the overall population trends on the continent: fertility has risen, marriage rates are experiencing a renaissance, and migration has not been the solution to population issues. According to various United Nations estimates, Europe’s population is expected to decline in the coming decades. The consequences of this are somewhat noticeable today, and in those countries where they are felt, various policies are already being put in place to tackle – or try to ‘cure’ – this specific demographic ‘disease’. Since 201</w:t>
      </w:r>
    </w:p>
    <w:p>
      <w:pPr/>
      <w:r>
        <w:rPr>
          <w:b/>
        </w:rPr>
        <w:t>POSSIBLE 2024:</w:t>
      </w:r>
      <w:r>
        <w:t xml:space="preserve"> The Development of the Private Health Sector in Hungary in a European Context — https://doi.org/10.70147/c266978</w:t>
      </w:r>
    </w:p>
    <w:p>
      <w:pPr/>
      <w:r>
        <w:rPr>
          <w:b/>
        </w:rPr>
        <w:t>Shared claim-specific concepts:</w:t>
      </w:r>
      <w:r>
        <w:t xml:space="preserve"> aim, hungarian, among; EU scope visible. This is a provisional connection, not an outcome finding.</w:t>
      </w:r>
    </w:p>
    <w:p>
      <w:pPr>
        <w:pStyle w:val="SourceNote"/>
      </w:pPr>
      <w:r>
        <w:rPr>
          <w:b/>
        </w:rPr>
        <w:t>Available abstract (not full text):</w:t>
      </w:r>
      <w:r>
        <w:t xml:space="preserve"> The aim of this paper is to examine the situation of private healthcare providers in Hungary and their relationship with publicly funded healthcare. The private healthcare sector is growing significantly in Hungary and worldwide. As a percentage of GDP in Hungary, government spending on health has always been among the lowest in Europe, averaging 5% over the last 20 years. The Hungarian state-financed healthcare continues to operate on a single-payer national health insurance system. Therefore, private healthcare is financed exclusively by private insurance and/or out-of-pocket. In 2021, the Hungarian population spent HUF 420 billion on private outpatient and inpatient care. Based on 2021 balance sheet data in Hungary, 195 providers had an annual net turnover of more than HUF 100 million, with a combined net turnover of HUF 211 billion in 2021. The total number of full-time employees was 8336, with a total of 4 218 doctors (employed or contracted) in 114 specialties, which means that a parallel healthcare system has been set up along with public care. The joint management of public and private care capacities and the introduction of sector-neutral financing would improve access to publicly funded care. Widely available and transparent private health insurance schemes could reduce the population's out-of-pocket burden. It would also be essential to increase participation in heal</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hungarian, areas;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pStyle w:val="Heading2"/>
      </w:pPr>
      <w:r>
        <w:t>671.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measures;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Pushed by markets, pulled by machines: Economic pressures and the backlash to the European Union — https://doi.org/10.1177/14651165251395305</w:t>
      </w:r>
    </w:p>
    <w:p>
      <w:pPr/>
      <w:r>
        <w:rPr>
          <w:b/>
        </w:rPr>
        <w:t>Shared claim-specific concepts:</w:t>
      </w:r>
      <w:r>
        <w:t xml:space="preserve"> mitigate, effect; EU scope visible. This is a provisional connection, not an outcome finding.</w:t>
      </w:r>
    </w:p>
    <w:p>
      <w:pPr>
        <w:pStyle w:val="SourceNote"/>
      </w:pPr>
      <w:r>
        <w:rPr>
          <w:b/>
        </w:rPr>
        <w:t>Available abstract (not full text):</w:t>
      </w:r>
      <w:r>
        <w:t xml:space="preserve"> Global economic integration and automation technologies destabilise employment and threaten workers’ economic security, yet their combined political effects remain understudied. Using data from the ninth wave of the European Social Survey, this study examines how automation risks, measured by routine-task intensity and export-driven market pressure, foster Euroscepticism. This study finds that while routineness alone has a modest effect, its combination with trade exposure significantly amplifies negative sentiment towards the European Union, especially among individuals who perceive society as unfair and support redistribution. These economic vulnerabilities not only fuel Euroscepticism but also increase support for withdrawal from the European Union. The findings highlight the need for policies that mitigate technology-driven displacement, particularly for workers with high routine-task intensity in export-oriented sectors, with reinforcing fairness and redistributive mechanisms to sustain support for European integration.</w:t>
      </w:r>
    </w:p>
    <w:p>
      <w:pPr/>
      <w:r>
        <w:rPr>
          <w:b/>
        </w:rPr>
        <w:t>POSSIBLE 2025:</w:t>
      </w:r>
      <w:r>
        <w:t xml:space="preserve"> The Impact global and domestic uncertainty on FDI: evidence from MENA — https://doi.org/10.21608/zcom.2025.394285.1461</w:t>
      </w:r>
    </w:p>
    <w:p>
      <w:pPr/>
      <w:r>
        <w:rPr>
          <w:b/>
        </w:rPr>
        <w:t>Shared claim-specific concepts:</w:t>
      </w:r>
      <w:r>
        <w:t xml:space="preserve"> find, uncertainty; EU scope not established. This is a provisional connection, not an outcome finding.</w:t>
      </w:r>
    </w:p>
    <w:p>
      <w:pPr>
        <w:pStyle w:val="SourceNote"/>
      </w:pPr>
      <w:r>
        <w:rPr>
          <w:b/>
        </w:rPr>
        <w:t>Available abstract (not full text):</w:t>
      </w:r>
      <w:r>
        <w:t xml:space="preserve"> This study examines the impact of global and domestic uncertainty on foreign direct investment (FDI) for 21 countries in the Middle East and North Africa (MENA) over the period from 1990 to 2023, using dynamic panel data techniques to consider potential endogeneity of uncertainty and utilized the Generalized Method of Moments (GMM). The findings of the paper reveal an inverted U-shaped relationship between global uncertainty and FDI inflows. We find that global uncertainty plays a central role in shaping foreign investment decisions. Investors tend to increase FDI inflows at moderate levels of uncertainty, but they withdraw or hesitate when global uncertainty levels rise. Additionally, the study finds that increasing the levels of domestic uncertainty, and inflation rate discourages foreign investors from investing in the host country, whereas trade openness and growth rate increase investors’ confidence in increasing FDI inflow in the host country.Key Words FDI; global uncertainty; Domestic uncertainty; MENA JEL F21; F23; E32; D81; O53</w:t>
      </w:r>
    </w:p>
    <w:p>
      <w:pPr/>
      <w:r>
        <w:rPr>
          <w:b/>
        </w:rPr>
        <w:t>POSSIBLE 2025:</w:t>
      </w:r>
      <w:r>
        <w:t xml:space="preserve"> A new index for climate‐induced migration uncertainty — https://doi.org/10.1111/imig.13384</w:t>
      </w:r>
    </w:p>
    <w:p>
      <w:pPr/>
      <w:r>
        <w:rPr>
          <w:b/>
        </w:rPr>
        <w:t>Shared claim-specific concepts:</w:t>
      </w:r>
      <w:r>
        <w:t xml:space="preserve"> uncertainty, index, specific, effect; EU scope not established. This is a provisional connection, not an outcome finding.</w:t>
      </w:r>
    </w:p>
    <w:p>
      <w:pPr>
        <w:pStyle w:val="SourceNote"/>
      </w:pPr>
      <w:r>
        <w:rPr>
          <w:b/>
        </w:rPr>
        <w:t>Available abstract (not full text):</w:t>
      </w:r>
      <w:r>
        <w:t xml:space="preserve"> Abstract The impact of climate change on the world has been significant, leading to various efforts to reduce its risks. This study aims to create a new index to measure the uncertainty surrounding migration due to climate change. It uses a range of international newspapers with a global readership. Although climate change has increasingly influenced migration decisions in vulnerable areas, there is still a lack of quantitative research exploring this connection, which our study aims to address. The index indicates a growing trend in climate‐induced migration decisions, especially over the last two decades, supporting the study's purpose. We also present empirical results that validate the depressing effect of the uncertainty index on per Capita GDP growth at global, regional and country‐specific levels. The index has various practical applications and can be useful for future research.</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Effects of entrepreneurship and governance quality on global and regional economic performance: A pathway to sustainable development — https://doi.org/10.1002/sd.3267</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Abstract This study investigated the effects of entrepreneurship and governance quality on global and regional economic performance, and the moderating influence of governance quality on the entrepreneurship‐economic performance nexus. The study used a panel of 109 countries from 2010 to 2022. Prais‐Winsten regression, standard Fixed Effects regression with robust standard errors, Fixed Effects regression with Driscoll and Kraay standard errors, and the dynamic system GMM regression were used. We find that the unconditional effect of entrepreneurship on global economic performance is mainly negative, while governance quality predominantly exerts positive effect on global economic performance, but generally failed to moderate the adverse effect of entrepreneurship. Interestingly, we find regional disparities indicating that the patterns in Europe and Asia align with the global results, while the dynamics in the Americas show that the unconditional effect of entrepreneurship on economic performance is mainly positive and significant, with governance quality also exerting significant positive influence and reinforcing the positive effect of entrepreneurship. For Africa, we find that entrepreneurship is a potent driver of economic performance when it is measured using Total Early‐stage Entrepreneurial Activity and Entrepreneurial Employee Activity. We discussed the policy implicati</w:t>
      </w:r>
    </w:p>
    <w:p>
      <w:pPr>
        <w:pStyle w:val="Heading2"/>
      </w:pPr>
      <w:r>
        <w:t>672.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2024:</w:t>
      </w:r>
      <w:r>
        <w:t xml:space="preserve"> Financial integration and economic growth in Europe — https://doi.org/10.4337/9781803926377.00033</w:t>
      </w:r>
    </w:p>
    <w:p>
      <w:pPr/>
      <w:r>
        <w:rPr>
          <w:b/>
        </w:rPr>
        <w:t>Shared claim-specific concepts:</w:t>
      </w:r>
      <w:r>
        <w:t xml:space="preserve"> influence, case; EU scope visible. This is a provisional connection, not an outcome finding.</w:t>
      </w:r>
    </w:p>
    <w:p>
      <w:pPr>
        <w:pStyle w:val="SourceNote"/>
      </w:pPr>
      <w:r>
        <w:rPr>
          <w:b/>
        </w:rPr>
        <w:t>Available abstract (not full text):</w:t>
      </w:r>
      <w:r>
        <w:t xml:space="preserve"> This study examines the impact of financial integration on economic growth in the case of 31 European countries over the period from 2000 to 2021 using dynamic panel data models.The estimation results provide evidence of significant positive effects of financial integration on economic growth.They also suggest that the financial integration -economic growth relationship depends on country-specific characteristics such as the level of financial development and the quality of institutions.More precisely, financial integration appears to exert a greater positive influence on growth in the case of the European countries with a higher level of financial development and better institutions.</w:t>
      </w:r>
    </w:p>
    <w:p>
      <w:pPr/>
      <w:r>
        <w:rPr>
          <w:b/>
        </w:rPr>
        <w:t>POSSIBLE 2024:</w:t>
      </w:r>
      <w:r>
        <w:t xml:space="preserve"> The impact of digitalization on the economic growth of the European Union: an empirical study — https://doi.org/10.15587/1729-4061.2024.304256</w:t>
      </w:r>
    </w:p>
    <w:p>
      <w:pPr/>
      <w:r>
        <w:rPr>
          <w:b/>
        </w:rPr>
        <w:t>Shared claim-specific concepts:</w:t>
      </w:r>
      <w:r>
        <w:t xml:space="preserve"> empirical, influence, factors; EU scope visible. This is a provisional connection, not an outcome finding.</w:t>
      </w:r>
    </w:p>
    <w:p>
      <w:pPr>
        <w:pStyle w:val="SourceNote"/>
      </w:pPr>
      <w:r>
        <w:rPr>
          <w:b/>
        </w:rPr>
        <w:t>Available abstract (not full text):</w:t>
      </w:r>
      <w:r>
        <w:t xml:space="preserve"> The object of this study was the process of digitalization of the economy and society of the European Union. The task of researching the impact of digitalization on the economic growth of the European Union has been solved. The relevance of the chosen topic is due to the complexity of digital transformation processes taking place in the world economy and the economy of the European Union, in particular, the need to assess their directions and intensity. Four approaches to modeling the impact of digitalization on economic growth based on the neoclassical production function were proposed. The structure of the model was chosen, which makes it possible to evaluate the influence of various factors of digitalization on the key parameters of economic growth. A regression multivariate model for assessing the impact of digitalization on the economic growth of the European Union has been developed. To this end, a sequence of stages was performed: formation of the information base, grouping of digitalization factors, as well as their selection based on correlation analysis. With the help of regression analysis, the parameters of the production function were expressed through digitalization indicators. At the same time, due to the limitation of input data, the Elastic Net Regression method was used. This made it possible to ensure the quality of the new model, namely, to remove low-impact</w:t>
      </w:r>
    </w:p>
    <w:p>
      <w:pPr/>
      <w:r>
        <w:rPr>
          <w:b/>
        </w:rPr>
        <w:t>POSSIBLE 2024:</w:t>
      </w:r>
      <w:r>
        <w:t xml:space="preserve"> Fiscal decentralization and economic growth: Empirical evidence from European countries — https://doi.org/10.47063/ebd.00017</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In this paper we empirically investigate the relationship between fiscal decentralization and economic growth in the European countries, using panel dataset for 31 European countries, over the period 1972-2012. Our empirical results indicate that fiscal decentralization, quantitatively measured as the ratio of local government expenditures and revenues in general government expenditures and revenues has a favorable impact on economic growth in the European countries and also that revenue decentralization is shown to be more effective than expenditure decentralization in terms of stimulating economic growth. Further, our empirical results also suggest that the relationship between decentralization and economic growth is nonlinear, i.e. there is a certain optimal level of fiscal decentralization in terms of economic growth. This means that fiscal decentralization is expected to have a more pronounced positive impact on growth in less decentralized countries, while in more decentralized countries, a further increase in decentralization starts to hinder economic growth. In addition, the growth-enhancing effect of fiscal decentralization is even strongly confirmed in our subsample of advanced European countries, when long termed effect of decentralization was examined. Therefore, compared with our previous findings on the impact of fiscal decentralization on growth in Central and Ea</w:t>
      </w:r>
    </w:p>
    <w:p>
      <w:pPr/>
      <w:r>
        <w:rPr>
          <w:b/>
        </w:rPr>
        <w:t>POSSIBLE 2024:</w:t>
      </w:r>
      <w:r>
        <w:t xml:space="preserve"> The relationship between digital development and economic growth in the European Union — https://doi.org/10.1556/1848.2024.00797</w:t>
      </w:r>
    </w:p>
    <w:p>
      <w:pPr/>
      <w:r>
        <w:rPr>
          <w:b/>
        </w:rPr>
        <w:t>Shared claim-specific concepts:</w:t>
      </w:r>
      <w:r>
        <w:t xml:space="preserve"> both, empirical, applying, different; EU scope visible. This is a provisional connection, not an outcome finding.</w:t>
      </w:r>
    </w:p>
    <w:p>
      <w:pPr>
        <w:pStyle w:val="SourceNote"/>
      </w:pPr>
      <w:r>
        <w:rPr>
          <w:b/>
        </w:rPr>
        <w:t>Available abstract (not full text):</w:t>
      </w:r>
      <w:r>
        <w:t xml:space="preserve"> Abstract Numerous studies have proven that digital development positively affects economic growth. This study aims to confirm or refute the positive impact of digital evolution on economic growth by applying the dimensions of the International Digital Economy and Society Index (I-DESI). The analysis refers to the period 2015–2020 of the European Union member states. The study's novelty is that the I-DESI index has yet to be used in research to investigate the relationship between the digital transition and GDP production. The present study, therefore, goes one step further than the previous typical DESI-GDP models. The research uses Pearson correlation and F-statistic analysis to show the relationship between the variables. The study confirms that digital development has positively impacted the economic growth of EU member states. This result was confirmed by both Pearson and Spearman correlation. However, the results are ambivalent. The empirical results indicate that the more digitally developed member countries had a higher GDP per capita. However, the positive effect is different. The results confirm that the development of digitalization and GDP increased more dynamically in the more digitally developed EU member states than in the less developed member states. Therefore, an increase in the backwardness of the less developed member countries and not a catch-up can be obser</w:t>
      </w:r>
    </w:p>
    <w:p>
      <w:pPr/>
      <w:r>
        <w:rPr>
          <w:b/>
        </w:rPr>
        <w:t>POSSIBLE 2024:</w:t>
      </w:r>
      <w:r>
        <w:t xml:space="preserve"> Does Renewable Energy Matter for Economic Growth and Happiness? — https://doi.org/10.3390/en17112619</w:t>
      </w:r>
    </w:p>
    <w:p>
      <w:pPr/>
      <w:r>
        <w:rPr>
          <w:b/>
        </w:rPr>
        <w:t>Shared claim-specific concepts:</w:t>
      </w:r>
      <w:r>
        <w:t xml:space="preserve"> both, empirical; EU scope visible. This is a provisional connection, not an outcome finding.</w:t>
      </w:r>
    </w:p>
    <w:p>
      <w:pPr>
        <w:pStyle w:val="SourceNote"/>
      </w:pPr>
      <w:r>
        <w:rPr>
          <w:b/>
        </w:rPr>
        <w:t>Available abstract (not full text):</w:t>
      </w:r>
      <w:r>
        <w:t xml:space="preserve"> This paper investigates whether renewable energy influences economic growth and happiness. Using panel data from 25 European Union countries for the period 2012–2022, this study employs a panel model for estimation with fixed and random effects, and robust HAC standard errors. According to the research results, in general, the growing share of renewable energy in the energy mix has a positive impact on economic growth and the happiness of citizens. However, detailed research has shown that this effect depends on the type of energy; a significant positive impact was recorded only in solar share energy, wind share energy and economic growth. However, almost all types of renewable energy were included, i.e., biofuel, hydro, solar and other renewable share energy, and all had a significantly positive impact on the level of happiness. The exception was wind share energy, which showed a significant negative impact. The research findings of this paper provide empirical support for promoting renewable energy, which is positive both for economies and the happiness of citizens. It is one of the main aspects of sustainable economic growth.</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pStyle w:val="Heading2"/>
      </w:pPr>
      <w:r>
        <w:t>673.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2024:</w:t>
      </w:r>
      <w:r>
        <w:t xml:space="preserve"> Nature and Teleology in the De Anima: Context for Aristotelian Potentiality — https://doi.org/10.5334/met.150</w:t>
      </w:r>
    </w:p>
    <w:p>
      <w:pPr/>
      <w:r>
        <w:rPr>
          <w:b/>
        </w:rPr>
        <w:t>Shared claim-specific concepts:</w:t>
      </w:r>
      <w:r>
        <w:t xml:space="preserve"> given, nature, developments; EU scope not established. This is a provisional connection, not an outcome finding.</w:t>
      </w:r>
    </w:p>
    <w:p>
      <w:pPr>
        <w:pStyle w:val="SourceNote"/>
      </w:pPr>
      <w:r>
        <w:rPr>
          <w:b/>
        </w:rPr>
        <w:t>Available abstract (not full text):</w:t>
      </w:r>
      <w:r>
        <w:t xml:space="preserve"> This paper investigates contemporary applications of the Aristotelian conception of potentiality in limit cases of life and death arising from developments in modern science in order to argue that in its current usage, the term is often so far from its Aristotelian context that its philosophical rigor and, hence, usefulness is undermined. By analyzing the account of the soul in Aristotle’s De Anima, I argue for the necessity of a conception of nature that can contextualize the relevant sense of potentiality by giving a telos arising from the subject’s nature, which orients that subject’s potentiality. I argue that these contextualizing components of nature and teleology are necessary for using a philosophically rigorous sense of potentiality. I begin by surveying the current use of potentiality to delineate beginning and end-of-life cases in order to show that these various uses are not robust enough to offer answers to the challenging cases of life and death in a non ad hoc way. I then address John Lizza and Joel Feinberg’s suggestions for making the concept of potentiality more robust, namely, a more specified framework of ‘normal’ internal conditions and ‘important’ external conditions to which the subject’s potentialities can be referenced. I argue that the insufficiency of the current uses of potentiality is more specifically due to a lack of an Aristotelian conception of </w:t>
      </w:r>
    </w:p>
    <w:p>
      <w:pPr/>
      <w:r>
        <w:rPr>
          <w:b/>
        </w:rPr>
        <w:t>POSSIBLE 2024:</w:t>
      </w:r>
      <w:r>
        <w:t xml:space="preserve"> The Nature of Matter: An Inherent Element in the Interpretation of a Work of Art (Three-Dimensional) — https://doi.org/10.4236/adr.2024.124024</w:t>
      </w:r>
    </w:p>
    <w:p>
      <w:pPr/>
      <w:r>
        <w:rPr>
          <w:b/>
        </w:rPr>
        <w:t>Shared claim-specific concepts:</w:t>
      </w:r>
      <w:r>
        <w:t xml:space="preserve"> given, nature, work, complexity, they, techniques; EU scope not established. This is a provisional connection, not an outcome finding.</w:t>
      </w:r>
    </w:p>
    <w:p>
      <w:pPr>
        <w:pStyle w:val="SourceNote"/>
      </w:pPr>
      <w:r>
        <w:rPr>
          <w:b/>
        </w:rPr>
        <w:t>Available abstract (not full text):</w:t>
      </w:r>
      <w:r>
        <w:t xml:space="preserve"> In the arena of contemporary culture, the interpretation of a work of art is often based more on elements such as the thought of the artist, his influential reputation, and the theme or subject (such as the title of the work) than on the simple technique used (procedure, materials, and equipment) (Bal &amp; Bryson, 1991). However, it is essential to recognize that often overlooked techniques contain fundamental elements necessary for creating and analyzing a work of art. One crucial aspect of a piece of art is the matter (medium) from which it is made. Therefore, it is wise to consider this element for a more in-depth and nuanced understanding of the work. After an in-depth analysis of matter as a critical element in interpreting a work of art, we understand that matter, in its natural state, does not communicate directly by transmitting information. “The material is crafted through the skill of the artist”. The artwork may undergo transformation during the modelling process based on its art form. It acquires the capacity to arouse impressions and awaken sensitivities in the contemplator or the art critic (Chari, 2021). By mastering his technique, the artist manages to transcend the raw material to give it new life and a deeper meaning. By creatively manipulating the material, the artist manages to express emotions and ideas and elucidate concepts that transcend material limits to </w:t>
      </w:r>
    </w:p>
    <w:p>
      <w:pPr/>
      <w:r>
        <w:rPr>
          <w:b/>
        </w:rPr>
        <w:t>POSSIBLE 2024:</w:t>
      </w:r>
      <w:r>
        <w:t xml:space="preserve"> Patience Taught by Nature — https://doi.org/10.4324/9781003328810-35</w:t>
      </w:r>
    </w:p>
    <w:p>
      <w:pPr/>
      <w:r>
        <w:rPr>
          <w:b/>
        </w:rPr>
        <w:t>Shared claim-specific concepts:</w:t>
      </w:r>
      <w:r>
        <w:t xml:space="preserve"> given, nature, work, they, them; EU scope not established. This is a provisional connection, not an outcome finding.</w:t>
      </w:r>
    </w:p>
    <w:p>
      <w:pPr>
        <w:pStyle w:val="SourceNote"/>
      </w:pPr>
      <w:r>
        <w:rPr>
          <w:b/>
        </w:rPr>
        <w:t>Available abstract (not full text):</w:t>
      </w:r>
      <w:r>
        <w:t xml:space="preserve"> First published in Poems (1844) and included in 1850–6, the sonnet exists in an untitled draft (D0710) beginning ‘O weary life we say, o weary life’ in Berg Notebook II (D1398), which is dated 1843 and contains drafts for the 1844 Poems , among them four other sonnets: ‘Discontent’, which precedes this poem in all editions; and the companion ‘Cheerfulness Taught by Reason’ as well as ‘Exaggeration’ and ‘Adequacy’, which always follow it in that order. J. Ferrier reviewing for Blackwood’s (November 1844) cited the poem in full, one of five sonnets he included to illustrate ‘Miss Barrett’s genius’, the stylistic finish and the ‘depth and purity of sentiment’ in her best work ( BC , vol. 9, pp. 351–2); S[arah] F[lower] Adams in the Westminster Review (December 1844) also quoted the full poem ( BC , vol. 9, pp. 376–7). The Southern Quarterly Review (April 1845) named it with ‘Work’ as the two best sonnets – ‘if such they may be called’, given their irregularity – for the two ‘abound in beautiful and truthful thoughts’ ( BC , vol. 10, p. 387). To the Eclectic Review (November 1846), it exemplified EBB’s talent for representing abstract universals through commonplace particulars ( BC , vol. 14, p. 378).</w:t>
      </w:r>
    </w:p>
    <w:p>
      <w:pPr>
        <w:pStyle w:val="Heading2"/>
      </w:pPr>
      <w:r>
        <w:t>674.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2023:</w:t>
      </w:r>
      <w:r>
        <w:t xml:space="preserve"> Cruel Conquerors and a Solomonic Saint: European Collectors’ Interests in Indian Muraqqaʿs — https://doi.org/10.1515/9783111321462-004</w:t>
      </w:r>
    </w:p>
    <w:p>
      <w:pPr/>
      <w:r>
        <w:rPr>
          <w:b/>
        </w:rPr>
        <w:t>Shared claim-specific concepts:</w:t>
      </w:r>
      <w:r>
        <w:t xml:space="preserve"> period, other, indian; EU scope visible. This is a provisional connection, not an outcome finding.</w:t>
      </w:r>
    </w:p>
    <w:p>
      <w:pPr>
        <w:pStyle w:val="SourceNote"/>
      </w:pPr>
      <w:r>
        <w:rPr>
          <w:b/>
        </w:rPr>
        <w:t>Available abstract (not full text):</w:t>
      </w:r>
      <w:r>
        <w:t xml:space="preserve"> The essay argues that Europeans living and acting in India during the second half of the eighteenth century - the period before India became part of the colonial British Empire - were interested in collecting specific motifs within the Indian albums (muraqqaʿs) that they acquired and often commissioned. The study examines three recurrent portraits. Timur and Nadir Shah - both conquerors of India of Turkic origin - might have been regarded as historical role models by the French and British representatives who then strove to infiltrate the centres of Mughal power. Conversely, the Sufi saint Ibrahim ibn-i Adham might have represented the religious dimension of Indian society. The two contrasting motifs presumably also conveyed the persistent cliché of Muslim violence on the one hand and, on the other, the passivity ascribed in European texts to the Indian population.</w:t>
      </w:r>
    </w:p>
    <w:p>
      <w:pPr/>
      <w:r>
        <w:rPr>
          <w:b/>
        </w:rPr>
        <w:t>POSSIBLE 2023:</w:t>
      </w:r>
      <w:r>
        <w:t xml:space="preserve"> Dynamic Spillovers of Economic Policy Uncertainty Across the US, Europe, and East Asia — https://doi.org/10.1080/1226508x.2023.2243066</w:t>
      </w:r>
    </w:p>
    <w:p>
      <w:pPr/>
      <w:r>
        <w:rPr>
          <w:b/>
        </w:rPr>
        <w:t>Shared claim-specific concepts:</w:t>
      </w:r>
      <w:r>
        <w:t xml:space="preserve"> period, other, because, affect; EU scope visible. This is a provisional connection, not an outcome finding.</w:t>
      </w:r>
    </w:p>
    <w:p>
      <w:pPr>
        <w:pStyle w:val="SourceNote"/>
      </w:pPr>
      <w:r>
        <w:rPr>
          <w:b/>
        </w:rPr>
        <w:t>Available abstract (not full text):</w:t>
      </w:r>
      <w:r>
        <w:t xml:space="preserve"> This study investigates the dynamic spillovers and asymmetric connectedness of economic policy uncertainty across different economies that primarily affect Korea, that is, the US, Europe, China, and Japan. We find that dynamic connectedness over time is closely associated with substantial economic disruptions because shocks to economic policy uncertainty tend to spill over to a greater extent during turbulent times. The investigation of the economic policy uncertainty transmission mechanism reveals that while the US and Europe are the main transmitters of uncertainty shocks, China, Japan, and Korea are the receivers over the sample period. However, China became a strong transmitter to other economies in 2020. Overall, our findings suggest that economic circumstances can lead to asymmetric connectedness among the corresponding economies and significant spillovers from major economies to Korea through economic policy uncertainty.</w:t>
      </w:r>
    </w:p>
    <w:p>
      <w:pPr/>
      <w:r>
        <w:rPr>
          <w:b/>
        </w:rPr>
        <w:t>POSSIBLE 2023:</w:t>
      </w:r>
      <w:r>
        <w:t xml:space="preserve"> Volatility Spillover Among the Sectoral Indices of the Indian Capital Market : Evidence from the COVID Period — https://doi.org/10.17010/ijf/2023/v17i9/173183</w:t>
      </w:r>
    </w:p>
    <w:p>
      <w:pPr/>
      <w:r>
        <w:rPr>
          <w:b/>
        </w:rPr>
        <w:t>Shared claim-specific concepts:</w:t>
      </w:r>
      <w:r>
        <w:t xml:space="preserve"> period, suggested, indian; EU scope not established. This is a provisional connection, not an outcome finding.</w:t>
      </w:r>
    </w:p>
    <w:p>
      <w:pPr>
        <w:pStyle w:val="SourceNote"/>
      </w:pPr>
      <w:r>
        <w:rPr>
          <w:b/>
        </w:rPr>
        <w:t>Available abstract (not full text):</w:t>
      </w:r>
      <w:r>
        <w:t xml:space="preserve"> Purpose : The study aimed to empirically investigate the asymmetric volatility spillover relationship among the sectors of the Indian capital market during the COVID-19 period. Methodology : The study employed the asymmetric dynamic conditional correlation (ADCC) model to measure volatility spillover among the sectoral indices with asymmetric effects to assess the impact of bad news. The study further calculated the time-varying conditional correlation. Findings : The empirical analysis indicated short-run and long-run volatility persistence among sectoral indices of the Indian capital market. Furthermore, the results also showed the significant effect of bad news on the volatility of the sectoral indices. The time-varying conditional correlation suggested a high correlation among the sectoral indices during COVID-19. So, there was only a limited opportunity for portfolio diversification among these sectors during the crisis period. Practical Implications : The findings may assist financial advisors in assessing the relationship among sectors of the Indian capital market during the crisis period. While constructing the equity investment portfolio during the crisis period, financial managers must wait for the market to stabilize before determining whether sector diversification is appropriate or required. Originality : The ADCC model presented previously unresearched evidence of</w:t>
      </w:r>
    </w:p>
    <w:p>
      <w:pPr/>
      <w:r>
        <w:rPr>
          <w:b/>
        </w:rPr>
        <w:t>POSSIBLE 2022:</w:t>
      </w:r>
      <w:r>
        <w:t xml:space="preserve"> Pyrogeography: An Alternative Zonation for Europe — https://doi.org/10.3390/environsciproc2022017080</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first_page settings Order Article Reprints Font Type: Arial Georgia Verdana Font Size: Aa Aa Aa Line Spacing:    Column Width:    Background: Open AccessAbstract Pyrogeography: An Alternative Zonation for Europe † by Luiz Felipe Galizia 1,2,*, Renaud Barbero 1, Marcos Rodrigues 3,4 and Thomas Curt 1 1 RECOVER, INRAE, 13182 Aix-en-Provence, France 2 Doctoral School Environmental Sciences, Aix-Marseille University, 13007 Marseille, France 3 Department of Geography, University of Zaragoza, 50009 Zaragoza, Spain 4 Department of Agriculture and Forest Engineering, University of Lleida, 25003 Lleida, Spain * Author to whom correspondence should be addressed. † Presented at the Third International Conference on Fire Behavior and Risk, Sardinia, Italy, 3–6 May 2022. Environ. Sci. Proc. 2022, 17(1), 80; https://doi.org/10.3390/environsciproc2022017080 Published: 16 August 2022 (This article belongs to the Proceedings of The Third International Conference on Fire Behavior and Risk) Download Download PDF Download XML Download Epub Browse Figure Versions Notes Studies dealing with wildland fire at global or continental scales normally use coarse-resolution spatial units, within which fire-regime components are aggregated for statistical purposes. Here, we developed the first European pyrogeography based on different fire-regime components to better capture the spatial heterogeneity o</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pStyle w:val="Heading2"/>
      </w:pPr>
      <w:r>
        <w:t>675.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2025:</w:t>
      </w:r>
      <w:r>
        <w:t xml:space="preserve"> Competency‐based European training requirements for the specialty of ophthalmology. Recommendations from the UEMS section of ophthalmology and the European Board of Ophthalmology — https://doi.org/10.1111/aos.17575</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2025:</w:t>
      </w:r>
      <w:r>
        <w:t xml:space="preserve"> Core competencies in pharmaceutical education: a Chinese student perspective — https://doi.org/10.1186/s12909-025-07686-7</w:t>
      </w:r>
    </w:p>
    <w:p>
      <w:pPr/>
      <w:r>
        <w:rPr>
          <w:b/>
        </w:rPr>
        <w:t>Shared claim-specific concepts:</w:t>
      </w:r>
      <w:r>
        <w:t xml:space="preserve"> core, competencies, professional; EU scope not established. This is a provisional connection, not an outcome finding.</w:t>
      </w:r>
    </w:p>
    <w:p>
      <w:pPr>
        <w:pStyle w:val="SourceNote"/>
      </w:pPr>
      <w:r>
        <w:rPr>
          <w:b/>
        </w:rPr>
        <w:t>Available abstract (not full text):</w:t>
      </w:r>
      <w:r>
        <w:t xml:space="preserve"> BACKGROUND: From the students' perspective, the research evaluates their views on core competencies and their own developmental needs within pharmaceutical education, attempting to explore potential pathways for optimizing students' core competencies. This study seeks to enhance students' core competencies, enrich learning and development theories, and establish a basis and reference for cultivating high-caliber pharmaceutical talents. METHODS: Establishing a core competency index system for pharmacy major, a survey questionnaire comprising 41 items across four dimensions (knowledge, skills, abilities, and values) was designed. Using stratified cluster sampling, 919 valid responses were collected. Descriptive statistics, variance analysis, and chi-square test were used to analyze the perceptions of pharmaceutical students on core competencies' importance for professional growth and their satisfaction with teaching, and to examine disparities in the development of core competencies among different groups of students. RESULTS: The study revealed deficiencies in pharmaceutical students' core competencies regarding artificial intelligence, pharmaceutical application, medical care, etc. Differential analysis indicated that significant differences across education levels: undergraduates prioritized foundational knowledge and ethical norms, while postgraduates emphasized project-based</w:t>
      </w:r>
    </w:p>
    <w:p>
      <w:pPr/>
      <w:r>
        <w:rPr>
          <w:b/>
        </w:rPr>
        <w:t>POSSIBLE 2025:</w:t>
      </w:r>
      <w:r>
        <w:t xml:space="preserve"> South Asian Medical Schools Must Include "Resident as a Teacher", One of the Core Competencies in the Curriculum of Postgraduate Trainees — https://doi.org/10.22442/jlumhs.2025.01388</w:t>
      </w:r>
    </w:p>
    <w:p>
      <w:pPr/>
      <w:r>
        <w:rPr>
          <w:b/>
        </w:rPr>
        <w:t>Shared claim-specific concepts:</w:t>
      </w:r>
      <w:r>
        <w:t xml:space="preserve"> core, competencies, must, training; EU scope not established. This is a provisional connection, not an outcome finding.</w:t>
      </w:r>
    </w:p>
    <w:p>
      <w:pPr>
        <w:pStyle w:val="SourceNote"/>
      </w:pPr>
      <w:r>
        <w:rPr>
          <w:b/>
        </w:rPr>
        <w:t>Available abstract (not full text):</w:t>
      </w:r>
      <w:r>
        <w:t xml:space="preserve"> The postgraduate trainee in the medical field is commonly referred to as a resident around the world. Residents are an indispensable part of the health care workforce in almost all teaching hospitals and medical schools across the globe. Residency is an in-service learning and training1. The resident of any specialty performs multiple roles during the specified training period, such as learner, healthcare provider, teacher, researcher and sometimes administrator too2-4. Residents are considered an integral part of both undergraduate and postgraduate medical education2. Globally, residents are engaged in teaching, formally or informally, to their junior colleagues and medical students4. In other words, a teacher is one of the critical roles a resident plays during their residency training period3. Residents typically spend approximately one-fourth of their training time teaching junior residents and students3,5,7. Statutory bodies governing the medical education in some of the countries have developed norms or guiding principle for the training "Resident as teacher or educator", but the curriculum for such types of training vary across schools, departments and specialties.</w:t>
      </w:r>
    </w:p>
    <w:p>
      <w:pPr/>
      <w:r>
        <w:rPr>
          <w:b/>
        </w:rPr>
        <w:t>POSSIBLE 2025:</w:t>
      </w:r>
      <w:r>
        <w:t xml:space="preserve"> Revisiting the Competency-Based Paradigm in Primary Education: Unpacking the Spiral Curriculum Approach — https://doi.org/10.29333/iji.2026.19121a</w:t>
      </w:r>
    </w:p>
    <w:p>
      <w:pPr/>
      <w:r>
        <w:rPr>
          <w:b/>
        </w:rPr>
        <w:t>Shared claim-specific concepts:</w:t>
      </w:r>
      <w:r>
        <w:t xml:space="preserve"> competencies, process, promote, educational; EU scope visible. This is a provisional connection, not an outcome finding.</w:t>
      </w:r>
    </w:p>
    <w:p>
      <w:pPr>
        <w:pStyle w:val="SourceNote"/>
      </w:pPr>
      <w:r>
        <w:rPr>
          <w:b/>
        </w:rPr>
        <w:t>Available abstract (not full text):</w:t>
      </w:r>
      <w:r>
        <w:t xml:space="preserve"> Key competencies have become central to international education policy, driving curriculum reform since the early 21st century. This trend continues through initiatives such as STEAM and policy guidance from the OECD, which promote the development of competency-based, high- quality education systems. This study explores the ideological and pedagogical framework of Spain´s Primary Education system through a case study conducted within a naturalistic-interpretative paradigm in the Region of Murcia, one of the first autonomous communities to implement competency-based education. Data were collected through document analysis and semi-structured interviews with teachers in various roles and educational inspectors. The research process included collaborative report development and expert triangulation to ensure validity and rigor. Findings reveal persistent epistemological ambiguities in defining key competences, as well as tensions between behaviorist-economic and constructivist-humanistic approaches to implementation. The study concludes that successfully enacting competency-based education in Spain requires not only curricular alignment but also greater epistemological and pedagogical coherence.</w:t>
      </w:r>
    </w:p>
    <w:p>
      <w:pPr>
        <w:pStyle w:val="Heading2"/>
      </w:pPr>
      <w:r>
        <w:t>676.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r>
        <w:rPr>
          <w:b/>
        </w:rPr>
        <w:t>POSSIBLE 2025:</w:t>
      </w:r>
      <w:r>
        <w:t xml:space="preserve"> Development of Low-Carbon Autoclaved Aerated Concrete Using an Alkali-Activated Ground Granulated Blast Furnace Slag and Calcium Carbide Slag — https://doi.org/10.3390/app15189946</w:t>
      </w:r>
    </w:p>
    <w:p>
      <w:pPr/>
      <w:r>
        <w:rPr>
          <w:b/>
        </w:rPr>
        <w:t>Shared claim-specific concepts:</w:t>
      </w:r>
      <w:r>
        <w:t xml:space="preserve"> ccs, blast, furnace, replacement; EU scope not established. This is a provisional connection, not an outcome finding.</w:t>
      </w:r>
    </w:p>
    <w:p>
      <w:pPr>
        <w:pStyle w:val="SourceNote"/>
      </w:pPr>
      <w:r>
        <w:rPr>
          <w:b/>
        </w:rPr>
        <w:t>Available abstract (not full text):</w:t>
      </w:r>
      <w:r>
        <w:t xml:space="preserve"> The environmental impact of traditional construction materials has led to increasing interest in developing more sustainable alternatives. This study addresses the development of low-carbon autoclaved aerated concrete (AAC) through the complete replacement of ordinary Portland cement (OPC) with ground granulated blast furnace slag (BFS), activated with lime and, in some formulations, supplemented with calcium carbide slag (CCS). Five different AAC mixtures were prepared and evaluated in terms of workability, foaming behavior, compressive strength, phase composition, density, thermal conductivity, and life cycle assessment (LCA). The BFS-based mixtures activated with lime exhibited good workability and foaming stability. After pre-curing, the addition of CCS significantly improved the formation of tobermorite during autoclaving. As a result, the BFS–CCS formulations achieved compressive strengths comparable to the reference OPC-based mix while maintaining low densities (420–441 kg/m3) and thermal conductivities in the range of 0.111–0.119 W/(m·K). These results confirm the technical feasibility of producing structural-grade AAC with a lower environmental footprint.</w:t>
      </w:r>
    </w:p>
    <w:p>
      <w:pPr>
        <w:pStyle w:val="Heading2"/>
      </w:pPr>
      <w:r>
        <w:t>677.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2024:</w:t>
      </w:r>
      <w:r>
        <w:t xml:space="preserve"> What makes health systems resilient? An analytical framework drawing on European learnings from the COVID-19 pandemic based on a multitiered approach — https://doi.org/10.1136/bmjph-2023-000378</w:t>
      </w:r>
    </w:p>
    <w:p>
      <w:pPr/>
      <w:r>
        <w:rPr>
          <w:b/>
        </w:rPr>
        <w:t>Shared claim-specific concepts:</w:t>
      </w:r>
      <w:r>
        <w:t xml:space="preserve"> finally, drawing, covid-19, pandemic, need, spectrum; EU scope visible. This is a provisional connection, not an outcome finding.</w:t>
      </w:r>
    </w:p>
    <w:p>
      <w:pPr>
        <w:pStyle w:val="SourceNote"/>
      </w:pPr>
      <w:r>
        <w:rPr>
          <w:b/>
        </w:rPr>
        <w:t>Available abstract (not full text):</w:t>
      </w:r>
      <w:r>
        <w:t xml:space="preserve"> Introduction: The COVID-19 pandemic posed an unprecedented challenge, which caught many health systems widely unprepared. The aim of this research was to develop a comprehensive analytical framework on health system resilience in the context of pandemics. In addition to serving as a tool to analyse the preparedness and resilience of health systems, the framework is intended to provide guidance to decision-makers in health policy. Methods: The analytical framework was developed based on a multitiered approach. A comprehensive review of the existing literature was conducted to identify relevant frameworks on health system resilience (published between 1 January 2000 and 30 November 2021) and determinants of resilience that emerged during the COVID-19 pandemic. Input was then gathered in several rounds of consultations with designated field experts and stakeholders, drawing on their experiences from the pandemic. Finally, the framework was empirically validated in several case studies. Results: The framework distinguishes between prerequisites of resilience, pertaining to precautions to be taken in 'normal' times, and response strategies in the face of shocks. Both sections are further divided into six building blocks that were adapted from the WHO health system framework: governance and leadership, information and research, financing, physical resources, human resources, and serv</w:t>
      </w:r>
    </w:p>
    <w:p>
      <w:pPr/>
      <w:r>
        <w:rPr>
          <w:b/>
        </w:rPr>
        <w:t>POSSIBLE 2024:</w:t>
      </w:r>
      <w:r>
        <w:t xml:space="preserve"> Assessing the Differentiated Impacts of COVID-19 on the Immigration Flows to Europe — https://doi.org/10.1177/01979183241242445</w:t>
      </w:r>
    </w:p>
    <w:p>
      <w:pPr/>
      <w:r>
        <w:rPr>
          <w:b/>
        </w:rPr>
        <w:t>Shared claim-specific concepts:</w:t>
      </w:r>
      <w:r>
        <w:t xml:space="preserve"> drawing, covid-19, pandemic, explore; EU scope visible. This is a provisional connection, not an outcome finding.</w:t>
      </w:r>
    </w:p>
    <w:p>
      <w:pPr>
        <w:pStyle w:val="SourceNote"/>
      </w:pPr>
      <w:r>
        <w:rPr>
          <w:b/>
        </w:rPr>
        <w:t>Available abstract (not full text):</w:t>
      </w:r>
      <w:r>
        <w:t xml:space="preserve"> The immediate effects of COVID-19 on mortality, fertility, and internal and international migration have been widely studied. Particularly, immigration to high-income countries declined in 2020. However, the persistence of these declines and the extent to which they have impacted different migration flows are yet to be established. Drawing on immigration flows from Eurostat and Autoregressive Integrated Moving Average (ARIMA) time-series models, we assess the impact of COVID-19 on different immigration streams to seven European countries. We forecast counterfactual levels of immigration in 2020 and 2021 assuming no pandemic, and compare these estimates with actual immigration counts. We use regression modeling to explore the role of immigrants’ origin, distance, stringency measures, and gross domestic product (GDP) trends at origins and destinations as potential driving forces of changes in immigration during COVID-19. Our results show that, while there was a general decline in immigration during 2020, inflows returned to expected levels in 2021, except for Spain. However, drops in immigration flows from countries outside the Schengen Area to Europe persisted in 2021. Immigrants’ origin emerged as the main factor modulating immigration changes during the pandemic, and to a lesser extent stringency measures and GDP trends in destination countries. Contextual factors at origin se</w:t>
      </w:r>
    </w:p>
    <w:p>
      <w:pPr/>
      <w:r>
        <w:rPr>
          <w:b/>
        </w:rPr>
        <w:t>POSSIBLE 2024:</w:t>
      </w:r>
      <w:r>
        <w:t xml:space="preserve"> Why Do We Need Participatory Democratic Innovations in Southeast Europe? — https://doi.org/10.4324/9781003426103-1</w:t>
      </w:r>
    </w:p>
    <w:p>
      <w:pPr/>
      <w:r>
        <w:rPr>
          <w:b/>
        </w:rPr>
        <w:t>Shared claim-specific concepts:</w:t>
      </w:r>
      <w:r>
        <w:t xml:space="preserve"> need, innovations, explore; EU scope visible. This is a provisional connection, not an outcome finding.</w:t>
      </w:r>
    </w:p>
    <w:p>
      <w:pPr>
        <w:pStyle w:val="SourceNote"/>
      </w:pPr>
      <w:r>
        <w:rPr>
          <w:b/>
        </w:rPr>
        <w:t>Available abstract (not full text):</w:t>
      </w:r>
      <w:r>
        <w:t xml:space="preserve"> This chapter is an opening to the edited volume that critically examines the intersection of social movements, participatory governance and democratic innovations in Southeast Europe. We introduce the chapters that explore the historical experiences and the contemporary evolving landscape of democracy in the region, discussing the challenges of representative democracy, rising autocratization and the potential for democratic innovations in creating more inclusive societies. The contributors to this volume assess the connections between participatory models with civic engagement and institutional practices, shedding light on the dynamic relationship between bottom-up activism and top-down governance.</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pStyle w:val="Heading2"/>
      </w:pPr>
      <w:r>
        <w:t>678.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r>
        <w:rPr>
          <w:b/>
        </w:rPr>
        <w:t>POSSIBLE 2024:</w:t>
      </w:r>
      <w:r>
        <w:t xml:space="preserve"> Reading The Literature on Female Labor Force Participation Rates with Content Analysis — https://doi.org/10.55065/intraders.1499108</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study aims to examine the literature on female labor force participation rates through qualitative content analysis. Data samples include international scientific research articles from the Scopus data base for (2000-2023). Data were collected by transferring the articles to the MAXQDA 2020 software and coding the themes with the software. Expert control used to ensure the reliability of the research. Our study allowed us to see the changing dimensions of the subject in the articles examined. The focus points were based on the research method used in the publications, theoretical framework, increasing FLFP and its reasons, reasons for the decrease, the direction and size of the variables affecting FLFP changing over time, starting from the date of publication. When the reasons for the increase in women's participation in the workforce are examined, it is seen that factors such as education, increased childcare opportunities, age factor, adaptation to home technologies, women being married and wages are effective, respectively. Accordingly; the "wage factor" is not as obvious as it is thought in the increase in women's participation in the workforce. When the reasons for the decrease in women's participation in the workforce are examined, it is seen that there are fertility, alcohol consumption and transportation problems. It is seen that these obstacles are gender-related,</w:t>
      </w:r>
    </w:p>
    <w:p>
      <w:pPr/>
      <w:r>
        <w:rPr>
          <w:b/>
        </w:rPr>
        <w:t>POSSIBLE 2024:</w:t>
      </w:r>
      <w:r>
        <w:t xml:space="preserve"> Labor Force Participation of Central American Migrant Women in Mexico — https://doi.org/10.3390/socsci13030135</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Central Americans living in Mexico remain a small group (100 thousand) relative to the size of the Mexican population. However, they experienced accelerated growth between 2000 and 2020, with Guatemalans as the largest group and Hondurans as the most dynamic one. The previous literature has found a positive and significant, albeit decreasing, income advantage of Central American workers in Mexico. Meanwhile, the percentage of migrant women reported as spouses has gone down and the female labor force has increased. The paper uses information from the 2000, 2010, and 2020 Mexican censuses as well as the 2015 Intercensal Survey to compare access to the labor market for men and women from Guatemala, El Salvador, and Honduras residing in Mexico. We compare marital status, female labor force participation, main economic sectors, human capital, and income levels of the men and women of each of the three nationalities considered, seeking to identify from a gender perspective the differentiated labor performance of each nationality.</w:t>
      </w:r>
    </w:p>
    <w:p>
      <w:pPr/>
      <w:r>
        <w:rPr>
          <w:b/>
        </w:rPr>
        <w:t>POSSIBLE 2024:</w:t>
      </w:r>
      <w:r>
        <w:t xml:space="preserve"> Social Status, Economic Development and Female Labor Force (Non) Participation — https://doi.org/10.3386/w32946</w:t>
      </w:r>
    </w:p>
    <w:p>
      <w:pPr/>
      <w:r>
        <w:rPr>
          <w:b/>
        </w:rPr>
        <w:t>Shared claim-specific concepts:</w:t>
      </w:r>
      <w:r>
        <w:t xml:space="preserve"> participation, even; EU scope not established. This is a provisional connection, not an outcome finding.</w:t>
      </w:r>
    </w:p>
    <w:p>
      <w:pPr>
        <w:pStyle w:val="SourceNote"/>
      </w:pPr>
      <w:r>
        <w:rPr>
          <w:b/>
        </w:rPr>
        <w:t>Available abstract (not full text):</w:t>
      </w:r>
      <w:r>
        <w:t xml:space="preserve"> This research provides a status-based explanation for the persistent increase in female labor force non-participation (FLFNP) that often accompanies economic development. This explanation is based on the idea that households or ethnic groups in developing economies can signal their wealth, and thereby increase their social status, by withdrawing their women from the labor force. If the value of social status or the willingness to bear the signaling cost is increasing with economic development, then this would explain the persistent increase in FLFNP. To provide empirical support for this argument, we utilize two independent sources of exogenous variation—across Indian districts in the cross-section and within districts over time—to establish that status considerations determine rural FLFNP. Our status-based model, which is used to derive the preceding tests, is able to match the increase in rural Indian FLFNP that motivates our analysis. Counterfactual simulations of the estimated model indicate that conventional policy prescriptions, such as a reduction in the cost of female education, could {\em raise} FLFNP by increasing potential household incomes and, hence, the willingness to compete for social status. The steep increase in female education in recent decades could paradoxically have increased FLFNP in India even further.</w:t>
      </w:r>
    </w:p>
    <w:p>
      <w:pPr/>
      <w:r>
        <w:rPr>
          <w:b/>
        </w:rPr>
        <w:t>POSSIBLE 2024:</w:t>
      </w:r>
      <w:r>
        <w:t xml:space="preserve"> How fiscal policies reduce labor force participation in open economies: evidence on the tax competition and compensation hypotheses — https://doi.org/10.58088/c9we-p438</w:t>
      </w:r>
    </w:p>
    <w:p>
      <w:pPr/>
      <w:r>
        <w:rPr>
          <w:b/>
        </w:rPr>
        <w:t>Shared claim-specific concepts:</w:t>
      </w:r>
      <w:r>
        <w:t xml:space="preserve"> participation, high, integration; EU scope not established. This is a provisional connection, not an outcome finding.</w:t>
      </w:r>
    </w:p>
    <w:p>
      <w:pPr>
        <w:pStyle w:val="SourceNote"/>
      </w:pPr>
      <w:r>
        <w:rPr>
          <w:b/>
        </w:rPr>
        <w:t>Available abstract (not full text):</w:t>
      </w:r>
      <w:r>
        <w:t xml:space="preserve"> The competition hypothesis states that high capital mobility associated with market integration places downward pressures on capital tax and social expenditure while the compensation hypothesis asserts that market integration results in an expansion of social expenditures and higher taxes. I found evidence of their coexistence and interaction. The behavior of the tax policy reveals evidence supporting the tax competition hypothesis and social spending patterns exhibit evidence for the compensation hypothesis. I take a further step analyzing their impacts on the labor market. In line with theory, two fiscal responses are found to have negative impacts on the labor force participation rate. The impact from the compensative social expenditure is found to be stronger than that of the tax policy because it not only reduces the labor participation directly but also raises additional burden on the labor tax because market integration limits the government's choice of tax.</w:t>
      </w:r>
    </w:p>
    <w:p>
      <w:pPr>
        <w:pStyle w:val="Heading2"/>
      </w:pPr>
      <w:r>
        <w:t>679.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r>
        <w:rPr>
          <w:b/>
        </w:rPr>
        <w:t>POSSIBLE 2025:</w:t>
      </w:r>
      <w:r>
        <w:t xml:space="preserve"> The elephant in the room: the European Council’s dominance in core state powers during times of crisis — https://doi.org/10.1080/14782804.2025.2577136</w:t>
      </w:r>
    </w:p>
    <w:p>
      <w:pPr/>
      <w:r>
        <w:rPr>
          <w:b/>
        </w:rPr>
        <w:t>Shared claim-specific concepts:</w:t>
      </w:r>
      <w:r>
        <w:t xml:space="preserve"> establishment, powers, process, role; EU scope visible. This is a provisional connection, not an outcome finding.</w:t>
      </w:r>
    </w:p>
    <w:p>
      <w:pPr>
        <w:pStyle w:val="SourceNote"/>
      </w:pPr>
      <w:r>
        <w:rPr>
          <w:b/>
        </w:rPr>
        <w:t>Available abstract (not full text):</w:t>
      </w:r>
      <w:r>
        <w:t xml:space="preserve"> This article examines the role of the European Council in shaping the EU’s policy response to three crises in ‘core state power’ policy areas, namely the COVID-19 pandemic (budgetary and financial assistance policy), the Russian invasion of Ukraine (common foreign and security policy) and the rule of law controversy (identity and constitutional policy). It carries out a theory-building process-tracing analysis of dominance exerted by the European Council over the decision-making process that led to the establishment of the Recovery and Resilience Facility, sanctions against Russia and the rule of law conditionality system respectively. The findings shed light on exactly how the European Council, in the presence of crises involving ‘core state powers’, is able to exercise decision-making powers beyond the letter of the treaties, relegating the other EU institutions to a consultative or implementing role. These findings can be generalised across different crises framed at the EU level which tap into the realm of core state powers.</w:t>
      </w:r>
    </w:p>
    <w:p>
      <w:pPr/>
      <w:r>
        <w:rPr>
          <w:b/>
        </w:rPr>
        <w:t>POSSIBLE 2025:</w:t>
      </w:r>
      <w:r>
        <w:t xml:space="preserve"> Decolonising teacher education for sustainability in Zimbabwe — https://doi.org/10.64645/nust.tej.1.1.283</w:t>
      </w:r>
    </w:p>
    <w:p>
      <w:pPr/>
      <w:r>
        <w:rPr>
          <w:b/>
        </w:rPr>
        <w:t>Shared claim-specific concepts:</w:t>
      </w:r>
      <w:r>
        <w:t xml:space="preserve"> establishment, efforts, decolonise, process, role; EU scope not established. This is a provisional connection, not an outcome finding.</w:t>
      </w:r>
    </w:p>
    <w:p>
      <w:pPr>
        <w:pStyle w:val="SourceNote"/>
      </w:pPr>
      <w:r>
        <w:rPr>
          <w:b/>
        </w:rPr>
        <w:t>Available abstract (not full text):</w:t>
      </w:r>
      <w:r>
        <w:t xml:space="preserve"> In the post-colonial period, the establishment of new teachers' colleges alongside the Education 5.0 initiative signifies a critical paradigm shift aimed at fostering innovation and industrialisation in teacher education. This paper argues that current teacher education programmes are focused on decolonising higher education by promoting creativity and sustainability, addressing the deficiencies inherited from the colonial era. The study examines the government's role in decolonising teacher education in post independent Zimbabwe. Employing a qualitative research methodology with a case study design, data were collected through interviews, questionnaires, and archival research, focusing on Hwange College. Participants included ten lecturers, twenty student teachers, and the college principal, selected through stratified random and purposive sampling methods. The findings reveal that remnants of colonial influences persist, with current programmes leaning towards knowledge acquisition over practical skills. Although many participants felt adherence to Education 5.0 is largely superficial, efforts to decolonise the curriculum are underway, particularly through the incorporation of indigenous languages and relevant subjects. Nevertheless, challenges such as limited resources and deeply entrenched Eurocentric practices impede the decolonial process in the light of education 5.0. Th</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pStyle w:val="Heading2"/>
      </w:pPr>
      <w:r>
        <w:t>680.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2025:</w:t>
      </w:r>
      <w:r>
        <w:t xml:space="preserve"> Evolutionarily distinct lineages of a migratory bird of prey show divergent responses to climate change — https://doi.org/10.1038/s41467-025-58617-5</w:t>
      </w:r>
    </w:p>
    <w:p>
      <w:pPr/>
      <w:r>
        <w:rPr>
          <w:b/>
        </w:rPr>
        <w:t>Shared claim-specific concepts:</w:t>
      </w:r>
      <w:r>
        <w:t xml:space="preserve"> show, divergent, climate; EU scope visible. This is a provisional connection, not an outcome finding.</w:t>
      </w:r>
    </w:p>
    <w:p>
      <w:pPr>
        <w:pStyle w:val="SourceNote"/>
      </w:pPr>
      <w:r>
        <w:rPr>
          <w:b/>
        </w:rPr>
        <w:t>Available abstract (not full text):</w:t>
      </w:r>
      <w:r>
        <w:t xml:space="preserve"> Accurately predicting species' responses to anthropogenic climate change is hampered by limited knowledge of their spatiotemporal ecological and evolutionary dynamics. We combine landscape genomics, demographic reconstructions, and species distribution models to assess the eco-evolutionary responses to past climate fluctuations and to future climate of an Afro-Palaearctic migratory raptor, the lesser kestrel (Falco naumanni). We uncover two evolutionarily and ecologically distinct lineages (European and Asian), whose demographic history, evolutionary divergence, and historical distribution range were profoundly shaped by past climatic fluctuations. Using future climate projections, we find that the Asian lineage is at higher risk of range contraction, increased migration distance, climate maladaptation, and consequently greater extinction risk than the European lineage. Our results emphasise the importance of providing historical context as a baseline for understanding species' responses to contemporary climate change, and illustrate how incorporating intraspecific genetic variation improves the ecological realism of climate change vulnerability assessments.</w:t>
      </w:r>
    </w:p>
    <w:p>
      <w:pPr/>
      <w:r>
        <w:rPr>
          <w:b/>
        </w:rPr>
        <w:t>POSSIBLE 2025:</w:t>
      </w:r>
      <w:r>
        <w:t xml:space="preserve"> First Results of the European Cystinuria Registry — https://doi.org/10.1681/asn.2025bdqnghxs</w:t>
      </w:r>
    </w:p>
    <w:p>
      <w:pPr/>
      <w:r>
        <w:rPr>
          <w:b/>
        </w:rPr>
        <w:t>Shared claim-specific concepts:</w:t>
      </w:r>
      <w:r>
        <w:t xml:space="preserve"> show, first, time, associated, respectively, within; EU scope visible. This is a provisional connection, not an outcome finding.</w:t>
      </w:r>
    </w:p>
    <w:p>
      <w:pPr>
        <w:pStyle w:val="SourceNote"/>
      </w:pPr>
      <w:r>
        <w:rPr>
          <w:b/>
        </w:rPr>
        <w:t>Available abstract (not full text):</w:t>
      </w:r>
      <w:r>
        <w:t xml:space="preserve"> Background: Cystinuria is a rare autosomal recessive disorder in which high urinary cystine excretion leads to formation of cystine stones due to its low solubility at normal urinary pH (UpH). Our goal was to collect prospective data from children and adults with cystinuria followed in European centers. Methods: EUROCYS is a multidisciplinary, multicenter registry of patients with cystinuria in which demographic, clinical, biological, radiological and therapeutic data are collected longitudinally and recorded via the European Rare Kidney Disease Registry platform. Results: 484 patients (306 adults, 178 children) have been included in 38 centers from 10 countries. Mean age at diagnosis and at inclusion were 17.8 (SD: 17.5) and 30.3 (21.0) yrs, respectively. Within the 12 months prior to visit, 13.8% had a urological surgery and 11.0% a spontaneous stone passage. Mean eGFR at inclusion was 87.8 ml/min/1.73m2 (24.5): 52.4%, 33.8%, 12.8%, 0.3%, and 0.8% of patients had CKD stages 1, 2, 3, 4 or 5, respectively. Mean UpH was 6.9 (0.8), below the recommended target of 7.5 to 8. Taking into account all visits with available UpH (n=213), only 25.3% of UpH were between 7.5 and 8, whereas 65.3% were below 7.5 and 9.4% above 8. UpH between 7 and 7.49 and below 7 were associated with an increased risk of new stones assessed by radiology during the following year, compared with UpH between 7</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first, time, differences, over, associated,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681.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2024:</w:t>
      </w:r>
      <w:r>
        <w:t xml:space="preserve"> Performance Evaluation of Hospitals under Data Uncertainty: An Uncertain Common-Weights Data Envelopment Analysis — https://doi.org/10.3390/healthcare12060611</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the context of healthcare systems, the performance evaluation of hospitals plays a crucial role in assessing the quality of healthcare systems and facilitating informed decision-making processes. However, the presence of data uncertainty poses significant challenges to accurate performance measurement. This paper presents a novel uncertain common-weights data envelopment analysis (UCWDEA) approach for evaluating the performance of hospitals under uncertain environments. The proposed UCWDEA approach addresses the limitations of traditional data envelopment analysis (DEA) models by incorporating the uncertainty theory (UT) to model the inherent uncertainty in input and output data. Also, by utilizing a common set of weights (CSW) technique, the UCWDEA method provides a more robust and reliable assessment of hospital performance. The main advantages of the proposed UCWDEA approach can be succinctly summarized as follows. Firstly, it allows for the comparison of all hospitals on a consistent basis to calculate a realistic efficiency score, rather than an overly optimistic efficiency score. Secondly, the uncertain common-weights DEA approach exhibits linearity, enhancing its applicability. Thirdly, it possesses the capability to extend its utility under various other prevalent uncertainty distributions. Moreover, it enhances the discriminatory power of results, facilitates the ra</w:t>
      </w:r>
    </w:p>
    <w:p>
      <w:pPr/>
      <w:r>
        <w:rPr>
          <w:b/>
        </w:rPr>
        <w:t>POSSIBLE 2024:</w:t>
      </w:r>
      <w:r>
        <w:t xml:space="preserve"> Macroeconomic Uncertainty Indices for European Countries — https://doi.org/10.14195/2183-203x_57_1</w:t>
      </w:r>
    </w:p>
    <w:p>
      <w:pPr/>
      <w:r>
        <w:rPr>
          <w:b/>
        </w:rPr>
        <w:t>Shared claim-specific concepts:</w:t>
      </w:r>
      <w:r>
        <w:t xml:space="preserve"> data, uncertainty, three, different; EU scope visible. This is a provisional connection, not an outcome finding.</w:t>
      </w:r>
    </w:p>
    <w:p>
      <w:pPr>
        <w:pStyle w:val="SourceNote"/>
      </w:pPr>
      <w:r>
        <w:rPr>
          <w:b/>
        </w:rPr>
        <w:t>Available abstract (not full text):</w:t>
      </w:r>
      <w:r>
        <w:t xml:space="preserve"> The present article seeks to develop a macroeconomic uncertainty index for the EU Member States based on Google Trends for a period of fifteen years (from January 2008 to December 2022). Monthly data were collected for the 12 countries for four different word-terms, as well as for unemployment rate, inflation and the 10-year Government Bond yield. For simplifying the research the keywords searched were in English and were not translated into the countries’ own languages. Our findings were then compared to existing uncertainty indices. Lastly, we employed Impulse Response Functions (IRFs) with the existing economic indicators to highlight the effect that one standard deviation shock on the uncertainty index has on all three indicators and its ability to accurately depict the future precariousness of the country.</w:t>
      </w:r>
    </w:p>
    <w:p>
      <w:pPr/>
      <w:r>
        <w:rPr>
          <w:b/>
        </w:rPr>
        <w:t>POSSIBLE 2024:</w:t>
      </w:r>
      <w:r>
        <w:t xml:space="preserve"> High rate of species misidentification reduces the taxonomic certainty of European biodiversity databases of ivies (Hedera L.) — https://doi.org/10.1038/s41598-024-54735-0</w:t>
      </w:r>
    </w:p>
    <w:p>
      <w:pPr/>
      <w:r>
        <w:rPr>
          <w:b/>
        </w:rPr>
        <w:t>Shared claim-specific concepts:</w:t>
      </w:r>
      <w:r>
        <w:t xml:space="preserve"> data, uncertainty, high, average; EU scope visible. This is a provisional connection, not an outcome finding.</w:t>
      </w:r>
    </w:p>
    <w:p>
      <w:pPr>
        <w:pStyle w:val="SourceNote"/>
      </w:pPr>
      <w:r>
        <w:rPr>
          <w:b/>
        </w:rPr>
        <w:t>Available abstract (not full text):</w:t>
      </w:r>
      <w:r>
        <w:t xml:space="preserve"> The digitization of natural history specimens and the popularization of citizen science are creating an unprecedented availability of large amounts of biodiversity data. These biodiversity inventories can be severely affected by species misidentification, a source of taxonomic uncertainty that is rarely acknowledged in biodiversity data management. For these reasons, taxonomists debate the use of online repositories to address biological questions at the species level. Hedera L. (ivies) provides an excellent case study as it is well represented in both herbaria and online repositories with thousands of records likely to be affected by high taxonomic uncertainty. We analyze the sources and extent of taxonomic errors in the identification of the European ivy species by reviewing herbarium specimens and find a high misidentification rate (18% on average), which varies between species (maximized in H. hibernica: 55%; H. azorica: 48%; H. iberica: 36%) and regions (maximized in the UK: 38% and Spain: 27%). We find a systematic misidentification of all European ivies with H. helix behind the high misidentification rates in herbaria and warn of even higher rates in online records. We compile a spatial database to overcome the large discrepancies we observed in species distributions between online and morphologically reviewed records.</w:t>
      </w:r>
    </w:p>
    <w:p>
      <w:pPr>
        <w:pStyle w:val="Heading2"/>
      </w:pPr>
      <w:r>
        <w:t>682.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pStyle w:val="Heading2"/>
      </w:pPr>
      <w:r>
        <w:t>683.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project, funded, horizon,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2023:</w:t>
      </w:r>
      <w:r>
        <w:t xml:space="preserve"> Changes in Temperature and Precipitation Trends in Selected Polish Cities Based on the Results of Regional EURO-CORDEX Climate Models in the 2030–2050 Horizon — https://doi.org/10.3390/app14010009</w:t>
      </w:r>
    </w:p>
    <w:p>
      <w:pPr/>
      <w:r>
        <w:rPr>
          <w:b/>
        </w:rPr>
        <w:t>Shared claim-specific concepts:</w:t>
      </w:r>
      <w:r>
        <w:t xml:space="preserve"> horizon, three, key, approach; EU scope not established. This is a provisional connection, not an outcome finding.</w:t>
      </w:r>
    </w:p>
    <w:p>
      <w:pPr>
        <w:pStyle w:val="SourceNote"/>
      </w:pPr>
      <w:r>
        <w:rPr>
          <w:b/>
        </w:rPr>
        <w:t>Available abstract (not full text):</w:t>
      </w:r>
      <w:r>
        <w:t xml:space="preserve"> This study presents the potential impacts of climate change in 49 Polish cities by analyzing seven climate indicators. The analysis was carried out for the following three horizons: the current climate conditions (an average period spanning 2006 to 2015), near-future conditions (an average period spanning 2026 to 2035), and future conditions (an average period spanning 2046 to 2055). Climate indices were computed with bias-corrected EURO-CORDEX model ensembles from two Representative Concentration Pathway scenarios, RCP4.5 and RCP8.5. The systematic error was reduced using the quantile mapping method with a non-parametric approach of robust empirical quantiles (RQUANT). Data were used as references in the period of current climate conditions, and those required for bias correction consisted of historical ground-based observations provided by the Institute of Meteorology and Water Management. The analysis encompassed various key climate indices, including the annual average temperature, the count of hot days, cold days, and frost days, the cumulative annual precipitation, the frequency of days with precipitation, and instances of extreme precipitation (defined as the days with precipitation exceeding 10 mm/day). These findings reveal a noteworthy rise in the average annual temperature of approximately 1 °C and an uptick in the number of hot days by 3.7 days. Conversely, a declin</w:t>
      </w:r>
    </w:p>
    <w:p>
      <w:pPr>
        <w:pStyle w:val="Heading2"/>
      </w:pPr>
      <w:r>
        <w:t>684.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r>
        <w:rPr>
          <w:b/>
        </w:rPr>
        <w:t>POSSIBLE 2024:</w:t>
      </w:r>
      <w:r>
        <w:t xml:space="preserve"> EUROPEAN PARLIAMENT: GENDER ASPECT OF LAW-MAKING PROCESS — https://doi.org/10.35634/2587-9030-2024-8-2-208-219</w:t>
      </w:r>
    </w:p>
    <w:p>
      <w:pPr/>
      <w:r>
        <w:rPr>
          <w:b/>
        </w:rPr>
        <w:t>Shared claim-specific concepts:</w:t>
      </w:r>
      <w:r>
        <w:t xml:space="preserve"> therefore, purpose, determining, within; EU scope visible. This is a provisional connection, not an outcome finding.</w:t>
      </w:r>
    </w:p>
    <w:p>
      <w:pPr>
        <w:pStyle w:val="SourceNote"/>
      </w:pPr>
      <w:r>
        <w:rPr>
          <w:b/>
        </w:rPr>
        <w:t>Available abstract (not full text):</w:t>
      </w:r>
      <w:r>
        <w:t xml:space="preserve"> The article attempts to understand to what extent the gender identity of members of the European Parliament initiating a bill determines the subject and nature (feminine or masculine) of the issued legal acts. The research question is whether there is an influence of gender in relation to the subject and nature of regulations adopted by the European Parliament. The chronological period under study is 2009-2022 and is determined by the available open data. For the purpose of the study, a proprietary database was compiled, where the units of analysis are regulations issued by the European Parliament within the framework of the ordinary legislative procedure. The sample population consisted of 1155 observations. The key method of analysis was qualitative descriptive statistical analysis. The calculations were made within the framework of the freely distributed software Orange Data Mining. The results of the analysis demonstrate in general the lack of influence of the gender aspect in relation to the nature and subject of regulations and laws issued by the European Parliament. The gender of parliamentarians-initiators is not a factor determining the nature and subject matter of legislative acts issued by the European Parliament. The results of the analysis, therefore, refute the null hypothesis and confirm the alternative hypothesis: the nature (feminine/masculine) of the bills ini</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2023:</w:t>
      </w:r>
      <w:r>
        <w:t xml:space="preserve"> Determining a Worldwide Prevalence of Oculocutaneous Albinism: A Systematic Review — https://doi.org/10.1167/iovs.64.10.14</w:t>
      </w:r>
    </w:p>
    <w:p>
      <w:pPr/>
      <w:r>
        <w:rPr>
          <w:b/>
        </w:rPr>
        <w:t>Shared claim-specific concepts:</w:t>
      </w:r>
      <w:r>
        <w:t xml:space="preserve"> therefore, purpose, factors, determining, four; EU scope visible. This is a provisional connection, not an outcome finding.</w:t>
      </w:r>
    </w:p>
    <w:p>
      <w:pPr>
        <w:pStyle w:val="SourceNote"/>
      </w:pPr>
      <w:r>
        <w:rPr>
          <w:b/>
        </w:rPr>
        <w:t>Available abstract (not full text):</w:t>
      </w:r>
      <w:r>
        <w:t xml:space="preserve"> Purpose: The aim of this systematic review was to investigate the available data on the epidemiology of oculocutaneous albinism (OCA) around the world, and to determine whether a generalizable, worldwide prevalence figure could be proposed. Methods: Extensive literature search strategies were conducted, interrogating PubMed, Scopus, and Web of Science, to locate relevant literature. Ultimately 34 studies reporting original data were included for analysis. Results: Findings showed that most data were outdated, and only 6 of 34 articles (18%) were published after 2010. There were few good studies with sound methodology and large, clearly defined population samples. Only a small proportion of countries worldwide (26/193 [13%]) have produced prevalence figures for OCA. By continent, African studies were disproportionately represented (15/34 [44%]). The highest prevalence rates (range, 1 in 22 to 1 in 1300; mean, 1 in 464) were reported in population isolates. The mean prevalence from four African countries was 1 in 4264 (range, 1 in 1755 to 1 in 7900). Prevalence for three countries in Europe (mean, 1 in 12,000; range, 1 in 10,000 to 1 in 15,000) may be underestimated, as the phenotype, in fair-skinned populations, may be missed or misdiagnosed as ocular albinism or isolated visual impairment. Population rates may vary depending on local cultural factors (e.g., consanguineous matin</w:t>
      </w:r>
    </w:p>
    <w:p>
      <w:pPr>
        <w:pStyle w:val="Heading2"/>
      </w:pPr>
      <w:r>
        <w:t>685.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pStyle w:val="Heading2"/>
      </w:pPr>
      <w:r>
        <w:t>686.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Colorado Power Pathway: 0 to 600 Miles in 7 Years Flat — https://doi.org/10.1061/9780784486542.002</w:t>
      </w:r>
    </w:p>
    <w:p>
      <w:pPr/>
      <w:r>
        <w:rPr>
          <w:b/>
        </w:rPr>
        <w:t>Shared claim-specific concepts:</w:t>
      </w:r>
      <w:r>
        <w:t xml:space="preserve"> focus, power, all, three; EU scope not established. This is a provisional connection, not an outcome finding.</w:t>
      </w:r>
    </w:p>
    <w:p>
      <w:pPr>
        <w:pStyle w:val="SourceNote"/>
      </w:pPr>
      <w:r>
        <w:rPr>
          <w:b/>
        </w:rPr>
        <w:t>Available abstract (not full text):</w:t>
      </w:r>
      <w:r>
        <w:t xml:space="preserve"> The Colorado Power Pathway is a $1.7 billion investment in 600 miles of double circuit 345 kV transmission lines in eastern Colorado which will connect four new and three upgraded substations. The new transmission lines will create a networked path to integrate 4,000 MW of new renewable energy resources and distribute them to load centers on the Front Range. Xcel Energy will own and operate all of the transmission lines and substations. This paper will discuss the project inception and Certificate of Public Convenience and Necessity process, the route development and public outreach, and the project execution with a focus on how early engineering involvement and preliminary design efforts helped meet the aggressive project timeline. In parallel with route development a preliminary design stage included development of an all-encompassing 345 kV structure family. This structure family development included constructability reviews, cost saving evaluations, and finalization of all steel structure calculations and fabrication drawings. The structure family also included material selection for hot-line replacement. Foundation design included full length anchor bolt concrete piers as well as vibratory caissons.</w:t>
      </w:r>
    </w:p>
    <w:p>
      <w:pPr/>
      <w:r>
        <w:rPr>
          <w:b/>
        </w:rPr>
        <w:t>POSSIBLE 2025:</w:t>
      </w:r>
      <w:r>
        <w:t xml:space="preserve"> MAPK/ERK signaling pathway in rheumatoid arthritis: mechanisms and therapeutic potential — https://doi.org/10.7717/peerj.19708</w:t>
      </w:r>
    </w:p>
    <w:p>
      <w:pPr/>
      <w:r>
        <w:rPr>
          <w:b/>
        </w:rPr>
        <w:t>Shared claim-specific concepts:</w:t>
      </w:r>
      <w:r>
        <w:t xml:space="preserve"> pathways, including, potential; EU scope not established. This is a provisional connection, not an outcome finding.</w:t>
      </w:r>
    </w:p>
    <w:p>
      <w:pPr>
        <w:pStyle w:val="SourceNote"/>
      </w:pPr>
      <w:r>
        <w:rPr>
          <w:b/>
        </w:rPr>
        <w:t>Available abstract (not full text):</w:t>
      </w:r>
      <w:r>
        <w:t xml:space="preserve"> Rheumatoid arthritis (RA) is a multifaced autoimmune disorder characterized by chronic joint inflammation, leading to progressive disability and significantly impacting patients' quality of life. Despite advances in treatment, finding a cure or preventing disease progression remains a major clinical challenge, underscoring the urgent need for novel therapeutic strategies. Among various pathways involved in the pathophysiology of RA, the mitogen-activated protein kinases/extracellular regulated protein kinases (MAPK/ERK) pathway is of particular importance. As the central cascade within the broader MAPK signaling pathways, MAPK/ERK plays a critical role in regulating numerous physiological and pathological processes, with a well-established and prominent involvement in RA. Unlike p38 MAPK and c-Jun-N-terminal kinase (JNK), whose role in RA have been well-documented, the specific contributions of the MAPK/ERK pathway to RA remains comprehensively unreviewed. Furthermore, the MAPK/ERK pathway does not act in isolation but interacts synergistically with other major pathways, including NF-κB, Janus kinase-signal transducer and activator of transcription (JAK/STAT), sonic hedgehog (SHH), and PI3K/AKT, which further enhance its pathological effects. This review offers a comprehensive analysis of MAPK/ERK signaling pathway, focusing on its molecular components and its contribution to R</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Therapeutic Potential of Targeting the JAK/STAT Pathway in Psoriasis: Focus on TYK2 Inhibition — https://doi.org/10.3390/jcm13113091</w:t>
      </w:r>
    </w:p>
    <w:p>
      <w:pPr/>
      <w:r>
        <w:rPr>
          <w:b/>
        </w:rPr>
        <w:t>Shared claim-specific concepts:</w:t>
      </w:r>
      <w:r>
        <w:t xml:space="preserve"> pathways, focus, including, potential, use; EU scope not established. This is a provisional connection, not an outcome finding.</w:t>
      </w:r>
    </w:p>
    <w:p>
      <w:pPr>
        <w:pStyle w:val="SourceNote"/>
      </w:pPr>
      <w:r>
        <w:rPr>
          <w:b/>
        </w:rPr>
        <w:t>Available abstract (not full text):</w:t>
      </w:r>
      <w:r>
        <w:t xml:space="preserve"> Psoriasis is an inflammatory skin disease with a chronic relapsing course and an often-detrimental impact on patients' quality of life. Thanks to incredible advances in research over the past few decades, the therapeutic armamentarium of psoriasis is now reasonably broad and structured, with several therapeutic agents that have demonstrated successful long-term control of this condition. However, there are still unfulfilled gaps resulting from the inherent limitations of existing therapies, which have paved the way for the identification of new therapeutic strategies or the improvement of existing ones. A great deal of attention has recently been paid to the JAK/STAT pathway, playing a crucial role in chronic inflammatory skin diseases, including psoriasis. Indeed, in a disease with such a complex pathogenesis, the possibility to antagonize multiple molecular pathways via JAK/STAT inhibition offers an undeniable therapeutic advantage. However, data from clinical trials evaluating the use of oral JAK inhibitors in immune-mediated disorders, such as RA, have arisen safety concerns, suggesting a potentially increased risk of class-specific AEs such as infections, venous thromboembolism, and malignancies. New molecules are currently under investigation for the treatment of psoriasis, such as deucravacitinib, an oral selective inhibitor that binds to the regulatory domain of TYK2, b</w:t>
      </w:r>
    </w:p>
    <w:p>
      <w:pPr/>
      <w:r>
        <w:rPr>
          <w:b/>
        </w:rPr>
        <w:t>POSSIBLE 2024:</w:t>
      </w:r>
      <w:r>
        <w:t xml:space="preserve"> Potential therapies for HCC involving targeting the ferroptosis pathway — https://doi.org/10.62347/sigp9279</w:t>
      </w:r>
    </w:p>
    <w:p>
      <w:pPr/>
      <w:r>
        <w:rPr>
          <w:b/>
        </w:rPr>
        <w:t>Shared claim-specific concepts:</w:t>
      </w:r>
      <w:r>
        <w:t xml:space="preserve"> pathways, focus, including, potential, increasing; EU scope not established. This is a provisional connection, not an outcome finding.</w:t>
      </w:r>
    </w:p>
    <w:p>
      <w:pPr>
        <w:pStyle w:val="SourceNote"/>
      </w:pPr>
      <w:r>
        <w:rPr>
          <w:b/>
        </w:rPr>
        <w:t>Available abstract (not full text):</w:t>
      </w:r>
      <w:r>
        <w:t xml:space="preserve"> Liver cancer ranks as the third leading cause of cancer-related mortality worldwide, predominantly in the form of hepatocellular carcinoma (HCC). Conventional detection and treatment approaches have proven inadequate for addressing the elevated incidence and mortality rates associated with HCC. However, a significant body of research suggests that combating HCC through the induction of ferroptosis is possible. Ferroptosis is a regulated cell death process characterized by elevated levels of reactive oxygen species (ROS) and lipid peroxide accumulation, both of which are dependent on iron levels. In recent years, there has been an increasing focus on investigating ferroptosis, revealing its potential as an inhibitory mechanism against various diseases, including tumors. Therefore, ferroptosis induction holds great promise for treating multiple types of cancers, including HCC. This article provides a review of the key mechanisms involved in ferroptosis and explores the potential application of multiple targets and pathways associated with ferroptosis in HCC treatment to improve therapeutic outcomes.</w:t>
      </w:r>
    </w:p>
    <w:p>
      <w:pPr>
        <w:pStyle w:val="Heading2"/>
      </w:pPr>
      <w:r>
        <w:t>687.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2025:</w:t>
      </w:r>
      <w:r>
        <w:t xml:space="preserve"> Teacher Shortages in Germany—Causes, Countermeasures, and Assessments by Educational Scientists — https://doi.org/10.1007/978-3-658-45398-5_16</w:t>
      </w:r>
    </w:p>
    <w:p>
      <w:pPr/>
      <w:r>
        <w:rPr>
          <w:b/>
        </w:rPr>
        <w:t>Shared claim-specific concepts:</w:t>
      </w:r>
      <w:r>
        <w:t xml:space="preserve"> abstract, scientists, alternative; EU scope visible. This is a provisional connection, not an outcome finding.</w:t>
      </w:r>
    </w:p>
    <w:p>
      <w:pPr>
        <w:pStyle w:val="SourceNote"/>
      </w:pPr>
      <w:r>
        <w:rPr>
          <w:b/>
        </w:rPr>
        <w:t>Available abstract (not full text):</w:t>
      </w:r>
      <w:r>
        <w:t xml:space="preserve"> Abstract Currently, in most of the Federal States in Germany, there are shortages of highly qualified teachers. In the presented study, the discussed causes and recommended measures regarding the phenomenon are summarized and systematized. For this purpose, interviews with eight educational scientists of different denominations were conducted. Next, the results obtained through content analysis were systematized in a discursively designed instance model. Then, a communicative validation as well as a classification and discussion of the crisis took place during a two-day conference at the University of Wuppertal. On the one hand, the interviewees refer to the aspects focused on in the academic discourse, for instance, when they take a critical look at demand forecasts or regard lateral entry as a possible solution. On the other hand, reinterpretations and reassessments of certain aspects become clear when dropouts or the pursuit of alternative career paths are interpreted in a positive way.</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2024:</w:t>
      </w:r>
      <w:r>
        <w:t xml:space="preserve"> What is the role of architects and urban planners in crime prevention? — https://doi.org/10.1057/s41284-024-00442-4</w:t>
      </w:r>
    </w:p>
    <w:p>
      <w:pPr/>
      <w:r>
        <w:rPr>
          <w:b/>
        </w:rPr>
        <w:t>Shared claim-specific concepts:</w:t>
      </w:r>
      <w:r>
        <w:t xml:space="preserve"> abstract, planners, planning; EU scope not established. This is a provisional connection, not an outcome finding.</w:t>
      </w:r>
    </w:p>
    <w:p>
      <w:pPr>
        <w:pStyle w:val="SourceNote"/>
      </w:pPr>
      <w:r>
        <w:rPr>
          <w:b/>
        </w:rPr>
        <w:t>Available abstract (not full text):</w:t>
      </w:r>
      <w:r>
        <w:t xml:space="preserve"> Abstract In this article, we discuss the role of urban planning professionals in situational crime prevention. We begin by examining their role as city “shapers” and the reasons behind their frequent neglect of crime-related factors in their decision-making process. We also explore why criminology tends to underestimate the influence of urban planning professionals on the urban environment, a factor crucial for effective crime prevention. To highlight the disconnection between urban planning and crime prevention, we present findings from a survey conducted with urban planners and safety experts in 290 Swedish municipalities. The article concludes with future research and practice recommendations, stressing the urgent need for improved communication and collaboration between urban shapers and environmental criminologists and a more comprehensive understanding from all parties involved.</w:t>
      </w:r>
    </w:p>
    <w:p>
      <w:pPr>
        <w:pStyle w:val="Heading2"/>
      </w:pPr>
      <w:r>
        <w:t>688.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2025:</w:t>
      </w:r>
      <w:r>
        <w:t xml:space="preserve"> Twin transformation: The role of digitalization with artificial intelligence, big data and circular supply chain in circular economy performance for sustainability — https://doi.org/10.24136/eq.3350</w:t>
      </w:r>
    </w:p>
    <w:p>
      <w:pPr/>
      <w:r>
        <w:rPr>
          <w:b/>
        </w:rPr>
        <w:t>Shared claim-specific concepts:</w:t>
      </w:r>
      <w:r>
        <w:t xml:space="preserve"> transformation, circular, economy, processes; EU scope not established. This is a provisional connection, not an outcome finding.</w:t>
      </w:r>
    </w:p>
    <w:p>
      <w:pPr>
        <w:pStyle w:val="SourceNote"/>
      </w:pPr>
      <w:r>
        <w:rPr>
          <w:b/>
        </w:rPr>
        <w:t>Available abstract (not full text):</w:t>
      </w:r>
      <w:r>
        <w:t xml:space="preserve"> Research background: The fourth industrial revolution has significantly changed the operational processes of industries and influenced the industrial structures of multiple countries. These scenarios have resulted in organizations embracing digital technologies in their supply chains. However, the digital supply chain literature is still in its early stages of development. Purpose of the article: This study primarily aimed to understand whether artificial intelligence (AI) and big data influence circular economy performance (CEP) through the circular supply chain (CSC), along with exploitative and explorative integration. Methods: Data were collected using a questionnaire survey. The proposed hypotheses were tested using partial least squares structural equation modeling (PLS-SEM) via Smart PLS (4.0). The empirical analysis supported most proposed hypotheses. Findings &amp; value added: The results indicate that the CSC supports digitalization in improving CEP. Additionally, exploitative integration does not influence the moderating role between big data and the CSC, nor does explorative integration between AI and the CSC. This study enables managers to understand that enabling technologies are suitable for facilitating the accomplishment of a CSC’s goals.</w:t>
      </w:r>
    </w:p>
    <w:p>
      <w:pPr/>
      <w:r>
        <w:rPr>
          <w:b/>
        </w:rPr>
        <w:t>POSSIBLE 2025:</w:t>
      </w:r>
      <w:r>
        <w:t xml:space="preserve"> Sustainable circular economy: Unpacking the unintended consequences of digital transformation in Japanese SMEs — https://doi.org/10.1016/j.techfore.2025.124335</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Digital transformation (DX) and the shift toward a sustainable circular economy are reshaping industries, raising both practical and theoretical questions about power, collaboration, and ecosystem dynamics. While DX offers opportunities for efficiency and sustainability, it also induces unintended consequences—particularly in altering inter-organizational power relations and blurring traditional industrial boundaries. Drawing on circular economy and ecosystem perspectives, this study investigates these unintended consequences through multiple in-depth case studies of Japanese SMEs. The research reveals how organisations renegotiate constraints and resources to adapt to evolving digital ecosystems. Unlike much of the existing literature that focuses on benefits, this paper uniquely explores the dual nature of unintended consequences—highlighting not only risks but rather, some present exploitable opportunities. The findings offer novel theoretical insights into digital circular economy-era and provide actionable guidance for policymakers and practitioners navigating digital transformation.</w:t>
      </w:r>
    </w:p>
    <w:p>
      <w:pPr/>
      <w:r>
        <w:rPr>
          <w:b/>
        </w:rPr>
        <w:t>POSSIBLE 2025:</w:t>
      </w:r>
      <w:r>
        <w:t xml:space="preserve"> The contribution of European cities and regions to the circular economy: an analysis of territorial strategies — https://doi.org/10.1080/00343404.2025.2563888</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This article examines how European cities and regions engage with circular economy (CE) strategies through the lens of territorial intermediation. Based on the analysis of 54 strategic planning documents, it identifies a range of local rationales – predominantly environmental – supporting CE commitments. The findings reveal a selective and often downstream-oriented framing of CE priorities. Local authorities assume three main roles in structuring circular transitions: promoter, facilitator and enabler, each operationalised through distinct policy instruments. Rather than following a uniform model, CE strategies take different forms depending on local priorities, challenges and development goals. The article contributes to the literature by clarifying how territorial intermediation mediates ecological transitions at the local scale.</w:t>
      </w:r>
    </w:p>
    <w:p>
      <w:pPr/>
      <w:r>
        <w:rPr>
          <w:b/>
        </w:rPr>
        <w:t>POSSIBLE 2025:</w:t>
      </w:r>
      <w:r>
        <w:t xml:space="preserve"> Supply Chain Transformation and the Circular Economy Methods for producing Sustainable Textiles — https://doi.org/10.52783/jier.v5i2.2907</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Since the textile industry pollutes the world and uses up resources, it needs to transform quickly to become sustainable. This research investigates how supply chain transformation guided by circular economy ideas can support sustainable production in the textile industry. It brings together closed-loop models, eco-design, sustainable sourcing, recycling, and end-of-life textile recovery in existing supply chains. The study employs primary data gained from interviews with manufacturers and supply chain and sustainability officials. The research indicates that using circular economy approaches results in better use of resources, less impact on the environment, and greater innovation throughout the supply chain. Among the benefits are less trash, less energy use, and fewer carbon emissions. Still, it is difficult because recycling is costly, many regulations do not provide incentives and there aren’t enough recycling facilities. This study introduces a Circular Textile Supply Chain Framework (CTS2CF) that shows stakeholders how to improve their supply chains to support circularity and sustainability. The findings provide useful and theoretical guidance for industry players to improve sustainability in the textile supply chain. Cross-sector partnerships, help from policies, and the use of technology are stressed as important for making the textile economy work at scale. The study’</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2024:</w:t>
      </w:r>
      <w:r>
        <w:t xml:space="preserve"> Twenty Years of Land Accounts in Europe — https://doi.org/10.3390/land13091350</w:t>
      </w:r>
    </w:p>
    <w:p>
      <w:pPr/>
      <w:r>
        <w:rPr>
          <w:b/>
        </w:rPr>
        <w:t>Shared claim-specific concepts:</w:t>
      </w:r>
      <w:r>
        <w:t xml:space="preserve"> economy, upcoming;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AI ‐driven adaptive learning for sustainable educational transformation — https://doi.org/10.1002/sd.3221</w:t>
      </w:r>
    </w:p>
    <w:p>
      <w:pPr/>
      <w:r>
        <w:rPr>
          <w:b/>
        </w:rPr>
        <w:t>Shared claim-specific concepts:</w:t>
      </w:r>
      <w:r>
        <w:t xml:space="preserve"> transformation, driven, innovative; EU scope not established. This is a provisional connection, not an outcome finding.</w:t>
      </w:r>
    </w:p>
    <w:p>
      <w:pPr>
        <w:pStyle w:val="SourceNote"/>
      </w:pPr>
      <w:r>
        <w:rPr>
          <w:b/>
        </w:rPr>
        <w:t>Available abstract (not full text):</w:t>
      </w:r>
      <w:r>
        <w:t xml:space="preserve"> Abstract This paper scrutinizes how adaptive learning technologies and artificial intelligence (AI) are transforming today's education by making it personalized, accessible, and efficient as well as leading people to accepting, addressing, and mitigating sustainable development. Recently, education witnessed a remarkable technological surge driven by various advances in technology, which can be demonstrated by the increase of the number of scientific publications on this topic from just 1 in 1990 to 636 in 2023. Ongoing digitalization and technological revolution in education together with the novel approach to respect each student's unique learning style and abilities paved the way for adaptive learning technologies represented by the innovative tools that personalize educational experiences to cater to individual learners. All of that contributes to preparing more educated and informed citizens, drives innovation, and supports economic growth necessary for achieving a sustainable future. Our bibliographic study employs VOSviewer to conduct a bibliometric analysis of a total number of 3518 selected publications using the keywords “adaptive learning” and “AI” (represented by articles, proceeding papers, and book chapters) indexed in the Web of Science (WoS) database from 1990 to 2024. Our results demonstrate that recent technological changes played a key role in transforming ad</w:t>
      </w:r>
    </w:p>
    <w:p>
      <w:pPr>
        <w:pStyle w:val="Heading2"/>
      </w:pPr>
      <w:r>
        <w:t>689.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r>
        <w:rPr>
          <w:b/>
        </w:rPr>
        <w:t>POSSIBLE 2024:</w:t>
      </w:r>
      <w:r>
        <w:t xml:space="preserve"> Comparative Analysis of Agricultural Emissions Across European Countries — https://doi.org/10.2478/rtuect-2024-0057</w:t>
      </w:r>
    </w:p>
    <w:p>
      <w:pPr/>
      <w:r>
        <w:rPr>
          <w:b/>
        </w:rPr>
        <w:t>Shared claim-specific concepts:</w:t>
      </w:r>
      <w:r>
        <w:t xml:space="preserve"> also, emissions, reduction; EU scope visible. This is a provisional connection, not an outcome finding.</w:t>
      </w:r>
    </w:p>
    <w:p>
      <w:pPr>
        <w:pStyle w:val="SourceNote"/>
      </w:pPr>
      <w:r>
        <w:rPr>
          <w:b/>
        </w:rPr>
        <w:t>Available abstract (not full text):</w:t>
      </w:r>
      <w:r>
        <w:t xml:space="preserve"> Abstract Agriculture is one of the main sources of greenhouse gas (GHG) emissions and has great potential for mitigating climate change. For example, agriculture in Latvia was the second largest sector of GHG emissions after energy with a 22.2 % share of total GHG emissions in 2022. The study aims to compare and analyse the amount of GHG emissions generated by agriculture per domestic product (GDP) and population in different European countries. The ambitious goals set in Europe for 2030 envisage a 30 % reduction in the industry, however, in some countries, these indicators have not only decreased in recent years but also increased. The structure of GHG emissions in 2022 in Europe is as follows: intestinal fermentation (181.1 MtCO 2 e), agricultural soils (112.9 MtCO 2 e), and manure management (61.7 MtCO 2 e). Agriculture is one of the main sources of GHG emissions and has great potential for mitigating climate change. This study aims to compare and analyze GHG emissions from agriculture in European countries against GDP, GDP against population, and population in 2022.</w:t>
      </w:r>
    </w:p>
    <w:p>
      <w:pPr/>
      <w:r>
        <w:rPr>
          <w:b/>
        </w:rPr>
        <w:t>POSSIBLE 2024:</w:t>
      </w:r>
      <w:r>
        <w:t xml:space="preserve"> Give and take: An analysis of the distributional consequences of emission tax-and-rebate schemes with an application to greenhouse gas emissions from European agriculture — https://doi.org/10.1016/j.ecolecon.2024.108154</w:t>
      </w:r>
    </w:p>
    <w:p>
      <w:pPr/>
      <w:r>
        <w:rPr>
          <w:b/>
        </w:rPr>
        <w:t>Shared claim-specific concepts:</w:t>
      </w:r>
      <w:r>
        <w:t xml:space="preserve"> also, emissions, various; EU scope visible. This is a provisional connection, not an outcome finding.</w:t>
      </w:r>
    </w:p>
    <w:p>
      <w:pPr>
        <w:pStyle w:val="SourceNote"/>
      </w:pPr>
      <w:r>
        <w:rPr>
          <w:b/>
        </w:rPr>
        <w:t>Available abstract (not full text):</w:t>
      </w:r>
      <w:r>
        <w:t xml:space="preserve"> The potential regressivity of an emission tax is a major obstacle to the implementation of this otherwise cost-effective instrument. Rebates may help overcome this difficulty. Their distributional consequences depend on their design and the distribution of agents’ initial emissions and abatement costs. We develop a stylized analytical framework to derive general conditions under which a tax-and-rebate scheme increases income inequality and compare the performances of various rebate designs. This framework is applied to the regulation of greenhouse gas emissions from European agriculture. An emission tax with no rebate is found to substantially reduce agricultural emissions (by approximately −15% for a 100 €/tCO2eq tax), but also strongly affect the total sector income (approximately −20% with the same tax rate) as well as increase income inequality. A flat rebate considerably reduces income inequality relative to pre-policy levels. For the same impacts on aggregate income and budget, a rebate proportional to initial emissions leaves pre-existing inequality virtually unchanged. A well-designed rebate can thus be critical for the acceptability of climate policy instruments.</w:t>
      </w:r>
    </w:p>
    <w:p>
      <w:pPr/>
      <w:r>
        <w:rPr>
          <w:b/>
        </w:rPr>
        <w:t>POSSIBLE 2024:</w:t>
      </w:r>
      <w:r>
        <w:t xml:space="preserve"> Soil bulk density assessment in Europe — https://doi.org/10.1016/j.agee.2024.108907</w:t>
      </w:r>
    </w:p>
    <w:p>
      <w:pPr/>
      <w:r>
        <w:rPr>
          <w:b/>
        </w:rPr>
        <w:t>Shared claim-specific concepts:</w:t>
      </w:r>
      <w:r>
        <w:t xml:space="preserve"> showed, about, three;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pStyle w:val="Heading2"/>
      </w:pPr>
      <w:r>
        <w:t>690.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2022:</w:t>
      </w:r>
      <w:r>
        <w:t xml:space="preserve"> Long-term care costs and obesity - projections for Poland — https://doi.org/10.1016/j.jebo.2022.09.014</w:t>
      </w:r>
    </w:p>
    <w:p>
      <w:pPr/>
      <w:r>
        <w:rPr>
          <w:b/>
        </w:rPr>
        <w:t>Shared claim-specific concepts:</w:t>
      </w:r>
      <w:r>
        <w:t xml:space="preserve"> projections, poland, ageing; EU scope visible. This is a provisional connection, not an outcome finding.</w:t>
      </w:r>
    </w:p>
    <w:p>
      <w:pPr>
        <w:pStyle w:val="SourceNote"/>
      </w:pPr>
      <w:r>
        <w:rPr>
          <w:b/>
        </w:rPr>
        <w:t>Available abstract (not full text):</w:t>
      </w:r>
      <w:r>
        <w:t xml:space="preserve"> The share of both elderly and obese people in the population of many countries, including Poland in particular, will increase. The aim of the study is to investigate the impact of obesity of adults 50+ on public expenditures on long-term care in Poland. Using the Survey on Health Ageing and Retirement in Europe (SHARE) database and the European Commission macro-simulation model, we estimate long-term projection of long-term care costs of older adults depending on the level of obesity. Our results suggest that obese people are more likely to be disabled and obesity of adults 50+ may increase the long-term care costs by up to 0.3% of GDP in 2070 horizon.</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691.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2025:</w:t>
      </w:r>
      <w:r>
        <w:t xml:space="preserve"> THE IMPROVEMENT OF PERSONNEL LABOR ORGANIZATION IN SERVICE SECTOR: THE INFLUENCE OF BRANCH FEATURES — https://doi.org/10.55421/2499992x_2025_5_38</w:t>
      </w:r>
    </w:p>
    <w:p>
      <w:pPr/>
      <w:r>
        <w:rPr>
          <w:b/>
        </w:rPr>
        <w:t>Shared claim-specific concepts:</w:t>
      </w:r>
      <w:r>
        <w:t xml:space="preserve"> article, presents, labor, organization, need; EU scope not established. This is a provisional connection, not an outcome finding.</w:t>
      </w:r>
    </w:p>
    <w:p>
      <w:pPr>
        <w:pStyle w:val="SourceNote"/>
      </w:pPr>
      <w:r>
        <w:rPr>
          <w:b/>
        </w:rPr>
        <w:t>Available abstract (not full text):</w:t>
      </w:r>
      <w:r>
        <w:t xml:space="preserve"> The article presents proposals for selecting priority areas of improving labor organization at a service enterprise. First of all, the management of a service enterprise is recommended to pay attention to the efficiency of employee labor (labor productivity). The author's view on the relationship between such concepts as labor efficiency, labor productivity, and key performance indicators is presented. The features of applying these concepts specifically in the service sector are analyzed. The conclusion is substantiated about the need to apply the concept of «labor efficiency» in the activities of a service enterprise because this concept the most accurately reflects the industry-specific features of the service sector. Recommendations are formulated for selecting units of measurement when calculating and analyzing labor efficiency indicators for personnel of a service enterprise. Possible difficulties in interpreting the results of evaluating the efficiency of personnel are analyzed...</w:t>
      </w:r>
    </w:p>
    <w:p>
      <w:pPr/>
      <w:r>
        <w:rPr>
          <w:b/>
        </w:rPr>
        <w:t>POSSIBLE 2025:</w:t>
      </w:r>
      <w:r>
        <w:t xml:space="preserve"> Monitoring of the Organization of Professional and Labor Education of Students in Vocational Education Institutions of the Moscow Region — https://doi.org/10.12737/1998-1740-2025-13-1-3-10</w:t>
      </w:r>
    </w:p>
    <w:p>
      <w:pPr/>
      <w:r>
        <w:rPr>
          <w:b/>
        </w:rPr>
        <w:t>Shared claim-specific concepts:</w:t>
      </w:r>
      <w:r>
        <w:t xml:space="preserve"> article, presents, labor, organization, professional, managers; EU scope not established. This is a provisional connection, not an outcome finding.</w:t>
      </w:r>
    </w:p>
    <w:p>
      <w:pPr>
        <w:pStyle w:val="SourceNote"/>
      </w:pPr>
      <w:r>
        <w:rPr>
          <w:b/>
        </w:rPr>
        <w:t>Available abstract (not full text):</w:t>
      </w:r>
      <w:r>
        <w:t xml:space="preserve"> The article is devoted to the results of monitoring the organization of vocational education and training in institutions of secondary vocational education (SPE) in the Moscow region. The purpose of the study was to develop recommendations for improving the effectiveness of vocational training based on an analysis of existing areas and results of labor education in professional educational organizations in the region. The article presents the results of a study to identify areas of labor education in vocational education organizations in the Moscow region, an analysis of the needs of enterprises in the region to attract young professionals, and a study of the results of early employment of young professionals in the branches of the Moscow region. In addition, the most effective projects, actions and events implemented by vocational education and training organizations were identified. Based on the results obtained, recommendations were developed to improve the organization of PTV in the organizations of the Moscow region. The article will be useful for managers and teachers of vocational education organizations, as well as for specialists involved in vocational education and youth employment.</w:t>
      </w:r>
    </w:p>
    <w:p>
      <w:pPr>
        <w:pStyle w:val="Heading2"/>
      </w:pPr>
      <w:r>
        <w:t>692.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r>
        <w:rPr>
          <w:b/>
        </w:rPr>
        <w:t>POSSIBLE 2025:</w:t>
      </w:r>
      <w:r>
        <w:t xml:space="preserve"> Carbon storage portfolios for the transition to net zero — https://doi.org/10.1016/j.joule.2025.102164</w:t>
      </w:r>
    </w:p>
    <w:p>
      <w:pPr/>
      <w:r>
        <w:rPr>
          <w:b/>
        </w:rPr>
        <w:t>Shared claim-specific concepts:</w:t>
      </w:r>
      <w:r>
        <w:t xml:space="preserve"> net, zero, targets, carbon; EU scope not established. This is a provisional connection, not an outcome finding.</w:t>
      </w:r>
    </w:p>
    <w:p>
      <w:pPr>
        <w:pStyle w:val="SourceNote"/>
      </w:pPr>
      <w:r>
        <w:rPr>
          <w:b/>
        </w:rPr>
        <w:t>Available abstract (not full text):</w:t>
      </w:r>
      <w:r>
        <w:t xml:space="preserve"> Net-zero targets are widely adopted by companies and countries worldwide. To achieve these goals, more companies are investing in diverse carbon removal portfolios. This study develops a new risk management framework that combines forestry, biochar, and geological storage offsets into portfolios that could stabilize global temperatures over multi-century time periods. We find that if a carbon storage portfolio reaches an equilibrium state of CO 2 stored, it can be leveraged to stabilize global temperatures by increasing the size of the portfolio relative to the amount of removal claimed. For moderate-risk primarily forestry portfolios retaining 0.75–0.55 tCO 2 of the 1 tCO 2 stored, an additional 0.30–0.80 tCO 2 removal is needed to offset re-releases over 1,000 years. High-risk portfolios retaining only 0.10 tCO 2 require over 9 tCO 2 additional removal. Portfolios that are predicted to re-release almost all CO 2 cannot be leveraged and are ineffective at meeting temperature stabilization goals. These findings have implications for policy and corporate climate action.</w:t>
      </w:r>
    </w:p>
    <w:p>
      <w:pPr/>
      <w:r>
        <w:rPr>
          <w:b/>
        </w:rPr>
        <w:t>POSSIBLE 2025:</w:t>
      </w:r>
      <w:r>
        <w:t xml:space="preserve"> Waste-to-energy: How Europe can avoid sleepwalking into a landfill catastrophe and achieve net zero — https://doi.org/10.56367/oag-048-12250</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Waste-to-energy: How Europe can avoid sleepwalking into a landfill catastrophe and achieve net zero Vanessa Fakra at Kanadevia Inova AG discusses waste-to-energy, including how Europe can avoid sleepwalking into a landfill catastrophe while achieving net zero. The European Union (EU) has ambitious landfill reduction targets of 10% or less by 2035. On the other hand, the European Commission is currently assessing the inclusion of the Waste to Energy and or the whole waste sector in the EU Emissions Trading System (ETS). This move could be counterproductive, as it penalizes technologies such as Waste to Energy (WtE) that are crucial for achieving net-zero goals.</w:t>
      </w:r>
    </w:p>
    <w:p>
      <w:pPr/>
      <w:r>
        <w:rPr>
          <w:b/>
        </w:rPr>
        <w:t>POSSIBLE 2025:</w:t>
      </w:r>
      <w:r>
        <w:t xml:space="preserve"> Electricity- and hydrogen-driven energy system sector-coupling in net-zero CO2 emission pathways — https://doi.org/10.1038/s41467-025-56365-0</w:t>
      </w:r>
    </w:p>
    <w:p>
      <w:pPr/>
      <w:r>
        <w:rPr>
          <w:b/>
        </w:rPr>
        <w:t>Shared claim-specific concepts:</w:t>
      </w:r>
      <w:r>
        <w:t xml:space="preserve"> gas, need, hydrogen; EU scope visible. This is a provisional connection, not an outcome finding.</w:t>
      </w:r>
    </w:p>
    <w:p>
      <w:pPr>
        <w:pStyle w:val="SourceNote"/>
      </w:pPr>
      <w:r>
        <w:rPr>
          <w:b/>
        </w:rPr>
        <w:t>Available abstract (not full text):</w:t>
      </w:r>
      <w:r>
        <w:t xml:space="preserve"> Electricity- and hydrogen-based sector coupling contributes to realizing the transition towards greenhouse gas neutrality in the European energy system. Energy system and integrated assessment models show that, to follow pathways compatible with the European policy target of net-zero greenhouse gas emissions by 2050, large amounts of renewable electricity and H2 need to be generated, mostly by scaling-up wind and solar energy production capacity. With a set of such models, under jointly adopted deep decarbonisation scenario assumptions, we here show that the ensuing direct penetration of electricity and H2 in final energy consumption may rise to average shares of around 60% and 6%, respectively, by 2050. We demonstrate that electrification proves the most cost-efficient decarbonisation route in all economic sectors, while the direct use of H2 in final energy consumption provides a relatively small, though essential, contribution to deep decarbonisation. We conclude that the variance observed across results from different models reflects the uncertainties that abound in the shape of deep decarbonisation pathways, in particular with regard to the role of H2. Multiple energy system models are used under jointly adopted deep decarbonisation scenarios to conclude that the direct penetration of electricity and hydrogen in final energy consumption may rise to shares of, respectively, </w:t>
      </w:r>
    </w:p>
    <w:p>
      <w:pPr/>
      <w:r>
        <w:rPr>
          <w:b/>
        </w:rPr>
        <w:t>POSSIBLE 2025:</w:t>
      </w:r>
      <w:r>
        <w:t xml:space="preserve"> Charting cooperative pathways to net zero through the IFFDC agroforestry model — https://doi.org/10.1007/s44274-025-00503-4</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Member-owned and democratically controlled collective enterprises have enormous abilities to advance community-driven sustainable practices. These collectives, through adoption of innovative approaches, can integrate cooperative values with environmental goals and can align and direct their activities towards attaining the goal of net-zero emissions. This paper uses a mixed-method and exploratory case study design to investigate the role of a VERRA certified cooperative institution—the Indian Farm-Forestry Development Cooperative (IFFDC) in low-carbon development and rural livelihood enhancement. The IFFDC’s initial pilot project (2008–2013) covered 189 hectares and generated 78,000 Verified Carbon Standard (VCS) credits, of which 41,000 were sold internationally, yielding INR 67.2 million. A tri-party revenue-sharing agreement allocated INR 30 million to 120 landholding farmers (average INR 250,000 per farmer), INR 15 million to 11 forestry cooperatives (average INR 1.36 million per cooperative), and INR 22.2 million was retained by IFFDC to meet operational expenses and support future initiatives. Reinvestment supported new plantations, cooperative capacity building, and maintenance, ensuring long-term ecological and financial sustainability. The project contributed to eight Sustainable Development Goals (SDGs), SDG 1, 3, 5, 8, 10, 13, 15 and 17. Key success factors included </w:t>
      </w:r>
    </w:p>
    <w:p>
      <w:pPr>
        <w:pStyle w:val="Heading2"/>
      </w:pPr>
      <w:r>
        <w:t>693.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2025:</w:t>
      </w:r>
      <w:r>
        <w:t xml:space="preserve"> Teacher Contextual Knowledge (XK) Development: The Case of Yogyakarta, Indonesia — https://doi.org/10.54855/callej.252646</w:t>
      </w:r>
    </w:p>
    <w:p>
      <w:pPr/>
      <w:r>
        <w:rPr>
          <w:b/>
        </w:rPr>
        <w:t>Shared claim-specific concepts:</w:t>
      </w:r>
      <w:r>
        <w:t xml:space="preserve"> macro, contextual, micro, used; EU scope not established. This is a provisional connection, not an outcome finding.</w:t>
      </w:r>
    </w:p>
    <w:p>
      <w:pPr>
        <w:pStyle w:val="SourceNote"/>
      </w:pPr>
      <w:r>
        <w:rPr>
          <w:b/>
        </w:rPr>
        <w:t>Available abstract (not full text):</w:t>
      </w:r>
      <w:r>
        <w:t xml:space="preserve"> Technological Pedagogical and Content Knowledge (TPACK) is one of the most prominent frameworks that outlines the types of knowledge teachers need to teach effectively with technology. Recent research on TPACK has emphasised Contextual Knowledge (XK), which accounts for teachers’ understanding of where teaching and learning are situated. Aiming to contribute to advancing research on XK, this case study investigated teachers’ development of XK and the challenges they faced in the process. The participants were five English language teachers across two secondary schools in Yogyakarta, Indonesia. The data were primarily gathered through in-depth interviews, informed by teachers’ lesson plans and digital teaching artefacts. Three layers of context –micro (classroom level), meso (school and community levels), and macro (national and global levels) –were used as a framework for analysing the data. Derived through thematic analysis, the findings highlight that participating teachers benefitted from informal engagement with students at the micro level, as well as collegial collaboration and professional learning at the meso level. At the macro level, they talked about the usefulness of technology-mediated professional learning, particularly through social media. Time constraints due to teacher workload were identified as a key barrier to their XK development. The study highlights the i</w:t>
      </w:r>
    </w:p>
    <w:p>
      <w:pPr/>
      <w:r>
        <w:rPr>
          <w:b/>
        </w:rPr>
        <w:t>POSSIBLE 2025:</w:t>
      </w:r>
      <w:r>
        <w:t xml:space="preserve"> An Analysis of Gen Z’s Perception Types on the Culture of Korean Workplace Gatherings(Hoesik): A Q Methodological Approach — https://doi.org/10.21329/khrd.2025.20.3.65</w:t>
      </w:r>
    </w:p>
    <w:p>
      <w:pPr/>
      <w:r>
        <w:rPr>
          <w:b/>
        </w:rPr>
        <w:t>Shared claim-specific concepts:</w:t>
      </w:r>
      <w:r>
        <w:t xml:space="preserve"> analyzing, diverse, contextual, used, culture; EU scope not established. This is a provisional connection, not an outcome finding.</w:t>
      </w:r>
    </w:p>
    <w:p>
      <w:pPr>
        <w:pStyle w:val="SourceNote"/>
      </w:pPr>
      <w:r>
        <w:rPr>
          <w:b/>
        </w:rPr>
        <w:t>Available abstract (not full text):</w:t>
      </w:r>
      <w:r>
        <w:t xml:space="preserve"> The purpose of this study is to identify the types of perceptions of Gen Z(Generation Z) toward Korean Workplace Gatherings “Hoesik” culture and to analyze the characteristics of each type. To achieve this purpose, the Q method was used to explore in depth the subjective perceptions, attitudes, and values that Gen Z employees hold regarding Hoesik culture. As a result of analyzing 30 participants from Gen Z who are currently employed in organizations, a total of 4 types of perception were identified. First, the ‘Traditional Hoesik Maintenance’ type values the positive functions of Hoesik culture and holds a receptive attitude. Second, the ‘Hoesik Burden and Avoidance’ type highlights the psychological pressure imposed by Korea’s collectivism and authoritarianism. Third, the ‘Hoesik Diversity Acceptance’ type recognizes generational gaps and values leadership-driven changes and efforts toward communication. Fourth, the ‘Autonomous Hoesik Participation-Oriented’ type emphasizes autonomy and voluntary engagement beyond relational obligations. Overall, the findings indicate that Gen Z’s perceptions of Hoesik culture manifest in diverse ways, and that individual differences and contextual factors must be considered. In addition, a more three-dimensional approach is needed given that perceptions of Hoesik culture are influenced not only by generational factors but also by structural </w:t>
      </w:r>
    </w:p>
    <w:p>
      <w:pPr/>
      <w:r>
        <w:rPr>
          <w:b/>
        </w:rPr>
        <w:t>POSSIBLE 2025:</w:t>
      </w:r>
      <w:r>
        <w:t xml:space="preserve"> Predicting the success of local gatherings: A comparison of organizer- and participant-side success in Meetup — https://doi.org/10.1016/j.cities.2025.106530</w:t>
      </w:r>
    </w:p>
    <w:p>
      <w:pPr/>
      <w:r>
        <w:rPr>
          <w:b/>
        </w:rPr>
        <w:t>Shared claim-specific concepts:</w:t>
      </w:r>
      <w:r>
        <w:t xml:space="preserve"> diverse, planning, used; EU scope not established. This is a provisional connection, not an outcome finding.</w:t>
      </w:r>
    </w:p>
    <w:p>
      <w:pPr>
        <w:pStyle w:val="SourceNote"/>
      </w:pPr>
      <w:r>
        <w:rPr>
          <w:b/>
        </w:rPr>
        <w:t>Available abstract (not full text):</w:t>
      </w:r>
      <w:r>
        <w:t xml:space="preserve"> This study examines the dynamics of local gatherings facilitated by Event-Based Social Networking (EBSN) platforms, an increasingly prominent mode of social interaction in urban settings. Although EBSN platforms are widely used to organize local events, little research has investigated the factors that determine their success across diverse urban environments or how socio-spatial contexts shape participation. To address this gap, we analyze a large-scale dataset of more than one million events across the 500 largest U.S. cities from Meetup.com by integrating geospatial, community-level, and event-specific features to predict event success. We develop models that assess event success from both participant and organizer perspectives. The results show that participant engagement is driven primarily by community characteristics, whereas organizer outcomes are shaped by a broader mix of features. Consistent patterns in event category preferences, such as the high participation observed in fitness-related events, indicate the influence of socio-cultural characteristics. Moreover, city-level differences underscore the importance of local context, as success rates vary independently of population size. These findings not only align with social theories on urban interaction and participation but also offer actionable insights for platform designers, community organizers, and policymaker</w:t>
      </w:r>
    </w:p>
    <w:p>
      <w:pPr/>
      <w:r>
        <w:rPr>
          <w:b/>
        </w:rPr>
        <w:t>POSSIBLE 2025:</w:t>
      </w:r>
      <w:r>
        <w:t xml:space="preserve"> Analyzing National War Propaganda Through Comparison of Diverse Case Studies — https://doi.org/10.15760/etd.4014</w:t>
      </w:r>
    </w:p>
    <w:p>
      <w:pPr/>
      <w:r>
        <w:rPr>
          <w:b/>
        </w:rPr>
        <w:t>Shared claim-specific concepts:</w:t>
      </w:r>
      <w:r>
        <w:t xml:space="preserve"> analyzing, diverse, used; EU scope not established. This is a provisional connection, not an outcome finding.</w:t>
      </w:r>
    </w:p>
    <w:p>
      <w:pPr>
        <w:pStyle w:val="SourceNote"/>
      </w:pPr>
      <w:r>
        <w:rPr>
          <w:b/>
        </w:rPr>
        <w:t>Available abstract (not full text):</w:t>
      </w:r>
      <w:r>
        <w:t xml:space="preserve"> In the build-up to war, national governments utilize propaganda to gather public support for the war effort. In some instances, propaganda campaigns are conducted but war does not occur. This begs the question as to why war follows propaganda campaigns in some cases, but not in others. I argue that propaganda efforts that lead to war can be generally characterized through three major strategies based on a patriotic participatory social structure, a claim to moral authority, and the blending of individual concepts of the state, government and nation. In this study, I analyze the major historical case studies of the Spanish-American war, Imperial Japan, the U.S. invasion of Iraq in 2003, the U.S-Soviet Union Cold War confrontation, and the Kashmir dispute between India and Pakistan to study the relationship between propaganda and war. I use a qualitative content analysis methodology to analyze pro-war statements from politicians, military officials and media leaders to determine the similarities and differences in the language, ideology and framing strategies used in various cases of international conflict. In cases where propaganda campaigns lead to war, I find that appeals based on moral authority, citizen-state participation and the merging of independent notions of statehood, cultural heritage and shared national history are employed by national governments and reiterated by </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2024:</w:t>
      </w:r>
      <w:r>
        <w:t xml:space="preserve"> A Battlefield of Textual Elements: Bookishness in Magic: The Gathering — https://doi.org/10.3366/tna.2024.0024</w:t>
      </w:r>
    </w:p>
    <w:p>
      <w:pPr/>
      <w:r>
        <w:rPr>
          <w:b/>
        </w:rPr>
        <w:t>Shared claim-specific concepts:</w:t>
      </w:r>
      <w:r>
        <w:t xml:space="preserve"> gathering, diverse, used, culture; EU scope not established. This is a provisional connection, not an outcome finding.</w:t>
      </w:r>
    </w:p>
    <w:p>
      <w:pPr>
        <w:pStyle w:val="SourceNote"/>
      </w:pPr>
      <w:r>
        <w:rPr>
          <w:b/>
        </w:rPr>
        <w:t>Available abstract (not full text):</w:t>
      </w:r>
      <w:r>
        <w:t xml:space="preserve"> The Magic: The Gathering trading card is an underexplored bookish medium for literary theory and print culture that promotes the interrogation of existing conventions of authorship, paratext, and ephemerality. By focusing on the Magic card through a literary lens rather than one of game studies, the cards reveal as much about themselves as they reveal about literary theory. As a user centric medium, Magic cards connect to the larger history of commonplace books and support Barthes’ claim of author death. Conversely, the diverse discursive contexts in which Magic cards are used demonstrate the usefulness of Foucault’s “author function”. Additionally, the compact size of the Magic card creates tension that strains paratextual understandings of unity. By looking at the Magic card as a bookish form, current theoretical understandings are further developed, and real word applications, creating anti-racist spaces and promoting nonlinear and communal storytelling, become demystified.</w:t>
      </w:r>
    </w:p>
    <w:p>
      <w:pPr>
        <w:pStyle w:val="Heading2"/>
      </w:pPr>
      <w:r>
        <w:t>694.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2025:</w:t>
      </w:r>
      <w:r>
        <w:t xml:space="preserve"> Decoupling oxidation and hardening in ageing: evaluation of bitumen-stone adhesion using different experimental methods — https://doi.org/10.1080/14680629.2025.2486525</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The adhesion at the bitumen-aggregate interface critically affects asphalt pavement resistance to moisture damage and cracking and is significantly influenced by the bitumen ageing process. Coupled oxidation and hardening during ageing lead to varying results across evaluation methods. This study employs direct tensile pull-off tests at iso-temperature and iso-stiffness conditions, contact angle tests, and boiling water tests to assess bitumen-stone adhesion at different ageing levels. Results indicate oxidation and hardening have dual impacts: short-term ageing initially enhances adhesion, while prolonged ageing reduces it significantly. Polymer-modified bitumen shows improved ageing resistance due to delayed polymer degradation. Iso-temperature tests fail to clearly differentiate oxidation from hardening effects, whereas iso-stiffness tests offer more accurate assessments by excluding physical hardening. Due to interactions between chemical and physical changes in bitumen, ageing evaluations vary by indices and binder type. A comprehensive assessment combining pull-off tensile tests, surface free energy analysis, and mixture-scale evaluations is recommended.</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pStyle w:val="Heading2"/>
      </w:pPr>
      <w:r>
        <w:t>695.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pStyle w:val="Heading2"/>
      </w:pPr>
      <w:r>
        <w:t>696.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Climate Obstruction across Europe — https://doi.org/10.1093/oso/9780197762042.001.0001</w:t>
      </w:r>
    </w:p>
    <w:p>
      <w:pPr/>
      <w:r>
        <w:rPr>
          <w:b/>
        </w:rPr>
        <w:t>Shared claim-specific concepts:</w:t>
      </w:r>
      <w:r>
        <w:t xml:space="preserve"> action, climate, long-term;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EUROPEAN LANDSCAPE OF CLIMATE LAW — https://doi.org/10.46299/979-8-89504-809-2.3</w:t>
      </w:r>
    </w:p>
    <w:p>
      <w:pPr/>
      <w:r>
        <w:rPr>
          <w:b/>
        </w:rPr>
        <w:t>Shared claim-specific concepts:</w:t>
      </w:r>
      <w:r>
        <w:t xml:space="preserve"> specifically, action, must, raise, climate, targets;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Globally representative evidence on the actual and perceived support for climate action — https://doi.org/10.1038/s41558-024-01925-3</w:t>
      </w:r>
    </w:p>
    <w:p>
      <w:pPr/>
      <w:r>
        <w:rPr>
          <w:b/>
        </w:rPr>
        <w:t>Shared claim-specific concepts:</w:t>
      </w:r>
      <w:r>
        <w:t xml:space="preserve"> action, climate, show; EU scope not established. This is a provisional connection, not an outcome finding.</w:t>
      </w:r>
    </w:p>
    <w:p>
      <w:pPr>
        <w:pStyle w:val="SourceNote"/>
      </w:pPr>
      <w:r>
        <w:rPr>
          <w:b/>
        </w:rPr>
        <w:t>Available abstract (not full text):</w:t>
      </w:r>
      <w:r>
        <w:t xml:space="preserve"> Abstract Mitigating climate change necessitates global cooperation, yet global data on individuals’ willingness to act remain scarce. In this study, we conducted a representative survey across 125 countries, interviewing nearly 130,000 individuals. Our findings reveal widespread support for climate action. Notably, 69% of the global population expresses a willingness to contribute 1% of their personal income, 86% endorse pro-climate social norms and 89% demand intensified political action. Countries facing heightened vulnerability to climate change show a particularly high willingness to contribute. Despite these encouraging statistics, we document that the world is in a state of pluralistic ignorance, wherein individuals around the globe systematically underestimate the willingness of their fellow citizens to act. This perception gap, combined with individuals showing conditionally cooperative behaviour, poses challenges to further climate action. Therefore, raising awareness about the broad global support for climate action becomes critically important in promoting a unified response to climate change.</w:t>
      </w:r>
    </w:p>
    <w:p>
      <w:pPr/>
      <w:r>
        <w:rPr>
          <w:b/>
        </w:rPr>
        <w:t>POSSIBLE 2024:</w:t>
      </w:r>
      <w:r>
        <w:t xml:space="preserve"> Closing the climate finance gap: How to raise the money the world needs to support climate action — https://doi.org/10.55317/9781784136307</w:t>
      </w:r>
    </w:p>
    <w:p>
      <w:pPr/>
      <w:r>
        <w:rPr>
          <w:b/>
        </w:rPr>
        <w:t>Shared claim-specific concepts:</w:t>
      </w:r>
      <w:r>
        <w:t xml:space="preserve"> action, raise, climate, possible, increase; EU scope not established. This is a provisional connection, not an outcome finding.</w:t>
      </w:r>
    </w:p>
    <w:p>
      <w:pPr>
        <w:pStyle w:val="SourceNote"/>
      </w:pPr>
      <w:r>
        <w:rPr>
          <w:b/>
        </w:rPr>
        <w:t>Available abstract (not full text):</w:t>
      </w:r>
      <w:r>
        <w:t xml:space="preserve"> With climate impacts getting worse and temperature records being broken, the pressure on countries to raise more money in support of climate action continues to increase. But the ‘climate finance gap’ – the difference between the trillions of dollars needed and the amounts currently available – remains persistent, and is particularly acute in emerging markets and developing economies. Most of the new money needed will have to come from the private sector, but public funding also has a crucial role to play. Fiscal and political pressures in the advanced economies mean that public funds are in short supply. However, this only increases the importance of using the limited amount available in the most effective way possible. The prospect of reduced US political support for climate action in the wake of the 2024 presidential election makes this even more important. This paper explores the challenges of increasing climate finance to emerging markets and developing countries. It discusses the prospects for raising more public international finance in absolute terms, and proposes ideas for using the public money that is already available – or realistically likely to become available – more effectively. Key findings include: the need for regular comparative assessment of different channels for deploying public finance in climate action; the need to enable multilateral development banks </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pStyle w:val="Heading2"/>
      </w:pPr>
      <w:r>
        <w:t>697.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2024:</w:t>
      </w:r>
      <w:r>
        <w:t xml:space="preserve"> European Citizens’ Evaluation of the Common Agricultural Policy — https://doi.org/10.3390/su16103970</w:t>
      </w:r>
    </w:p>
    <w:p>
      <w:pPr/>
      <w:r>
        <w:rPr>
          <w:b/>
        </w:rPr>
        <w:t>Shared claim-specific concepts:</w:t>
      </w:r>
      <w:r>
        <w:t xml:space="preserve"> citizens, insights, perceptions, positive; EU scope visible. This is a provisional connection, not an outcome finding.</w:t>
      </w:r>
    </w:p>
    <w:p>
      <w:pPr>
        <w:pStyle w:val="SourceNote"/>
      </w:pPr>
      <w:r>
        <w:rPr>
          <w:b/>
        </w:rPr>
        <w:t>Available abstract (not full text):</w:t>
      </w:r>
      <w:r>
        <w:t xml:space="preserve"> The Common Agricultural Policy (CAP) is crucial in ensuring food safety and security in Europe. Providing a stable and diverse food supply also supports rural economies and promotes social, environmental and economic sustainability. However, as CAP consumes approximately 30% of the EU budget, debates regarding its pertinence have arisen. This paper aimed to understand European citizens’ perceptions of CAP, its associated benefits and their level of agreement regarding the allocation of the EU budget. Ultimately, the goal was to gain insights into EU citizens’ attitudes and perceptions towards the CAP. Information and data come from the European Survey Eurobarometer. The methods include statistical inferential techniques adjusted to the nature of the variables and goals. The findings confirm that European citizens generally perceive the CAP positively and have positive attitudes about the CAP. While some differences among various social groups may exist, the results did not identify any specific group strongly opposing the CAP. Overall, European citizens hold a favorable attitude towards the CAP, its associated benefits and budget allocation. This paper brings new insights into new European CAP measures and programs to promote food security and the sustainability of agriculture among European countries and citizens. These insights may be useful for public decision-makers to defi</w:t>
      </w:r>
    </w:p>
    <w:p>
      <w:pPr/>
      <w:r>
        <w:rPr>
          <w:b/>
        </w:rPr>
        <w:t>POSSIBLE 2024:</w:t>
      </w:r>
      <w:r>
        <w:t xml:space="preserve"> Digital Divide in the European Union: A Typology of EU Citizens — https://doi.org/10.1007/s11205-024-03452-2</w:t>
      </w:r>
    </w:p>
    <w:p>
      <w:pPr/>
      <w:r>
        <w:rPr>
          <w:b/>
        </w:rPr>
        <w:t>Shared claim-specific concepts:</w:t>
      </w:r>
      <w:r>
        <w:t xml:space="preserve"> citizens, insights, equitable; EU scope visible. This is a provisional connection, not an outcome finding.</w:t>
      </w:r>
    </w:p>
    <w:p>
      <w:pPr>
        <w:pStyle w:val="SourceNote"/>
      </w:pPr>
      <w:r>
        <w:rPr>
          <w:b/>
        </w:rPr>
        <w:t>Available abstract (not full text):</w:t>
      </w:r>
      <w:r>
        <w:t xml:space="preserve"> Abstract This paper addresses the heterogeneity of the digital divide and internet use among citizens in the 28 European Union (EU) countries (at the time of the survey). Drawing from the Eurobarometer Surveys, three indicators of the digital divide are used to define the groups: frequency of internet access, means of internet access, and online activities. The categorical clustering algorithm identifies six groups of internet users: Non-Users , Basic Users, Information Exchangers , Instrumental Users, Socializers, and Advanced Users , each with distinct socio-demographic profiles. The study reveals significant socio-economic and demographic profiling variables characterizing these patterns, including age, education, gender, occupation, type of community and geographic location. A major digital divide is detected in many countries; Notably, Romania, Greece, and Bulgaria have the largest proportion of Non-Users , emphasizing the need for targeted policy interventions. These results provide crucial insights for the European Commission’s digitization strategy, suggesting that more nuanced and targeted measures are needed to ensure equitable digital access across the EU.</w:t>
      </w:r>
    </w:p>
    <w:p>
      <w:pPr/>
      <w:r>
        <w:rPr>
          <w:b/>
        </w:rPr>
        <w:t>POSSIBLE 2024:</w:t>
      </w:r>
      <w:r>
        <w:t xml:space="preserve"> Adoption of Digital Therapeutics in Europe — https://doi.org/10.2147/tcrm.s489873</w:t>
      </w:r>
    </w:p>
    <w:p>
      <w:pPr/>
      <w:r>
        <w:rPr>
          <w:b/>
        </w:rPr>
        <w:t>Shared claim-specific concepts:</w:t>
      </w:r>
      <w:r>
        <w:t xml:space="preserve"> article, narrative, solutions; EU scope visible. This is a provisional connection, not an outcome finding.</w:t>
      </w:r>
    </w:p>
    <w:p>
      <w:pPr>
        <w:pStyle w:val="SourceNote"/>
      </w:pPr>
      <w:r>
        <w:rPr>
          <w:b/>
        </w:rPr>
        <w:t>Available abstract (not full text):</w:t>
      </w:r>
      <w:r>
        <w:t xml:space="preserve"> Digital therapeutics (DTx) are an emerging medical therapy comprising evidence-based interventions that are regulatory approved for patient use, or are under development, for a variety of medical conditions, including hypertension, cancer, substance use disorders and mental disorders. DTx have significant potential to reduce the overall burden on healthcare systems and offer potential economic benefits. There is currently no specific legal regulation on DTx in the EU. Although European countries have similar approaches to digital health solutions, the adoption of DTx varies across the continent. The aim of this narrative review is to discuss the levels of adoption of DTx in Europe, and to explore possible strategies to improve adoption, with the goal of higher rates of adoption, and more consistent use of DTx across the continent. The article discusses the regulatory and reimbursement landscape across Europe; validation requirements for DTx, and the importance of co-design and an ecosystem-centric approach in the development of DTx. Also considered are drivers of adoption and prescription practices for DTx, as well as patient perspectives on these therapeutics. The article explores potential factors that may contribute to low rates of DTx adoption in Europe, including lack of harmonisation in regulatory requirements and reimbursement; sociodemographic factors; health status; et</w:t>
      </w:r>
    </w:p>
    <w:p>
      <w:pPr>
        <w:pStyle w:val="Heading2"/>
      </w:pPr>
      <w:r>
        <w:t>698.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r>
        <w:rPr>
          <w:b/>
        </w:rPr>
        <w:t>POSSIBLE 2023:</w:t>
      </w:r>
      <w:r>
        <w:t xml:space="preserve"> Grid integration feasibility and investment planning of offshore wind power under carbon-neutral transition in China — https://doi.org/10.1038/s41467-023-37536-3</w:t>
      </w:r>
    </w:p>
    <w:p>
      <w:pPr/>
      <w:r>
        <w:rPr>
          <w:b/>
        </w:rPr>
        <w:t>Shared claim-specific concepts:</w:t>
      </w:r>
      <w:r>
        <w:t xml:space="preserve"> china, investments, indicate; EU scope not established. This is a provisional connection, not an outcome finding.</w:t>
      </w:r>
    </w:p>
    <w:p>
      <w:pPr>
        <w:pStyle w:val="SourceNote"/>
      </w:pPr>
      <w:r>
        <w:rPr>
          <w:b/>
        </w:rPr>
        <w:t>Available abstract (not full text):</w:t>
      </w:r>
      <w:r>
        <w:t xml:space="preserve"> emitter, China. However, system integration barriers as well as system balancing costs have not been quantified yet. Here we develop a bottom-up model to test the grid accommodation capabilities and design the optimal investment plans for offshore wind power considering resource distributions, hourly power system simulations, and transmission/storage/hydrogen investments. Results indicate that grid integration barriers exist currently at the provincial level. For 2030, optimized offshore wind investment levels should be doubled compared with current government plans, and provincial allocations should be significantly improved considering both resource quality and grid conditions. For 2050, offshore wind capacity in China could reach as high as 1500 GW, prompting a paradigm shift in national transmission structure, favoring long-term storage in the energy portfolio, enabling green hydrogen production in coastal demand centers, resulting in the world's largest wind power market.</w:t>
      </w:r>
    </w:p>
    <w:p>
      <w:pPr/>
      <w:r>
        <w:rPr>
          <w:b/>
        </w:rPr>
        <w:t>POSSIBLE 2023:</w:t>
      </w:r>
      <w:r>
        <w:t xml:space="preserve"> Influence of carbon derivatives on carbon capture investments in coal-based power sector, a China perspective — https://doi.org/10.1016/j.isci.2023.108026</w:t>
      </w:r>
    </w:p>
    <w:p>
      <w:pPr/>
      <w:r>
        <w:rPr>
          <w:b/>
        </w:rPr>
        <w:t>Shared claim-specific concepts:</w:t>
      </w:r>
      <w:r>
        <w:t xml:space="preserve"> china, low, carbon, investments, decarbonization; EU scope not established. This is a provisional connection, not an outcome finding.</w:t>
      </w:r>
    </w:p>
    <w:p>
      <w:pPr>
        <w:pStyle w:val="SourceNote"/>
      </w:pPr>
      <w:r>
        <w:rPr>
          <w:b/>
        </w:rPr>
        <w:t>Available abstract (not full text):</w:t>
      </w:r>
      <w:r>
        <w:t xml:space="preserve"> Coal-based power sector needs deep carbon emission reduction in the upcoming 20 years to fulfill China's carbon peaking and carbon neutrality pledge. Due to the low and fluctuating carbon price in the emission trading system, decarbonization projects are risky and face massive potential losses. To promote decarbonization investment, a lot of policies of subsidy have been set forth. However, market instruments, which could be efficient and motivating for market entities, should have received more attention. In this article, the influence of carbon derivatives on decarbonization investment and financing is analyzed for different technology progresses and price trajectories. Results show that carbon futures and options have de-risking ability, lowering expected variation and financial cost, and consequently, making decarbonization project feasible. For advanced technology and optimistic outlook, investment can be feasible with 42-66% debt share when options are available. For the base case and neutral price outlook, derivatives can pull subsidy down by around 1%.</w:t>
      </w:r>
    </w:p>
    <w:p>
      <w:pPr/>
      <w:r>
        <w:rPr>
          <w:b/>
        </w:rPr>
        <w:t>POSSIBLE 2023:</w:t>
      </w:r>
      <w:r>
        <w:t xml:space="preserve"> The Europeanization in Chinese — Focus on English and Chinese — https://doi.org/10.54097/ehss.v17i.10464</w:t>
      </w:r>
    </w:p>
    <w:p>
      <w:pPr/>
      <w:r>
        <w:rPr>
          <w:b/>
        </w:rPr>
        <w:t>Shared claim-specific concepts:</w:t>
      </w:r>
      <w:r>
        <w:t xml:space="preserve"> china, increase; EU scope not established. This is a provisional connection, not an outcome finding.</w:t>
      </w:r>
    </w:p>
    <w:p>
      <w:pPr>
        <w:pStyle w:val="SourceNote"/>
      </w:pPr>
      <w:r>
        <w:rPr>
          <w:b/>
        </w:rPr>
        <w:t>Available abstract (not full text):</w:t>
      </w:r>
      <w:r>
        <w:t xml:space="preserve"> Languages are always progressing, and other languages significantly influence Chinese. The significant influence is a change in the structure of the Chinese sentence. As intercultural communication continues to increase, loanwords are becoming more and more common in daily life. Loanwords fill up the gaps of new things and greatly enrich the vocabulary. Language interactions and the people’s perception of such implicit and explicit cultural influences are critical to understand cultural influences on people and cultural exchange. This paper analyzes loanwords, sentence structure and people’s thinking patterns to find the influence caused by Europeanization and how Europeanization is defined in China. Moreover, this paper analyzes the international context and the related conditions of the Chinese Europeanization phenomenon. In general, the Europeanization of the Chinese is inevitable in the current context. The borrowed words and grammatical changes have enriched the Chinese vocabulary and promoted smooth communication between China and other countries.</w:t>
      </w:r>
    </w:p>
    <w:p>
      <w:pPr>
        <w:pStyle w:val="Heading2"/>
      </w:pPr>
      <w:r>
        <w:t>699.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r>
        <w:rPr>
          <w:b/>
        </w:rPr>
        <w:t>POSSIBLE 2022:</w:t>
      </w:r>
      <w:r>
        <w:t xml:space="preserve"> Uncertainty Analysis Using Multi-Scenario Modeling Approach: Kashagan Field Case Study — https://doi.org/10.2118/212060-ms</w:t>
      </w:r>
    </w:p>
    <w:p>
      <w:pPr/>
      <w:r>
        <w:rPr>
          <w:b/>
        </w:rPr>
        <w:t>Shared claim-specific concepts:</w:t>
      </w:r>
      <w:r>
        <w:t xml:space="preserve"> unique, multi-scenario, since, combined; EU scope not established. This is a provisional connection, not an outcome finding.</w:t>
      </w:r>
    </w:p>
    <w:p>
      <w:pPr>
        <w:pStyle w:val="SourceNote"/>
      </w:pPr>
      <w:r>
        <w:rPr>
          <w:b/>
        </w:rPr>
        <w:t>Available abstract (not full text):</w:t>
      </w:r>
      <w:r>
        <w:t xml:space="preserve"> Abstract This paper will present a case study of an Uncertainty Analysis recently performed for the Kashagan Field. This is the first full scale uncertainty work performed on the field since it came online in September 2016. The paper will describe unique challenges given Kashagan peculiarities and describe methods and approaches taken to address those. A multi-scenario modeling workflow has been utilized to fully explore subsurface uncertainties in the decision space. First, uncertainties that were believed to have an impact on field performance based on the available data and learnings from previous studies were identified and ranked. Then, so-called categorical parameters were combined by grouping geologically relatable parameters into several scenarios with differentiating behaviors which were checked by performing screening simulation runs. This was followed by Design of Experiment (DoE) runs (Placket-Burman and Latin Hypercube), proxy modeling and Monte-Carlo analysis to aid selection of high, mid, and low models. More than 400 simulation runs were generated resulting in a wide range of outcomes for key performance indicators, enabling the selection of high, mid, and low model realizations to evaluate future field development decisions. The approach of combining categorical parameters into multiple scenarios followed by DoE runs offered several advantages including full s</w:t>
      </w:r>
    </w:p>
    <w:p>
      <w:pPr/>
      <w:r>
        <w:rPr>
          <w:b/>
        </w:rPr>
        <w:t>POSSIBLE 2022:</w:t>
      </w:r>
      <w:r>
        <w:t xml:space="preserve"> A Bayesian network approach for multi-sectoral flood damage assessment and multi-scenario analysis — https://doi.org/10.1016/j.crm.2022.100410</w:t>
      </w:r>
    </w:p>
    <w:p>
      <w:pPr/>
      <w:r>
        <w:rPr>
          <w:b/>
        </w:rPr>
        <w:t>Shared claim-specific concepts:</w:t>
      </w:r>
      <w:r>
        <w:t xml:space="preserve"> multi-scenario, pathways; EU scope not established. This is a provisional connection, not an outcome finding.</w:t>
      </w:r>
    </w:p>
    <w:p>
      <w:pPr>
        <w:pStyle w:val="SourceNote"/>
      </w:pPr>
      <w:r>
        <w:rPr>
          <w:b/>
        </w:rPr>
        <w:t>Available abstract (not full text):</w:t>
      </w:r>
      <w:r>
        <w:t xml:space="preserve"> Extreme weather and climate related events, from river flooding to droughts and tropical cyclones, are likely to become both more severe and more frequent in the coming decades, and the damages caused by these events will be felt across all sectors of society. In the face of this threat, policy- and decision-makers are increasingly calling for new approaches and tools to support risk management and climate adaptation pathways that can capture the full extent of the impacts. In this frame, a GIS-based Bayesian Network (BN) approach is presented for the capturing and modelling of multi-sectoral flooding damages against future ‘what-if’ scenarios. Building on a risk-based conceptual framework, the BN model was trained and validated by exploiting data collected from the 2014 Secchia River flooding event, as well as other contextual variables. Moreover, a novel approach to defining the structure of the BN was performed, reconfiguring the model according to expert judgment and data-based validation. The model showed a good predictive capacity for damages in the agricultural, industrial and residential sectors, predicting the severity of damages with a classification accuracy of about 60% for each of these assessment endpoints. ‘What-if’ scenario analysis was performed to understand the potential impacts of future changes in i) land use patterns and ii) increasing flood depths resulti</w:t>
      </w:r>
    </w:p>
    <w:p>
      <w:pPr/>
      <w:r>
        <w:rPr>
          <w:b/>
        </w:rPr>
        <w:t>POSSIBLE 2022:</w:t>
      </w:r>
      <w:r>
        <w:t xml:space="preserve"> Super Learner Ensemble for Anomaly Detection and Cyber-Risk Quantification in Industrial Control Systems — https://doi.org/10.1109/jiot.2022.3144127</w:t>
      </w:r>
    </w:p>
    <w:p>
      <w:pPr/>
      <w:r>
        <w:rPr>
          <w:b/>
        </w:rPr>
        <w:t>Shared claim-specific concepts:</w:t>
      </w:r>
      <w:r>
        <w:t xml:space="preserve"> part, ensemble, combined; EU scope not established. This is a provisional connection, not an outcome finding.</w:t>
      </w:r>
    </w:p>
    <w:p>
      <w:pPr>
        <w:pStyle w:val="SourceNote"/>
      </w:pPr>
      <w:r>
        <w:rPr>
          <w:b/>
        </w:rPr>
        <w:t>Available abstract (not full text):</w:t>
      </w:r>
      <w:r>
        <w:t xml:space="preserve"> Industrial control systems (ICSs) are integral parts of smart cities and critical to modern societies. Despite indisputable opportunities introduced by disruptor technologies, they proliferate the cybersecurity threat landscape, which is increasingly more hostile. The quantum of sensors utilized by ICS aided by artificial intelligence (AI) enables data collection capabilities to facilitate automation, process streamlining, and cost reduction. However, apart from the operational use, the sensors generated data combined with AI can be innovatively utilized to model anomalous behavior as part of layered security to increase resilience to cyberattacks. We introduce a framework to profile anomalous behavior in ICS and derive a cyber-risk score. A novel super learner ensemble for one-class classification is developed, using overlapping rolling windows with stratified,$k$-fold,$n$-repeat cross-validation applied to each base learner followed by majority voting to derive the best learner. Our approach is demonstrated on a liquid distribution sensor data set. The experimental results reveal that the proposed technique achieves an overall$F1$-score of 99.13%, an anomalous recall score of 99% detecting anomalies lasting only 17 s. The key strength of the framework is the low computational complexity and error rate. The framework is modular, generic, applicable to other ICS, and transferab</w:t>
      </w:r>
    </w:p>
    <w:p>
      <w:pPr>
        <w:pStyle w:val="Heading2"/>
      </w:pPr>
      <w:r>
        <w:t>700.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Forecasting Sustainable Development Indicators in Romania: A Study in the European Context — https://doi.org/10.3390/su16114534</w:t>
      </w:r>
    </w:p>
    <w:p>
      <w:pPr/>
      <w:r>
        <w:rPr>
          <w:b/>
        </w:rPr>
        <w:t>Shared claim-specific concepts:</w:t>
      </w:r>
      <w:r>
        <w:t xml:space="preserve"> determine, world; EU scope visible. This is a provisional connection, not an outcome finding.</w:t>
      </w:r>
    </w:p>
    <w:p>
      <w:pPr>
        <w:pStyle w:val="SourceNote"/>
      </w:pPr>
      <w:r>
        <w:rPr>
          <w:b/>
        </w:rPr>
        <w:t>Available abstract (not full text):</w:t>
      </w:r>
      <w:r>
        <w:t xml:space="preserve"> Sustainable development is a very important and highly debated concept worldwide, with almost all states around the globe recognizing the importance of supporting a balancing of economic, social and ecological plans to create a more prosperous and equitable world. The purpose of the current study is to identify the current context of the progress achieved by the EU member states regarding the 17 sustainable development objectives. Following the implemented research, it was found that Romania is one of the countries with the lowest performance, so an attempt was made to make a short-term forecast in the case of this country in order to determine its future course. In this sense, the Holt–Winters trend methods were used, which are based on historical data to predict future values. According to the analysis carried out, the predicted values are mainly encouraging, but it is necessary for the competent authorities to become more involved because, in many aspects, Romania is at the bottom of the European Union (EU) ranking regarding the analyzed indicators.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trends, science, technology, possible;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Forecasting and Analysis of Cryptocurrency Trends — https://doi.org/10.55041/ijsrem30241</w:t>
      </w:r>
    </w:p>
    <w:p>
      <w:pPr/>
      <w:r>
        <w:rPr>
          <w:b/>
        </w:rPr>
        <w:t>Shared claim-specific concepts:</w:t>
      </w:r>
      <w:r>
        <w:t xml:space="preserve"> trends, technology; EU scope not established. This is a provisional connection, not an outcome finding.</w:t>
      </w:r>
    </w:p>
    <w:p>
      <w:pPr>
        <w:pStyle w:val="SourceNote"/>
      </w:pPr>
      <w:r>
        <w:rPr>
          <w:b/>
        </w:rPr>
        <w:t>Available abstract (not full text):</w:t>
      </w:r>
      <w:r>
        <w:t xml:space="preserve"> The development of financial technology has given rise to a new class of asset known as cryptocurrency, which has presented a significant potential for study. Forecasting cryptocurrency prices is challenging because of their dynamic and volatile nature. There are hundreds of different cryptocurrencies in circulation today. With prospects in peer-to-peer payments, remittance, e-commerce and retail, and media &amp; entertainment, the cryptocurrency business appears to have a bright future. From 2019 to2024, the worldwide cryptocurrency industry is anticipated to expand at a 32% CAGR. The distributed ledger technology's immutability and transparency, the rise in remittances from poor nations, shifting monetary laws, and a sharp rise in venture capital investments are the main factors propelling this market's growth. We created a short-term prediction (between five and thirty days) for the cryptocurrencies using the ARIMA model. When it came to predicting cryptocurrency time series, we discovered that the suggested method outperformed the ARIMA-ARFIMA models in both periods of gradual rising (falling) and transition dynamics (change of trend). Index Terms: digital currency,cryptocurrency, and ARIMA model.</w:t>
      </w:r>
    </w:p>
    <w:p>
      <w:pPr/>
      <w:r>
        <w:rPr>
          <w:b/>
        </w:rPr>
        <w:t>POSSIBLE 2023:</w:t>
      </w:r>
      <w:r>
        <w:t xml:space="preserve"> Global trends and forecasts of breast cancer incidence and deaths — https://doi.org/10.1038/s41597-023-02253-5</w:t>
      </w:r>
    </w:p>
    <w:p>
      <w:pPr/>
      <w:r>
        <w:rPr>
          <w:b/>
        </w:rPr>
        <w:t>Shared claim-specific concepts:</w:t>
      </w:r>
      <w:r>
        <w:t xml:space="preserve"> forecasts, show, trends, regions; EU scope not established. This is a provisional connection, not an outcome finding.</w:t>
      </w:r>
    </w:p>
    <w:p>
      <w:pPr>
        <w:pStyle w:val="SourceNote"/>
      </w:pPr>
      <w:r>
        <w:rPr>
          <w:b/>
        </w:rPr>
        <w:t>Available abstract (not full text):</w:t>
      </w:r>
      <w:r>
        <w:t xml:space="preserve">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pPr/>
      <w:r>
        <w:rPr>
          <w:b/>
        </w:rPr>
        <w:t>POSSIBLE 2023:</w:t>
      </w:r>
      <w:r>
        <w:t xml:space="preserve"> CUSTOMS POLICY OF THE EUROPEAN UNION: TRENDS, FORECASTS, AND DEVELOPMENT PERSPECTIVES — https://doi.org/10.30970/ves.2023.65.0.6519</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pPr/>
      <w:r>
        <w:rPr>
          <w:b/>
        </w:rPr>
        <w:t>POSSIBLE 2023:</w:t>
      </w:r>
      <w:r>
        <w:t xml:space="preserve"> Skilful sub‐seasonal forecasts of aggregated temperature over Europe — https://doi.org/10.1002/met.2169</w:t>
      </w:r>
    </w:p>
    <w:p>
      <w:pPr/>
      <w:r>
        <w:rPr>
          <w:b/>
        </w:rPr>
        <w:t>Shared claim-specific concepts:</w:t>
      </w:r>
      <w:r>
        <w:t xml:space="preserve"> forecasts, show, regions; EU scope visible. This is a provisional connection, not an outcome finding.</w:t>
      </w:r>
    </w:p>
    <w:p>
      <w:pPr>
        <w:pStyle w:val="SourceNote"/>
      </w:pPr>
      <w:r>
        <w:rPr>
          <w:b/>
        </w:rPr>
        <w:t>Available abstract (not full text):</w:t>
      </w:r>
      <w:r>
        <w:t xml:space="preserve"> Abstract Subseasonal‐to‐seasonal (S2S) forecasts span the prediction range of weeks to 2–3 months ahead, bridging the gap between medium‐range and seasonal weather forecasts. There has been growing interest in S2S forecasts in recent years, largely because of the many potential uses of forecasts spanning these timescales. However, the skill of S2S forecasts beyond the first 2 weeks or so is poor, potentially limiting the usability of these forecasts. We show in this study that when considering accumulated temperatures, there is in fact good forecasting skill over Europe for accumulation periods up to 30 days ahead. Using a set of S2S hindcasts, we show using both a deterministic and a probabilistic measure of skill that the accumulated 2‐metre temperature forecasts out to 30 days are skilful over most of Europe. In summer, South West Europe has highest skill, while in winter North East Europe has highest skill. As an example application of such forecasts, we also evaluate the skill for summer cooling degree‐days (CDD) and winter heating degree‐days (HDD). For 30‐day winter HDD, there is good skill in all four European regions; for 30‐day summer CDD, the skill is limited in North West Europe, but still good in other regions.</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forecasts, science, technology;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pStyle w:val="Heading2"/>
      </w:pPr>
      <w:r>
        <w:t>701.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r>
        <w:rPr>
          <w:b/>
        </w:rPr>
        <w:t>POSSIBLE 2024:</w:t>
      </w:r>
      <w:r>
        <w:t xml:space="preserve"> Carbon emission reduction strategy planning and scheduling for transitioning process plants towards net-zero emissions — https://doi.org/10.1039/d4su00636d</w:t>
      </w:r>
    </w:p>
    <w:p>
      <w:pPr/>
      <w:r>
        <w:rPr>
          <w:b/>
        </w:rPr>
        <w:t>Shared claim-specific concepts:</w:t>
      </w:r>
      <w:r>
        <w:t xml:space="preserve"> graphical, emission, decarbonisation; EU scope not established. This is a provisional connection, not an outcome finding.</w:t>
      </w:r>
    </w:p>
    <w:p>
      <w:pPr>
        <w:pStyle w:val="SourceNote"/>
      </w:pPr>
      <w:r>
        <w:rPr>
          <w:b/>
        </w:rPr>
        <w:t>Available abstract (not full text):</w:t>
      </w:r>
      <w:r>
        <w:t xml:space="preserve"> This work introduces a novel methodology to plan and schedule decarbonisation strategies to achieve net-zero emissions. By integrating graphical and mathematical approaches, it provides a user-friendly tool to determine the optimal timing for implementation across investment plans.</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2023:</w:t>
      </w:r>
      <w:r>
        <w:t xml:space="preserve"> Emissions from Light-Duty Vehicles—From Statistics to Emission Regulations and Vehicle Testing in the European Union — https://doi.org/10.3390/en17010209</w:t>
      </w:r>
    </w:p>
    <w:p>
      <w:pPr/>
      <w:r>
        <w:rPr>
          <w:b/>
        </w:rPr>
        <w:t>Shared claim-specific concepts:</w:t>
      </w:r>
      <w:r>
        <w:t xml:space="preserve"> overview, real, emission, factors; EU scope visible. This is a provisional connection, not an outcome finding.</w:t>
      </w:r>
    </w:p>
    <w:p>
      <w:pPr>
        <w:pStyle w:val="SourceNote"/>
      </w:pPr>
      <w:r>
        <w:rPr>
          <w:b/>
        </w:rPr>
        <w:t>Available abstract (not full text):</w:t>
      </w:r>
      <w:r>
        <w:t xml:space="preserve"> The article offers a comprehensive examination of vehicle emissions, with a specific focus on the European Union’s automotive industry. Its main goal is to provide an in-depth analysis of the factors influencing the emission of microcontaminants from light-duty vehicles and the challenges associated with their removal via exhaust aftertreatment systems. It presents statistical insights into the automotive sector and explores the relationships between vehicle categories, fuel types, and the emission of regulated and nonregulated pollutants, as well as relevant legal regulations such as the European Emission Standard. The article delves into the characteristics of vehicle exhaust, compares exhaust-gas aftertreatment systems, and introduces factors affecting emissions from gasoline engines, including downsizing, fuel composition, and engine operating parameters. It also considers the impact of driving style, start–stop systems, and related factors. Concluding, the article offers an overview of vehicle-testing procedures, including emission tests on dynamometer chassis and real driving emissions. With the growing global vehicle population and international environmental regulations, a focus on solid particles containing microcontaminants is paramount, as they pose significant risks to health and the environment. In summary, this article provides valuable insights into vehicle emiss</w:t>
      </w:r>
    </w:p>
    <w:p>
      <w:pPr/>
      <w:r>
        <w:rPr>
          <w:b/>
        </w:rPr>
        <w:t>POSSIBLE 2023:</w:t>
      </w:r>
      <w:r>
        <w:t xml:space="preserve"> A comprehensive overview of carbon dioxide, including emission sources, capture technologies, and the conversion into value-added products — https://doi.org/10.1007/s10098-023-02599-9</w:t>
      </w:r>
    </w:p>
    <w:p>
      <w:pPr/>
      <w:r>
        <w:rPr>
          <w:b/>
        </w:rPr>
        <w:t>Shared claim-specific concepts:</w:t>
      </w:r>
      <w:r>
        <w:t xml:space="preserve"> graphical, overview, emission; EU scope not established. This is a provisional connection, not an outcome finding.</w:t>
      </w:r>
    </w:p>
    <w:p>
      <w:pPr>
        <w:pStyle w:val="SourceNote"/>
      </w:pPr>
      <w:r>
        <w:rPr>
          <w:b/>
        </w:rPr>
        <w:t>Available abstract (not full text):</w:t>
      </w:r>
      <w:r>
        <w:t xml:space="preserve"> Abstract Carbon dioxide is both the planet’s enemy and friend since it maintains the balance of the planet as this gas retains some of the radiant energy that the planet receives. Thus, it keeps the Earth’s heat, without which the Earth would be unbearably cold. However, the increase in the quantity of CO 2 in the Earth’s atmosphere contributes to the exacerbation of global warming. CO 2 is mainly produced from the processes of combustion of fuel and petroleum, as well as from the breathing process of living organisms. This study aims to provide a comprehensive view of carbon dioxide, including the main sources of emissions that resulted in negative effects, as well as the various ways to control these emissions by conducting a separation process during fuel combustion in power plants and preventing the release of large quantities into the atmosphere. Finally, an objective viewpoint on how to benefit from separated carbon dioxide and turn it into highly valuable products is presented. Given that this is a global problem that affects our planet, this review links other literature that deals with each part separately, and thus it presents a clear and comprehensive vision that enables the reader to be aware of carbon dioxide gas from all perspectives, concluding with future studies that are required to prevent an increase in negative effects in order to preserve the quality of lif</w:t>
      </w:r>
    </w:p>
    <w:p>
      <w:pPr/>
      <w:r>
        <w:rPr>
          <w:b/>
        </w:rPr>
        <w:t>POSSIBLE 2023:</w:t>
      </w:r>
      <w:r>
        <w:t xml:space="preserve"> Projected Reductions in CO2 Emissions by Using Alternative Methanol Fuel to Power a Service Operation Vessel — https://doi.org/10.3390/en16217419</w:t>
      </w:r>
    </w:p>
    <w:p>
      <w:pPr/>
      <w:r>
        <w:rPr>
          <w:b/>
        </w:rPr>
        <w:t>Shared claim-specific concepts:</w:t>
      </w:r>
      <w:r>
        <w:t xml:space="preserve"> assessing; EU scope visible. This is a provisional connection, not an outcome finding.</w:t>
      </w:r>
    </w:p>
    <w:p>
      <w:pPr>
        <w:pStyle w:val="SourceNote"/>
      </w:pPr>
      <w:r>
        <w:rPr>
          <w:b/>
        </w:rPr>
        <w:t>Available abstract (not full text):</w:t>
      </w:r>
      <w:r>
        <w:t xml:space="preserve"> Due to increasingly stringent IMO and European Commission requirements for greenhouse gas emissions, the present study analysed the projected reductions in CO2 emissions achieved by using methanol as an alternative fuel to power custom service operation vessels (SOVs) serving wind platforms in the Baltic Sea. Methanol is a relatively new fuel, approved for use as a safe marine fuel in the late 2020s. In these analyses, reference was made to the current interim guidelines, supplementing the IGF Code in the form of MSC.1/Circ.1621. The SOV type was chosen because of the current growing demand for these ships (the dynamic development of offshore wind power) and the lack of analyses of this type of small craft. The importance of assessing CO2 emissions in this case is due to the specifics of the vessel’s operation in different modes, and thus the variable load on the propulsion system and the area of operation close to the coastline. A computational research method was used to evaluate CO2 emissions, as well as the cost of methanol fuel, using current regulations and technical data. A comparison was also made between conventional MDO and LNG fuels. The first results of the analysis showed that methanol fuel is only competitive with MDO (a few-percent advantage) in terms of the average estimated index value EIV. Economically, it will require a higher investment, despite the favourab</w:t>
      </w:r>
    </w:p>
    <w:p>
      <w:pPr>
        <w:pStyle w:val="Heading2"/>
      </w:pPr>
      <w:r>
        <w:t>702.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r>
        <w:rPr>
          <w:b/>
        </w:rPr>
        <w:t>POSSIBLE 2025:</w:t>
      </w:r>
      <w:r>
        <w:t xml:space="preserve"> Assessing the impact of factors on Vietnam's key seafood product exports: A case study of the European Union market — https://doi.org/10.71374/jfar.v25.i1.27</w:t>
      </w:r>
    </w:p>
    <w:p>
      <w:pPr/>
      <w:r>
        <w:rPr>
          <w:b/>
        </w:rPr>
        <w:t>Shared claim-specific concepts:</w:t>
      </w:r>
      <w:r>
        <w:t xml:space="preserve"> effect, key, population; EU scope visible. This is a provisional connection, not an outcome finding.</w:t>
      </w:r>
    </w:p>
    <w:p>
      <w:pPr>
        <w:pStyle w:val="SourceNote"/>
      </w:pPr>
      <w:r>
        <w:rPr>
          <w:b/>
        </w:rPr>
        <w:t>Available abstract (not full text):</w:t>
      </w:r>
      <w:r>
        <w:t xml:space="preserve"> This paper aimed to determine the impact of factors on Vietnam’s key seafood product exports to the European Union. A gravity model was employed to analyze the panel data of 27 EU member nations in the partnership with Vietnam during the period of ten years from 2011 to 2020. After study, the findings showed that the key seafood exports of Vietnam to its European partner countries are determined by GDP, the GDP per capita between Vietnam and EU countries, the population of EU countries, the distance, and the real effective exchange rates. Of which, the GDP per capita is the factor with the strongest impact, followed by the GDP of the member countries. The remaining factors also have an impact but with low coefficients (the highest is only 0.86). Based on the obtained results, the article has made two suggestions to further promote the export of these products to the EU market: Dominating and stabilizing a domestic market; Enhancing product quality to make Vietnamese seafood become a common to high-end product in the EU market to take advantage of the free trade agreement between Vietnam and the EU that has just taken effect.</w:t>
      </w:r>
    </w:p>
    <w:p>
      <w:pPr/>
      <w:r>
        <w:rPr>
          <w:b/>
        </w:rPr>
        <w:t>POSSIBLE 2025:</w:t>
      </w:r>
      <w:r>
        <w:t xml:space="preserve"> A New Approach to Understanding Population Change in Central and Eastern Europe — https://doi.org/10.1111/padr.70029</w:t>
      </w:r>
    </w:p>
    <w:p>
      <w:pPr/>
      <w:r>
        <w:rPr>
          <w:b/>
        </w:rPr>
        <w:t>Shared claim-specific concepts:</w:t>
      </w:r>
      <w:r>
        <w:t xml:space="preserve"> effect, population, negative;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effect, population, potential, show;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Assessing the effect of invasive organisms on forests under information uncertainty: The case of pine wood nematode in continental Europe — https://doi.org/10.1016/j.fecs.2024.100226</w:t>
      </w:r>
    </w:p>
    <w:p>
      <w:pPr/>
      <w:r>
        <w:rPr>
          <w:b/>
        </w:rPr>
        <w:t>Shared claim-specific concepts:</w:t>
      </w:r>
      <w:r>
        <w:t xml:space="preserve"> effect, population, expected, potential, likely; EU scope visible. This is a provisional connection, not an outcome finding.</w:t>
      </w:r>
    </w:p>
    <w:p>
      <w:pPr>
        <w:pStyle w:val="SourceNote"/>
      </w:pPr>
      <w:r>
        <w:rPr>
          <w:b/>
        </w:rPr>
        <w:t>Available abstract (not full text):</w:t>
      </w:r>
      <w:r>
        <w:t xml:space="preserve"> Forests worldwide are experiencing increasingly intense biotic disturbances; however, assessing impacts of these disturbances is challenging due to the diverse range of organisms involved and the complex interactions among them. This particularly applies to invasive species, which can greatly alter ecological processes in their invaded territories. Here we focus on the pine wood nematode (PWN, Bursaphelenchus xylophilus), an invasive pathogen that has caused extensive mortality of pines in East Asia and more recently has invaded southern Europe. It is expected to expand its range into continental Europe with heavy impacts possible. Given the unknown dynamics of PWN in continental Europe, we reviewed laboratory and field experiments conducted in Asia and southern Europe to parameterize the main components of PWN biology and host-pathogen interactions in the Biotic Disturbance Engine (BITE), a model designed to implement a variety of forest biotic agents, from fungi to large herbivores. To simulate dynamically changing host availability and conditions, BITE was coupled with the forest landscape model iLand. The potential impacts of introducing PWN were assessed in a Central European forest landscape (40,928 ​ha), likely within PWN’s reach in future decades. A parameter sensitivity analysis indicated a substantial influence of factors related to dispersal, colonization, and vegeta</w:t>
      </w:r>
    </w:p>
    <w:p>
      <w:pPr/>
      <w:r>
        <w:rPr>
          <w:b/>
        </w:rPr>
        <w:t>POSSIBLE 2024:</w:t>
      </w:r>
      <w:r>
        <w:t xml:space="preserve"> Multimorbidity patterns and disability and healthcare use in Europe: do the associations change with the regional socioeconomic status? — https://doi.org/10.1007/s10433-023-00795-6</w:t>
      </w:r>
    </w:p>
    <w:p>
      <w:pPr/>
      <w:r>
        <w:rPr>
          <w:b/>
        </w:rPr>
        <w:t>Shared claim-specific concepts:</w:t>
      </w:r>
      <w:r>
        <w:t xml:space="preserve"> effect, ageing, systems; EU scope visible. This is a provisional connection, not an outcome finding.</w:t>
      </w:r>
    </w:p>
    <w:p>
      <w:pPr>
        <w:pStyle w:val="SourceNote"/>
      </w:pPr>
      <w:r>
        <w:rPr>
          <w:b/>
        </w:rPr>
        <w:t>Available abstract (not full text):</w:t>
      </w:r>
      <w:r>
        <w:t xml:space="preserve"> Multimorbidity, the concurrence of several chronic conditions, is a rising concern that increases the years lived with disability and poses a burden on healthcare systems. Little is known on how it interacts with socioeconomic deprivation, previously associated with poor health-related outcomes. We aimed to characterize the association between multimorbidity and these outcomes and how this relationship may change with socioeconomic development of regions. 55,915 individuals interviewed in 2017 were drawn from the Survey of Health, Ageing and Retirement in Europe, a population-based study. A Latent Class Analysis was conducted to fit multimorbidity patterns based on 16 self-reported conditions. Physical limitation, quality-of-life and healthcare utilization outcomes were regressed on those patterns adjusting for additional covariates. Those analyses were then extended to assess whether such associations varied with the region socioeconomic status. We identified six different patterns, labelled according to their more predominant chronic conditions. After the "healthy" class, the "metabolic" and the "osteoarticular" classes had the best outcomes involving limitations and the lowest healthcare utilization. The "neuro-affective-ulcer" and the "several conditions" classes yielded the highest probabilities of physical limitation, whereas the "cardiovascular" group had the highest pro</w:t>
      </w:r>
    </w:p>
    <w:p>
      <w:pPr>
        <w:pStyle w:val="Heading2"/>
      </w:pPr>
      <w:r>
        <w:t>703.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r>
        <w:rPr>
          <w:b/>
        </w:rPr>
        <w:t>POSSIBLE 2020:</w:t>
      </w:r>
      <w:r>
        <w:t xml:space="preserve"> Perspectives for German-Polish Relations in the EU-27 — https://doi.org/10.51149/roea.2.2020.3</w:t>
      </w:r>
    </w:p>
    <w:p>
      <w:pPr/>
      <w:r>
        <w:rPr>
          <w:b/>
        </w:rPr>
        <w:t>Shared claim-specific concepts:</w:t>
      </w:r>
      <w:r>
        <w:t xml:space="preserve"> eu-27, group, historical; EU scope visible. This is a provisional connection, not an outcome finding.</w:t>
      </w:r>
    </w:p>
    <w:p>
      <w:pPr>
        <w:pStyle w:val="SourceNote"/>
      </w:pPr>
      <w:r>
        <w:rPr>
          <w:b/>
        </w:rPr>
        <w:t>Available abstract (not full text):</w:t>
      </w:r>
      <w:r>
        <w:t xml:space="preserve"> In recent years the seemingly firm historical ties between Warsaw and Berlin have become increasingly strained. This results from a growing political asymmetry between the two countries. Germany moved into a semi-hegemonial position under the conditions of the triple crisis of banking, economy and sovereign debt in the eurozone. Consequently, German chancellor Angela Merkel was in a strong enough position to implement ordoliberal reforms of the eurozone’s governance architecture, which were promoted as an approach without alternatives. Merkel maintained her uncompromising stance during the migration crisis in the summer of 2015, when she demanded implementation of compulsory migrant distribution quotas across the EU. Poland and the Visegrád countries had initially strongly supported German leadership in resolving the eurozone crisis. The alienation from Germany’s European agenda however became significant under the conditions of the migration crisis. Here the firm opposition of Poland and the rest of the Visegrád Group towards Germany’s preferences shows a strategic mismatch between the EU’s liberal core, which is spearheaded by Germany, and the concept of the “illiberal” state, which Poland has embraced under the PiS government. The willingness to resolve these differences will be crucial in determining the future shape of Polish-German relations.</w:t>
      </w:r>
    </w:p>
    <w:p>
      <w:pPr>
        <w:pStyle w:val="Heading2"/>
      </w:pPr>
      <w:r>
        <w:t>704.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r>
        <w:rPr>
          <w:b/>
        </w:rPr>
        <w:t>POSSIBLE 2025:</w:t>
      </w:r>
      <w:r>
        <w:t xml:space="preserve"> Renewable energy sources for arctic food sufficiency and sustainability — https://doi.org/10.1038/s44264-025-00079-9</w:t>
      </w:r>
    </w:p>
    <w:p>
      <w:pPr/>
      <w:r>
        <w:rPr>
          <w:b/>
        </w:rPr>
        <w:t>Shared claim-specific concepts:</w:t>
      </w:r>
      <w:r>
        <w:t xml:space="preserve"> renewable, sources, countries; EU scope not established. This is a provisional connection, not an outcome finding.</w:t>
      </w:r>
    </w:p>
    <w:p>
      <w:pPr>
        <w:pStyle w:val="SourceNote"/>
      </w:pPr>
      <w:r>
        <w:rPr>
          <w:b/>
        </w:rPr>
        <w:t>Available abstract (not full text):</w:t>
      </w:r>
      <w:r>
        <w:t xml:space="preserve"> One of the UN’s 17 sustainable development goals (SDGs), SDG 7, is to “ensure access to affordable, reliable, sustainable and modern energy for all.” This goal addresses the need for environmental sustainability while highlighting energy’s vital role in promoting social and economic justice. It calls for sustainable, affordable, modern, and reliable energy usage for the health and well-being of society while mitigating climate change. Here, we briefly review available literature and data to examine how renewable energy, food security, and sustainability are interconnected in Arctic countries and regions, and how these regions can “ensure access to affordable, reliable, sustainable and modern energy for all” and progress towards achieving food self-sufficiency by integrating renewable energy sources into food production systems. We analyze several case studies to draw conclusions on how Arctic communities can become resilient, sustainable, and economically prosperous by promoting local food production while preserving cultural practices.</w:t>
      </w:r>
    </w:p>
    <w:p>
      <w:pPr/>
      <w:r>
        <w:rPr>
          <w:b/>
        </w:rPr>
        <w:t>POSSIBLE 2025:</w:t>
      </w:r>
      <w:r>
        <w:t xml:space="preserve"> Using Renewable Energy Sources for Improving Fuel Stations Efficiency — https://doi.org/10.65204/dasdh233e32231</w:t>
      </w:r>
    </w:p>
    <w:p>
      <w:pPr/>
      <w:r>
        <w:rPr>
          <w:b/>
        </w:rPr>
        <w:t>Shared claim-specific concepts:</w:t>
      </w:r>
      <w:r>
        <w:t xml:space="preserve"> relying, renewable, sources, countries, solutions; EU scope not established. This is a provisional connection, not an outcome finding.</w:t>
      </w:r>
    </w:p>
    <w:p>
      <w:pPr>
        <w:pStyle w:val="SourceNote"/>
      </w:pPr>
      <w:r>
        <w:rPr>
          <w:b/>
        </w:rPr>
        <w:t>Available abstract (not full text):</w:t>
      </w:r>
      <w:r>
        <w:t xml:space="preserve"> This study explores the feasibility of using renewable energy sources—specifically solar and wind power—to operate fuel stations, either partially or fully, as an alternative to conventional fossil fuels. The research is driven by growing environmental concerns, escalating energy costs, and the global pursuit of sustainability and lower carbon emissions." The research, within its theoretical framework, addresses the definition of renewable energy sources, their types, and their generation mechanisms, highlighting the techniques for linking these sources to fuel station operating systems. A number of applied models of stations in various countries that have relied partially or fully on renewable energy were also analyzed, evaluating the economic, technical, and environmental feasibility of this transition. The research concluded that relying on renewable energy in this field is not only a possible option, but a future necessity, due to its benefits, including reduced long-term operating costs, reduced environmental footprint of stations, and enhanced energy independence. It also demonstrated that technical challenges can be overcome through the use of smart storage and load management technologies, along with governmental and legislative support. The research concludes with practical recommendations for adopting these solutions, proposing a general framework for implementing ren</w:t>
      </w:r>
    </w:p>
    <w:p>
      <w:pPr/>
      <w:r>
        <w:rPr>
          <w:b/>
        </w:rPr>
        <w:t>POSSIBLE 2024:</w:t>
      </w:r>
      <w:r>
        <w:t xml:space="preserve"> The Economic Diversification and Sustainability Development in Oil-Rich Countries: A Panel Data Study — https://doi.org/10.1051/e3sconf/202459301001</w:t>
      </w:r>
    </w:p>
    <w:p>
      <w:pPr/>
      <w:r>
        <w:rPr>
          <w:b/>
        </w:rPr>
        <w:t>Shared claim-specific concepts:</w:t>
      </w:r>
      <w:r>
        <w:t xml:space="preserve"> sources, countries, potential; EU scope not established. This is a provisional connection, not an outcome finding.</w:t>
      </w:r>
    </w:p>
    <w:p>
      <w:pPr>
        <w:pStyle w:val="SourceNote"/>
      </w:pPr>
      <w:r>
        <w:rPr>
          <w:b/>
        </w:rPr>
        <w:t>Available abstract (not full text):</w:t>
      </w:r>
      <w:r>
        <w:t xml:space="preserve">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pPr>
        <w:pStyle w:val="Heading2"/>
      </w:pPr>
      <w:r>
        <w:t>705.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Does Pricing Carbon Mitigate Climate Change? Firm-Level Evidence from the European Union Emissions Trading System — https://doi.org/10.1093/restud/rdae055</w:t>
      </w:r>
    </w:p>
    <w:p>
      <w:pPr/>
      <w:r>
        <w:rPr>
          <w:b/>
        </w:rPr>
        <w:t>Shared claim-specific concepts:</w:t>
      </w:r>
      <w:r>
        <w:t xml:space="preserve"> find, reductions, climate; EU scope visible. This is a provisional connection, not an outcome finding.</w:t>
      </w:r>
    </w:p>
    <w:p>
      <w:pPr>
        <w:pStyle w:val="SourceNote"/>
      </w:pPr>
      <w:r>
        <w:rPr>
          <w:b/>
        </w:rPr>
        <w:t>Available abstract (not full text):</w:t>
      </w:r>
      <w:r>
        <w:t xml:space="preserve"> Abstract In theory, market-based regulatory instruments correct market failures at least cost. However, evidence on their efficacy remains scarce. Using administrative data, we estimate that, on average, the European Union Emissions Trading System (EU ETS)—the world’s first and largest market-based climate policy—induced regulated manufacturing firms to reduce carbon dioxide emissions by 14–16% with no detectable contractions in economic activity. We find no evidence of outsourcing to unregulated firms or markets; instead, firms made targeted investments, reducing the emissions intensity of production. These results indicate that the EU ETS induced global emissions reductions, a necessary and sufficient condition for mitigating climate change. We show that the absence of any negative economic effects can be rationalized in a model where pricing the externality induces firms to make fixed-cost investments in energy-saving capital that reduce marginal variable costs.</w:t>
      </w:r>
    </w:p>
    <w:p>
      <w:pPr/>
      <w:r>
        <w:rPr>
          <w:b/>
        </w:rPr>
        <w:t>POSSIBLE 2024:</w:t>
      </w:r>
      <w:r>
        <w:t xml:space="preserve"> Constraining long-term NO x emissions over the United States and Europe using nitrate wet deposition monitoring networks — https://doi.org/10.5194/acp-24-4569-2024</w:t>
      </w:r>
    </w:p>
    <w:p>
      <w:pPr/>
      <w:r>
        <w:rPr>
          <w:b/>
        </w:rPr>
        <w:t>Shared claim-specific concepts:</w:t>
      </w:r>
      <w:r>
        <w:t xml:space="preserve"> find, emission, reductions, transport, but, also; EU scope visible. This is a provisional connection, not an outcome finding.</w:t>
      </w:r>
    </w:p>
    <w:p>
      <w:pPr>
        <w:pStyle w:val="SourceNote"/>
      </w:pPr>
      <w:r>
        <w:rPr>
          <w:b/>
        </w:rPr>
        <w:t>Available abstract (not full text):</w:t>
      </w:r>
      <w:r>
        <w:t xml:space="preserve"> Abstract. Nitrogen oxides (NOx = NO + NO2) play a critical role in regulating tropospheric chemistry, yet NOx emission estimates are subject to large uncertainties, casting doubt on our ability to accurately model secondary pollutants such as ozone. Bottom-up emissions inventories are subject to a number of uncertainties related to estimates of emission activities, scaling factors, and fuel sources. Here, we provide an additional constraint on NOx emissions and trends using nitrate wet deposition (NWD) fluxes from the United States National Atmospheric Deposition Program (NADP) and the European Monitoring and Evaluation Programme (EMEP). We use these NWD measurements to evaluate anthropogenic and total NOx trends and magnitudes in the global Community Emissions Data System (CEDS) emissions inventory and the GEOS-Chem chemical transport model from 1980–2020. Over both the United States and Europe, observed NWD trends track well with anthropogenic NOx emissions from the CEDS inventory until 2010, after which NWD trends level out in contrast to continued decreases in CEDS. After 2010, NWD trends are able to reproduce total NOx emissions trends when the influences of both anthropogenic and background sources are considered. Observed NWD fluxes are also able to capture NOx emissions decreases over the 2020 COVID-19 lockdown period and are consistent with satellite and surface measur</w:t>
      </w:r>
    </w:p>
    <w:p>
      <w:pPr/>
      <w:r>
        <w:rPr>
          <w:b/>
        </w:rPr>
        <w:t>POSSIBLE 2024:</w:t>
      </w:r>
      <w:r>
        <w:t xml:space="preserve"> Integrated assessment modeling of a zero-emissions global transportation sector — https://doi.org/10.1038/s41467-024-48424-9</w:t>
      </w:r>
    </w:p>
    <w:p>
      <w:pPr/>
      <w:r>
        <w:rPr>
          <w:b/>
        </w:rPr>
        <w:t>Shared claim-specific concepts:</w:t>
      </w:r>
      <w:r>
        <w:t xml:space="preserve"> energy, sector, but, climate; EU scope not established. This is a provisional connection, not an outcome finding.</w:t>
      </w:r>
    </w:p>
    <w:p>
      <w:pPr>
        <w:pStyle w:val="SourceNote"/>
      </w:pPr>
      <w:r>
        <w:rPr>
          <w:b/>
        </w:rPr>
        <w:t>Available abstract (not full text):</w:t>
      </w:r>
      <w:r>
        <w:t xml:space="preserve"> Currently responsible for over one fifth of carbon emissions worldwide, the transportation sector will need to undergo a substantial technological transition to ensure compatibility with global climate goals. Few studies have modeled strategies to achieve zero emissions across all transportation modes, including aviation and shipping, alongside an integrated analysis of feedbacks on other sectors and environmental systems. Here, we use a global integrated assessment model to evaluate deep decarbonization scenarios for the transportation sector consistent with maintaining end-of-century warming below 1.5 °C, considering varied timelines for fossil fuel phase-out and implementation of advanced alternative technologies. We highlight the leading low carbon technologies for each transportation mode, finding that electrification contributes most to decarbonization across the sector. Biofuels and hydrogen are particularly important for aviation and shipping. Our most ambitious scenario eliminates transportation emissions by mid-century, contributing substantially to achieving climate targets but requiring rapid technological shifts with integrated impacts on fuel demands and availability and upstream energy transitions.</w:t>
      </w:r>
    </w:p>
    <w:p>
      <w:pPr/>
      <w:r>
        <w:rPr>
          <w:b/>
        </w:rPr>
        <w:t>POSSIBLE 2024:</w:t>
      </w:r>
      <w:r>
        <w:t xml:space="preserve"> Reducing transport sector CO2 emissions patterns: Environmental technologies and renewable energy — https://doi.org/10.1016/j.joitmc.2024.100217</w:t>
      </w:r>
    </w:p>
    <w:p>
      <w:pPr/>
      <w:r>
        <w:rPr>
          <w:b/>
        </w:rPr>
        <w:t>Shared claim-specific concepts:</w:t>
      </w:r>
      <w:r>
        <w:t xml:space="preserve"> emission, energy, sector, transport, climate; EU scope visible. This is a provisional connection, not an outcome finding.</w:t>
      </w:r>
    </w:p>
    <w:p>
      <w:pPr>
        <w:pStyle w:val="SourceNote"/>
      </w:pPr>
      <w:r>
        <w:rPr>
          <w:b/>
        </w:rPr>
        <w:t>Available abstract (not full text):</w:t>
      </w:r>
      <w:r>
        <w:t xml:space="preserve"> The research explores the impact of environmental technologies and renewable energy on carbon dioxide (CO2) emissions from the EU transportation sector (2007-2020). Utilizing panel corrected standard error and feasible generalized least squares methods, the study uncovers key drivers influencing declining CO2 emissions. The results reveal a significant and variable effect of environmental technologies and renewable energy on CO2 emissions in the EU transport sector, emphasizing the positive correlation between increased renewable energy adoption and emission reduction. This underscores the necessity for heightened EU investment in sustainable transport infrastructure and clean energy solutions, encompassing initiatives like electric vehicles, hydrogen fuel cells, and biofuels. The study further recommends promoting renewable energy sources for transport systems, aligning with the broader goals of the European Green Deal and the EU Climate Law. Additionally, the research provides essential insights into policy implications, emphasizing a multifaceted approach including comprehensive strategies for cleaner transportation, innovation, and education to accelerate the transition towards sustainable practices in the EU.</w:t>
      </w:r>
    </w:p>
    <w:p>
      <w:pPr>
        <w:pStyle w:val="Heading2"/>
      </w:pPr>
      <w:r>
        <w:t>706.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2025:</w:t>
      </w:r>
      <w:r>
        <w:t xml:space="preserve"> Electricity Demand Characteristics in the Energy Transition Pathway Under the Carbon Neutrality Goal for China — https://doi.org/10.3390/su17041759</w:t>
      </w:r>
    </w:p>
    <w:p>
      <w:pPr/>
      <w:r>
        <w:rPr>
          <w:b/>
        </w:rPr>
        <w:t>Shared claim-specific concepts:</w:t>
      </w:r>
      <w:r>
        <w:t xml:space="preserve"> electricity, decrease, significantly, pathway, pathways, carbon; EU scope not established. This is a provisional connection, not an outcome finding.</w:t>
      </w:r>
    </w:p>
    <w:p>
      <w:pPr>
        <w:pStyle w:val="SourceNote"/>
      </w:pPr>
      <w:r>
        <w:rPr>
          <w:b/>
        </w:rPr>
        <w:t>Available abstract (not full text):</w:t>
      </w:r>
      <w:r>
        <w:t xml:space="preserve"> The energy transition towards achieving carbon neutrality is marked by the decarbonization of the power system and a high degree of electrification in end-use sectors. The decarbonization of the power system primarily relies on large-scale renewable energy, nuclear power, and fossil fuel-based power with carbon capture technologies. This structure of power supply introduces significant uncertainty in electricity supply. Due to the technological progress in end-use sectors and spatial reallocation of industries in China, the load curve and power supply curve is very different today. However, most studies’ analyses of future electricity systems are based on today’s load curve, which could be misleading when seeking to understand future electricity systems. Therefore, it is essential to thoroughly analyze changes in end-use load curves to better align electricity demand with supply. This paper analyzes the characteristics of electricity demand load under China’s future energy transition and economic transformation pathways using the Integrated Energy and Environment Policy Assessment model of China (IPAC). It examines the electricity and energy usage characteristics of various sectors in six typical regions, provides 24-h load curves for two representative days, and evaluates the effectiveness of demand-side response in selected provinces in 2050. The study reveals that, with the </w:t>
      </w:r>
    </w:p>
    <w:p>
      <w:pPr>
        <w:pStyle w:val="Heading2"/>
      </w:pPr>
      <w:r>
        <w:t>707.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r>
        <w:rPr>
          <w:b/>
        </w:rPr>
        <w:t>POSSIBLE 2025:</w:t>
      </w:r>
      <w:r>
        <w:t xml:space="preserve"> Value Added Tax in European Union — https://doi.org/10.61801/ouaess.2024.2.69</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EU member states he was trying through reforms to create a system as adaptable as possible to future situations and as much as possible the full.Therefore, we find useful an analysis on the efficiency of collecting value tax added to highlight the yield of the tax mechanism.The approach to this problem started from the recent changes to this type of tax and the importance it has among all citizens of the Member States to bear this tax and because it is the largest source of income from indirect taxes.In our research, we set out to focus more on two indicators of efficiency of the VAT at the member states of the European Union, namely: the indicator for assessment of the efficiency of the VAT (VRR) and the indicator of the VAT collection deficit in percentage treatment (VAT gap).</w:t>
      </w:r>
    </w:p>
    <w:p>
      <w:pPr/>
      <w:r>
        <w:rPr>
          <w:b/>
        </w:rPr>
        <w:t>POSSIBLE 2025:</w:t>
      </w:r>
      <w:r>
        <w:t xml:space="preserve"> Stone on European Union Design Law — https://doi.org/10.1093/9780191880261.001.0001</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Abstract Stone on European Union Design Law: A Practitioners’ Guide provides a detailed and thorough review of EU-wide law protecting the appearance of a product. It sets out the history of the development of the law from the 1960s to the 2024 amendments, examining the provision of EU-wide registered designs (REUDs or previously RCDs) which provide up to 25 years protection from designs which create the same overall impression on the informed user, and the unregistered EU design (previously unregistered Community design) lasting three years for designs first disclosed within the EU (infringement of unregistered EU designs also requires proof of copying). The book examines the definitions of ‘design’ and ‘product’, the requirements for validity (novelty and individual character), as well as the prior designs to be considered. Other bases for invalidity are also considered. Infringement is discussed, as well as defences to infringement and the remedies available under the Design Regulation and the Enforcement Directive. The jurisdiction of EU design courts (formerly Community design courts) is discussed. The differences between the Regulation and the Directive are also set out. The text refers to all the major decisions of the Court of Justice and General Court, as well as significant decisions from the EUIPO and courts in member states.</w:t>
      </w:r>
    </w:p>
    <w:p>
      <w:pPr/>
      <w:r>
        <w:rPr>
          <w:b/>
        </w:rPr>
        <w:t>POSSIBLE 2025:</w:t>
      </w:r>
      <w:r>
        <w:t xml:space="preserve"> The Impact of Carbon Pricing on Corporate Sustainability: Evidence From the European Union — https://doi.org/10.1002/bse.70324</w:t>
      </w:r>
    </w:p>
    <w:p>
      <w:pPr/>
      <w:r>
        <w:rPr>
          <w:b/>
        </w:rPr>
        <w:t>Shared claim-specific concepts:</w:t>
      </w:r>
      <w:r>
        <w:t xml:space="preserve"> union, carbon, emission; EU scope visible. This is a provisional connection, not an outcome finding.</w:t>
      </w:r>
    </w:p>
    <w:p>
      <w:pPr>
        <w:pStyle w:val="SourceNote"/>
      </w:pPr>
      <w:r>
        <w:rPr>
          <w:b/>
        </w:rPr>
        <w:t>Available abstract (not full text):</w:t>
      </w:r>
      <w:r>
        <w:t xml:space="preserve"> ABSTRACT The European Union (EU) has played a leading role in the fight against climate change. One mechanism used to meet the targets for global greenhouse gas (GHG) emission reductions is carbon pricing. A prominent example is the EU Emissions Trading System (EU‐ETS). This study examines the effectiveness of political decisions to pursue environmental objectives from a firm‐level perspective. The aim of this research is to analyse how carbon prices affect firm‐level GHG emissions and environmental innovation. We also examine the relationship between environmental innovation and corporate GHG emissions, both independently and after including the effects of carbon pricing. Our findings show that carbon prices have a negative relationship with corporate CO 2 emissions and a positive relationship with green innovation in low‐carbon technologies. Our results confirm that green innovation exerts a limited impact on GHG emissions, with carbon prices acting as the main driver of corporate GHG emission reductions.</w:t>
      </w:r>
    </w:p>
    <w:p>
      <w:pPr/>
      <w:r>
        <w:rPr>
          <w:b/>
        </w:rPr>
        <w:t>POSSIBLE 2025:</w:t>
      </w:r>
      <w:r>
        <w:t xml:space="preserve"> The European Union Carbon Border Adjustment Mechanism as a Green Tax Policy Instrument — https://doi.org/10.2478/ceej-2025-0006</w:t>
      </w:r>
    </w:p>
    <w:p>
      <w:pPr/>
      <w:r>
        <w:rPr>
          <w:b/>
        </w:rPr>
        <w:t>Shared claim-specific concepts:</w:t>
      </w:r>
      <w:r>
        <w:t xml:space="preserve"> union, carbon, reduction; EU scope visible. This is a provisional connection, not an outcome finding.</w:t>
      </w:r>
    </w:p>
    <w:p>
      <w:pPr>
        <w:pStyle w:val="SourceNote"/>
      </w:pPr>
      <w:r>
        <w:rPr>
          <w:b/>
        </w:rPr>
        <w:t>Available abstract (not full text):</w:t>
      </w:r>
      <w:r>
        <w:t xml:space="preserve"> Abstract This article aims to analyse the conformity of the European Union‘s Carbon Border Adjustment Mechanism (CBAM), considering tax principles as an environmental and fiscal policy instrument and its role in promoting a healthy environment and global decarbonisation. Literature highlights reasons for the CBAM‘s relevance, promoting carbon leakage risk reduction and encouraging less advanced countries to lower emissions through carbon diplomacy. This mechanism is expected to significantly impact the EU‘s partner economies, particularly developing ones reliant on exports. Thus, the paper’s goal is to advance academic research and understand its role in achieving environmental neutrality. The study applies the legal research method to tax principles, and Regulation (EU) No 2023/956 was examined for this purpose. The results show that CBAM is presented as an instrument that promotes tax neutrality, being in line with tax principles. Furthermore, CBAM promotes legal certainty, allowing companies to make investment decisions on decarbonising industrial processes in the long term. In addition, this mechanism is a step towards guaranteeing the promotion of a healthy environment, a right recognised by the United Nations. This study highlights the importance of CBAM as an environmental policy instrument and a fiscal mechanism that promotes fiscal justice and environmental sustainabil</w:t>
      </w:r>
    </w:p>
    <w:p>
      <w:pPr>
        <w:pStyle w:val="Heading2"/>
      </w:pPr>
      <w:r>
        <w:t>708.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709.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2024:</w:t>
      </w:r>
      <w:r>
        <w:t xml:space="preserve"> Beyond authorship: Analyzing contributions in PLOS ONE and the challenges of appropriate attribution — https://doi.org/10.2478/jdis-2024-0015</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Abstract Purpose This study aims to evaluate the accuracy of authorship attributions in scientific publications, focusing on the fairness and precision of individual contributions within academic works. Design/methodology/approach The study analyzes 81,823 publications from the journal PLOS ONE , covering the period from January 2018 to June 2023. It examines the authorship attributions within these publications to try and determine the prevalence of inappropriate authorship. It also investigates the demographic and professional profiles of affected authors, exploring trends and potential factors contributing to inaccuracies in authorship. Findings Surprisingly, 9.14% of articles feature at least one author with inappropriate authorship, affecting over 14,000 individuals (2.56% of the sample). Inappropriate authorship is more concentrated in Asia, Africa, and specific European countries like Italy. Established researchers with significant publication records and those affiliated with companies or nonprofits show higher instances of potential monetary authorship. Research limitations Our findings are based on contributions as declared by the authors, which implies a degree of trust in their transparency. However, this reliance on self-reporting may introduce biases or inaccuracies into the dataset. Further research could employ additional verification methods to enhance the reli</w:t>
      </w:r>
    </w:p>
    <w:p>
      <w:pPr/>
      <w:r>
        <w:rPr>
          <w:b/>
        </w:rPr>
        <w:t>POSSIBLE 2024:</w:t>
      </w:r>
      <w:r>
        <w:t xml:space="preserve"> Analyzing the Volume of Export-Import Activity of the European Union Market — https://doi.org/10.32983/2222-4459-2024-5-26-32</w:t>
      </w:r>
    </w:p>
    <w:p>
      <w:pPr/>
      <w:r>
        <w:rPr>
          <w:b/>
        </w:rPr>
        <w:t>Shared claim-specific concepts:</w:t>
      </w:r>
      <w:r>
        <w:t xml:space="preserve"> analyzing, them, one; EU scope visible. This is a provisional connection, not an outcome finding.</w:t>
      </w:r>
    </w:p>
    <w:p>
      <w:pPr>
        <w:pStyle w:val="SourceNote"/>
      </w:pPr>
      <w:r>
        <w:rPr>
          <w:b/>
        </w:rPr>
        <w:t>Available abstract (not full text):</w:t>
      </w:r>
      <w:r>
        <w:t xml:space="preserve"> The article is devoted to a detailed analysis of the export-import activity of Ukraine in the markets of the European Union (EU), with an emphasis on fat-and-oil products. The full-scale invasion of Ukraine forced to strengthen economic ties with partner countries due to a decline in export-import operations. It is determined that the fat-and-oil industry is one of the key ones in the agro-industrial sector of the EU and plays an important role in ensuring the food security of countries. An analysis of the dynamics of exports and imports of margarine in the following EU countries: Poland, Slovakia, Hungary, Romania, and also taking into account Moldova, is carried out. The difference between the exports and imports of margarine in these countries has been established. As a result of the analysis of the volume of exports and imports of margarine, it is found that Slovakia, Hungary, Romania and Moldova are markets with a high level of import dependence in the margarine segment, which makes them the perspective ones for Ukrainian producers. An analysis of the dynamics of margarine imports in the EU countries for 2013–2021 showed the largest import volumes in the following countries: Great Britain, France, Germany and the Netherlands. To understand the specifics of this market, it is important to consider the numerous factors that affect supply and demand. Practical recommendations</w:t>
      </w:r>
    </w:p>
    <w:p>
      <w:pPr/>
      <w:r>
        <w:rPr>
          <w:b/>
        </w:rPr>
        <w:t>POSSIBLE 2024:</w:t>
      </w:r>
      <w:r>
        <w:t xml:space="preserve"> Women’s Private Practices of Knowledge Production in Early Modern Europe — https://openalex.org/W7137607641</w:t>
      </w:r>
    </w:p>
    <w:p>
      <w:pPr/>
      <w:r>
        <w:rPr>
          <w:b/>
        </w:rPr>
        <w:t>Shared claim-specific concepts:</w:t>
      </w:r>
      <w:r>
        <w:t xml:space="preserve"> them, knowledge, other; EU scope visible. This is a provisional connection, not an outcome finding.</w:t>
      </w:r>
    </w:p>
    <w:p>
      <w:pPr>
        <w:pStyle w:val="SourceNote"/>
      </w:pPr>
      <w:r>
        <w:rPr>
          <w:b/>
        </w:rPr>
        <w:t>Available abstract (not full text):</w:t>
      </w:r>
      <w:r>
        <w:t xml:space="preserve"> This open access book explores knowledge practices by five women from different European contexts. Contributors document, analyze, and discuss how women employed practices of privacy to pursue knowledge that did not necessarily conform with the curriculum prescribed for them. The practices of Jane Lumley in England, Camila Herculiana in Padua, Victorine de Chastenay in Paris, as well as Elisabeth Sophie Marie and Philippine Charlotte in Brunswick-Wolfenbüttel, will help us to exemplify the delicate balance between audacity and obedience that women had to employ to be able to explore science, literature, philosophy, theology, and other types of learned activities. Cases range from the sixteenth to the nineteenth century, presenting continuities and discontinuities across temporal and geographical lines of the strategies that women used to protect their knowledge production and retain intact their reputations as good Christian daughters, wives, and mothers. Taken together, the essays show how having access to privacy—the ability to regulate access to themselves while studying and learning—was a crucial condition for the success of the knowledge activities these women pursued. This is an open access book.</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analyzing, valuable, both;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2023:</w:t>
      </w:r>
      <w:r>
        <w:t xml:space="preserve"> Fighting depopulation in Europe by analyzing the financial risks of local governments — https://doi.org/10.1177/00208523231158982</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pPr>
        <w:pStyle w:val="Heading2"/>
      </w:pPr>
      <w:r>
        <w:t>710.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Multi-Criteria Decision-Making Approach for Optimal Energy Storage System Selection and Applications in Oman — https://doi.org/10.3390/en17205197</w:t>
      </w:r>
    </w:p>
    <w:p>
      <w:pPr/>
      <w:r>
        <w:rPr>
          <w:b/>
        </w:rPr>
        <w:t>Shared claim-specific concepts:</w:t>
      </w:r>
      <w:r>
        <w:t xml:space="preserve"> decision-making, transition, energy, goals; EU scope not established. This is a provisional connection, not an outcome finding.</w:t>
      </w:r>
    </w:p>
    <w:p>
      <w:pPr>
        <w:pStyle w:val="SourceNote"/>
      </w:pPr>
      <w:r>
        <w:rPr>
          <w:b/>
        </w:rPr>
        <w:t>Available abstract (not full text):</w:t>
      </w:r>
      <w:r>
        <w:t xml:space="preserve"> This research aims to support the goals of Oman Vision 2040 by reducing the dependency on non-renewable energy resources and increasing the utilization of the national natural renewable energy resources. Selecting appropriate energy storage systems (ESSs) will play a key role in achieving this vision by enabling a greater integration of solar and other renewable energy. ESSs allow for solar power generated during daylight hours to be stored for use during peak demand periods. Additionally, the proposed framework provides guidance for large-scale ESS infrastructure planning and investments to support Oman’s renewable energy goals. As the global renewable energy market grows rapidly and Oman implements economic reforms, the ESS market is expected to flourish in Oman. In the near future, ESS is expected to contribute to lower electricity costs and enhance stability compared to traditional energy systems. While ESS technologies have been studied broadly, there is a lack of comprehensive analysis for optimal ESS selection tailored to Oman’s unique geographical, technical, and policy context. The main objective of this study is to provide a comprehensive evaluation of ESS options and identify the type(s) most suitable for integration with Oman’s national grid using a multi-criteria decision-making (MCDM) methodology. This study addresses this gap by applying the Hesitate Fuzzy Analyt</w:t>
      </w:r>
    </w:p>
    <w:p>
      <w:pPr/>
      <w:r>
        <w:rPr>
          <w:b/>
        </w:rPr>
        <w:t>POSSIBLE 2024:</w:t>
      </w:r>
      <w:r>
        <w:t xml:space="preserve"> Renewable Energy Preferences of European Countries and Türkiye: Use of Multi-Criteria Decision Making — https://doi.org/10.1007/s40866-024-00194-5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Circular Economy Based Materials Development to Foster the Transition to Sustainable and High-Energy Performance Buildings at Optimal Costs — https://doi.org/10.5281/zenodo.23332899</w:t>
      </w:r>
    </w:p>
    <w:p>
      <w:pPr/>
      <w:r>
        <w:rPr>
          <w:b/>
        </w:rPr>
        <w:t>Shared claim-specific concepts:</w:t>
      </w:r>
      <w:r>
        <w:t xml:space="preserve"> decision-making, transition, energy, economy, reduction, technological; EU scope visible. This is a provisional connection, not an outcome finding.</w:t>
      </w:r>
    </w:p>
    <w:p>
      <w:pPr>
        <w:pStyle w:val="SourceNote"/>
      </w:pPr>
      <w:r>
        <w:rPr>
          <w:b/>
        </w:rPr>
        <w:t>Available abstract (not full text):</w:t>
      </w:r>
      <w:r>
        <w:t xml:space="preserve"> The SNUG project aims to give a feasible solution to the high levels of consumption of buildings, which means the 40% of the total energy consumption in the EU. Buildings also are one of the main greenhouse gasses (GHG) emission sources (36%). During the building construction, use, renovation and demolition, they contribute with about 50% of extracted materials and 35% of the EU’s total waste generation. Therefore, the improvement of sustainability and energy efficiency of buildings is essential for achieving a reduction of energy consumption, GHG emissions and the reduction and recycling of extracted materials, seeking for a climate neutral Europe by 2050 as the Green Deal Commitment establishes. Following the stimulation of many ambitious policies dictated by the EU for the improvement of the energy efficiency of buildings as the Energy Performance of Building Directive (EPBD), The Renovation Wave Strategy and The Circular Economy Action Plan, SNUG aims to develop and demonstrate a methodology to help planners, constructors, architects and other stakeholders of the construction sector in the selection of the most appropriate thermal insulation materials or solutions, in order to maximize the energy efficiency and minimize GHG emissions of the building envelope throughout its life cycle in order to achieve the Zero Emission Building (ZEB) rating at an optimal cost level. The m</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pStyle w:val="Heading2"/>
      </w:pPr>
      <w:r>
        <w:t>711.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2024:</w:t>
      </w:r>
      <w:r>
        <w:t xml:space="preserve"> Winter thunderstorms in Poland (1951–2020) — https://doi.org/10.2478/environ-2024-0021</w:t>
      </w:r>
    </w:p>
    <w:p>
      <w:pPr/>
      <w:r>
        <w:rPr>
          <w:b/>
        </w:rPr>
        <w:t>Shared claim-specific concepts:</w:t>
      </w:r>
      <w:r>
        <w:t xml:space="preserve"> frequency, increase, rare, climate; EU scope visible. This is a provisional connection, not an outcome finding.</w:t>
      </w:r>
    </w:p>
    <w:p>
      <w:pPr>
        <w:pStyle w:val="SourceNote"/>
      </w:pPr>
      <w:r>
        <w:rPr>
          <w:b/>
        </w:rPr>
        <w:t>Available abstract (not full text):</w:t>
      </w:r>
      <w:r>
        <w:t xml:space="preserve"> Abstract One of the climate changes observed in mid-latitudes is the increase in the frequency of winter thunderstorms. These changes are also observed in Poland. For this reason, this study presents changes in the occurrence of thunderstorms in the cold half of the year and in winter in Poland from 1951 to 2020. The synoptic and thermodynamic conditions in the atmosphere, accompanied by particularly strong thunderstorms at this time of year, were also analysed based on selected cases of winter thun derstorms. The research was carried out on the basis of data from 46 synoptic stations, and the basic indicator was a day with a thunderstorm. Additionally, three cases of dangerous winter thunderstorms that occurred in Poland in the 21st century were analysed. For this purpose, synoptic maps, data from ERA5 reanalyses, aerological data and reports from the European Severe Weather Database were analysed. On this basis, it was found that there was a clear spatial differentiation of thunderstorms occurring in the cold half of the year, which in some regions of the country accounted for even more than 8% of all cases in the year. Although these thunderstorms are extremely rare, there are signs of an increase in their frequency during the studyperiod. The strongest influence on the occurrence of these phenomena in the cold season is air circulation and local conditions. Most of the thun</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r>
        <w:rPr>
          <w:b/>
        </w:rPr>
        <w:t>POSSIBLE 2023:</w:t>
      </w:r>
      <w:r>
        <w:t xml:space="preserve"> Winter heavy precipitation events over Northern Europe modulated by a weaker NAO variability by the end of the 21st century — https://doi.org/10.1038/s41612-023-00396-1</w:t>
      </w:r>
    </w:p>
    <w:p>
      <w:pPr/>
      <w:r>
        <w:rPr>
          <w:b/>
        </w:rPr>
        <w:t>Shared claim-specific concepts:</w:t>
      </w:r>
      <w:r>
        <w:t xml:space="preserve"> two, ensemble; EU scope visible. This is a provisional connection, not an outcome finding.</w:t>
      </w:r>
    </w:p>
    <w:p>
      <w:pPr>
        <w:pStyle w:val="SourceNote"/>
      </w:pPr>
      <w:r>
        <w:rPr>
          <w:b/>
        </w:rPr>
        <w:t>Available abstract (not full text):</w:t>
      </w:r>
      <w:r>
        <w:t xml:space="preserve"> Abstract We use an ensemble of models participating in the Coupled Model Intercomparison Project phase 6 (CMIP6) to analyse the number of days with extreme winter precipitation over Northern Europe and its relationship to the North Atlantic Oscillation (NAO), for the historical period 1950–2014 and two future 21st-century scenarios. Here we find that over Northern Europe, the models project twice more extreme precipitation days by the end of the 21st century under the high-emission scenario compared to the historical period. We also find a weakening of the NAO variability in the second half of the 21st century in the high greenhouse gas emission scenario compared to the historical period, as well as an increasing correlation between extreme winter precipitation events and the NAO index in both future scenarios. Models with a projected decrease in the NAO variability across the 21st century show a positive trend in the number of days with extreme winter precipitation over Northern Europe. These results highlight the role played by NAO in modulating extreme winter precipitation events.</w:t>
      </w:r>
    </w:p>
    <w:p>
      <w:pPr/>
      <w:r>
        <w:rPr>
          <w:b/>
        </w:rPr>
        <w:t>POSSIBLE 2023:</w:t>
      </w:r>
      <w:r>
        <w:t xml:space="preserve"> Regional variability in peatland burning at mid-to high-latitudes during the Holocene — https://doi.org/10.1016/j.quascirev.2023.108020</w:t>
      </w:r>
    </w:p>
    <w:p>
      <w:pPr/>
      <w:r>
        <w:rPr>
          <w:b/>
        </w:rPr>
        <w:t>Shared claim-specific concepts:</w:t>
      </w:r>
      <w:r>
        <w:t xml:space="preserve"> frequency, ice, climate; EU scope visible. This is a provisional connection, not an outcome finding.</w:t>
      </w:r>
    </w:p>
    <w:p>
      <w:pPr>
        <w:pStyle w:val="SourceNote"/>
      </w:pPr>
      <w:r>
        <w:rPr>
          <w:b/>
        </w:rPr>
        <w:t>Available abstract (not full text):</w:t>
      </w:r>
      <w:r>
        <w:t xml:space="preserve"> Northern peatlands store globally-important amounts of carbon in the form of partly decomposed plant detritus. Drying associated with climate and land-use change may lead to increased fire frequency and severity in peatlands and the rapid loss of carbon to the atmosphere. However, our understanding of the patterns and drivers of peatland burning on an appropriate decadal to millennial timescale relies heavily on individual site-based reconstructions. For the first time, we synthesise peatland macrocharcoal records from across North America, Europe, and Patagonia to reveal regional variation in peatland burning during the Holocene. We used an existing database of proximal sedimentary charcoal to represent regional burning trends in the wider landscape for each region. Long-term trends in peatland burning appear to be largely climate driven, with human activities likely having an increasing influence in the late Holocene. Warmer conditions during the Holocene Thermal Maximum (∼9–6 cal. ka BP) were associated with greater peatland burning in North America's Atlantic coast, southern Scandinavia and the Baltics, and Patagonia. Since the Little Ice Age, peatland burning has declined across North America and in some areas of Europe. This decline is mirrored by a decrease in wider landscape burning in some, but not all sub-regions, linked to fire-suppression policies, and landscape fra</w:t>
      </w:r>
    </w:p>
    <w:p>
      <w:pPr/>
      <w:r>
        <w:rPr>
          <w:b/>
        </w:rPr>
        <w:t>POSSIBLE 2023:</w:t>
      </w:r>
      <w:r>
        <w:t xml:space="preserve"> Upper-tropospheric slightly ice-subsaturated regions: frequency of occurrence and statistical evidence for the appearance of contrail cirrus — https://doi.org/10.5194/acp-23-2251-2023</w:t>
      </w:r>
    </w:p>
    <w:p>
      <w:pPr/>
      <w:r>
        <w:rPr>
          <w:b/>
        </w:rPr>
        <w:t>Shared claim-specific concepts:</w:t>
      </w:r>
      <w:r>
        <w:t xml:space="preserve"> frequency, ice, increase; EU scope visible. This is a provisional connection, not an outcome finding.</w:t>
      </w:r>
    </w:p>
    <w:p>
      <w:pPr>
        <w:pStyle w:val="SourceNote"/>
      </w:pPr>
      <w:r>
        <w:rPr>
          <w:b/>
        </w:rPr>
        <w:t>Available abstract (not full text):</w:t>
      </w:r>
      <w:r>
        <w:t xml:space="preserve"> Abstract. Microphysical, optical, and environmental properties of contrail cirrus and natural cirrus were investigated by applying a new, statistically based contrail–cirrus separation method to 14.7 hours of cirrus cloud measurements during the airborne campaign ML-CIRRUS in Central Europe and the Northeast Atlantic flight corridor in Spring 2014. We find that pure contrail cirrus appears frequently at the aircraft cruising altitude (CA) range with ambient pressure varying from 200 to 245 hPa. They exhibit a higher median ice particle number concentration (Nice), a smaller median mass mean radius (Rice), and lower median ice water content (IWC) (median: Nice = 0.045 cm-3, Rice = 16.6 µm, IWC = 3.5 ppmv), and they are optically thinner (median extinction coefficient Ext = ~ 0.056 km-1) than the cirrus mixture of contrail cirrus, natural in situ-origin and liquid-origin cirrus found around the CA range (median: Nice = 0.038 cm-3, Rice = 24.1 µm, IWC = 8.3 ppmv, Ext = ~ 0.096 km-1). The lowest and thickest cirrus, consisting of a few large ice particles, are identified as pure natural liquid-origin cirrus (median: Nice = 0.018 cm-3, Rice = 42.4 µm, IWC = 21.7 ppmv, Ext = ~ 0.137 km-1). Furthermore, we observe that, in particular, contrail cirrus occurs more often in slightly ice-subsaturated instead of merely ice saturated to supersaturated air as often assumed, thus indicating t</w:t>
      </w:r>
    </w:p>
    <w:p>
      <w:pPr>
        <w:pStyle w:val="Heading2"/>
      </w:pPr>
      <w:r>
        <w:t>712.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Neolithization and Population Replacement in Britain: An Alternative View — https://doi.org/10.1017/s0959774321000639</w:t>
      </w:r>
    </w:p>
    <w:p>
      <w:pPr/>
      <w:r>
        <w:rPr>
          <w:b/>
        </w:rPr>
        <w:t>Shared claim-specific concepts:</w:t>
      </w:r>
      <w:r>
        <w:t xml:space="preserve"> here, alternative, populations; EU scope visible. This is a provisional connection, not an outcome finding.</w:t>
      </w:r>
    </w:p>
    <w:p>
      <w:pPr>
        <w:pStyle w:val="SourceNote"/>
      </w:pPr>
      <w:r>
        <w:rPr>
          <w:b/>
        </w:rPr>
        <w:t>Available abstract (not full text):</w:t>
      </w:r>
      <w:r>
        <w:t xml:space="preserve"> Investigation of British Mesolithic and Neolithic genomes suggests discontinuity between the two and has been interpreted as indicating a significant migration of continental farmers, displacing the indigenous population. These incomers had already acquired some hunter-gatherer genetic heritage before their arrival, and this increased little in Britain. However, the proportion of hunter-gatherer genetic ancestry in British Neolithic genomes is generally greater than for most contemporary examples on the continent, particularly in emerging evidence from northern France, while the ultimate origin of British Neolithic populations in Iberia is open to question. Both the date calculated for the arrival of new people in Britain and their westerly origin are at odds with other aspects of the existing evidence. Here, a two-phase model of Neolithization is proposed. The first appearance of Neolithic things and practices significantly predated a more substantial transfer of population, creating the conditions under which new communities could be brought into being. The rather later establishment of a major migration stream coincided with an acceleration in the spread of Neolithic artefacts and activities, as well as an enrichment of the Neolithic material assemblage.</w:t>
      </w:r>
    </w:p>
    <w:p>
      <w:pPr/>
      <w:r>
        <w:rPr>
          <w:b/>
        </w:rPr>
        <w:t>POSSIBLE 2022:</w:t>
      </w:r>
      <w:r>
        <w:t xml:space="preserve"> Voluntary (NGO) Sector’s Involvement in Health Promotion for Older Population in Europe — https://doi.org/10.2427/12420</w:t>
      </w:r>
    </w:p>
    <w:p>
      <w:pPr/>
      <w:r>
        <w:rPr>
          <w:b/>
        </w:rPr>
        <w:t>Shared claim-specific concepts:</w:t>
      </w:r>
      <w:r>
        <w:t xml:space="preserve"> alternative, system, not; EU scope visible. This is a provisional connection, not an outcome finding.</w:t>
      </w:r>
    </w:p>
    <w:p>
      <w:pPr>
        <w:pStyle w:val="SourceNote"/>
      </w:pPr>
      <w:r>
        <w:rPr>
          <w:b/>
        </w:rPr>
        <w:t>Available abstract (not full text):</w:t>
      </w:r>
      <w:r>
        <w:t xml:space="preserve"> Background and objective: The NGO’s (non-governmental organisations’) role in health promotion is very much praised and encouraged. The basic features of this sector, namely social participation, voluntary activity and self-help, are by default considered as beneficial for health promotion for older people. New policy approaches stimulate NGOs involvement in it. This makes questions about this involvement – its role, context and success – increasingly relevant. Method: The research is based on narrative literature review as well as interviews and consultations with informers (practitioners and experts) in selected European countries. Results: Voluntary/NGO sector increases its role as a complimentary or alternative source of health promotion for older people in Europe. Its involvement, roles and functions as well as actual significance, however, depends on a number of factors. It depends on the sustainability of funding, stability of employment, elderly participation rate and recognized availability of services. Those factors are determined by socio-economic and systemic conditions: a country-specific model of third sector, overall social attitudes towards participation and system of governance in health promotion. Conclusion: The sector’s significance is widely acknowledged, however, its impact is often only assumed rather that sufficiently assessed and proven. By its voluntar</w:t>
      </w:r>
    </w:p>
    <w:p>
      <w:pPr/>
      <w:r>
        <w:rPr>
          <w:b/>
        </w:rPr>
        <w:t>POSSIBLE 2022:</w:t>
      </w:r>
      <w:r>
        <w:t xml:space="preserve"> Apex scavengers from different European populations converge at threatened savannah landscapes — https://doi.org/10.1038/s41598-022-06436-9</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Over millennia, human intervention has transformed European habitats mainly through extensive livestock grazing. "Dehesas/Montados" are an Iberian savannah-like ecosystem dominated by oak-trees, bushes and grass species that are subject to agricultural and extensive livestock uses. They are a good example of how large-scale, low intensive transformations can maintain high biodiversity levels as well as socio-economic and cultural values. However, the role that these human-modified habitats can play for individuals or species living beyond their borders is unknown. Here, using a dataset of 106 adult GPS-tagged Eurasian griffon vultures (Gyps fulvus) monitored over seven years, we show how individuals breeding in western European populations from Northern, Central, and Southern Spain, and Southern France made long-range forays (LRFs) of up to 800 km to converge in the threatened Iberian "dehesas" to forage. There, extensive livestock and wild ungulates provide large amounts of carcasses, which are available to scavengers from traditional exploitations and rewilding processes. Our results highlight that maintaining Iberian "dehesas" is critical not only for local biodiversity but also for long-term conservation and the ecosystem services provided by avian scavengers across the continent.</w:t>
      </w:r>
    </w:p>
    <w:p>
      <w:pPr>
        <w:pStyle w:val="Heading2"/>
      </w:pPr>
      <w:r>
        <w:t>713.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2025:</w:t>
      </w:r>
      <w:r>
        <w:t xml:space="preserve"> UGAMOD-TAX: a microsimulation model of taxation in Uganda: Model and data documentation — https://doi.org/10.35188/unu-wider/isuf5565</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technical note documents UGAMOD-TAX, a microsimulation model for personal taxation in Uganda, built using administrative tax records from the Uganda Revenue Authority (URA). It complements the standard survey-based UGAMOD model, developed under UNU-WIDER’s SOUTHMOD project, by leveraging detailed PAYE, presumptive tax, and register data. This administrative foundation enables more accurate simulation of specific taxes and their distributional impacts, particularly capturing high-income earners often underrepresented in survey data. This note focuses on the first version of the model, which uses data and tax policy rules from the 2021/2022 financial year. The model enables policymakers to quantitatively evaluate the fiscal and distributional effects of potential tax reforms.</w:t>
      </w:r>
    </w:p>
    <w:p>
      <w:pPr/>
      <w:r>
        <w:rPr>
          <w:b/>
        </w:rPr>
        <w:t>POSSIBLE 2025:</w:t>
      </w:r>
      <w:r>
        <w:t xml:space="preserve"> Microsimulation Modeling for Health Decision Sciences Using C++: A Tutorial — https://doi.org/10.1007/s40273-025-01526-8</w:t>
      </w:r>
    </w:p>
    <w:p>
      <w:pPr/>
      <w:r>
        <w:rPr>
          <w:b/>
        </w:rPr>
        <w:t>Shared claim-specific concepts:</w:t>
      </w:r>
      <w:r>
        <w:t xml:space="preserve"> microsimulation, implementing, terms; EU scope not established. This is a provisional connection, not an outcome finding.</w:t>
      </w:r>
    </w:p>
    <w:p>
      <w:pPr>
        <w:pStyle w:val="SourceNote"/>
      </w:pPr>
      <w:r>
        <w:rPr>
          <w:b/>
        </w:rPr>
        <w:t>Available abstract (not full text):</w:t>
      </w:r>
      <w:r>
        <w:t xml:space="preserve"> Microsimulation models have become increasingly common in the field of decision modeling for health. Because microsimulation models are computationally more demanding than traditional Markov cohort models, the use of computer programming languages in their development has become more common. C++ is a programming language that has gained widespread recognition in computationally intensive fields, including systems modeling and performance-critical applications. It offers powerful tools for building high-performance microsimulation models, outpacing many traditional modeling software solutions, such as native R, in terms of speed and control over memory management. However, there is limited accessible guidance for implementing microsimulation models in C++. This tutorial offers a step-by-step approach to constructing microsimulation models in C++ and demonstrates its application through simplified but adaptable example decision models. We walk the reader through essential steps and provide generic C++ code that is flexible and suitable for adapting to a range of models. Finally, we present the standalone C++ models and their Rcpp counterparts run within R, and compare their performance to equivalent R implementations in terms of speed and memory efficiency.</w:t>
      </w:r>
    </w:p>
    <w:p>
      <w:pPr/>
      <w:r>
        <w:rPr>
          <w:b/>
        </w:rPr>
        <w:t>POSSIBLE 2025:</w:t>
      </w:r>
      <w:r>
        <w:t xml:space="preserve"> SimPaths: An open-source microsimulation model for life course analysis — https://doi.org/10.34196/ijm.00318</w:t>
      </w:r>
    </w:p>
    <w:p>
      <w:pPr/>
      <w:r>
        <w:rPr>
          <w:b/>
        </w:rPr>
        <w:t>Shared claim-specific concepts:</w:t>
      </w:r>
      <w:r>
        <w:t xml:space="preserve"> microsimulation, project; EU scope visible. This is a provisional connection, not an outcome finding.</w:t>
      </w:r>
    </w:p>
    <w:p>
      <w:pPr>
        <w:pStyle w:val="SourceNote"/>
      </w:pPr>
      <w:r>
        <w:rPr>
          <w:b/>
        </w:rPr>
        <w:t>Available abstract (not full text):</w:t>
      </w:r>
      <w:r>
        <w:t xml:space="preserve"> The paper introduces SimPaths, an open-source framework for individual and household life course events.The framework is designed to project life histories through time, building up a detailed picture of career paths, family (inter)relations, health, and financial circumstances.The modular nature of the SimPaths framework is designed to facilitate analysis of alternative assumptions concerning the tax and benefit system, sensitivity to parameter estimates and alternative approaches for projecting labour/leisure and consumption/savings decisions.SimPaths builds upon standardised assumptions and data sources, which facilitates adaptation to alternative countries -models based on the framework currently exist for the UK, Greece, Hungary, Italy, and Poland, and are under development for Germany, Spain and Sweden.Projections for a workhorse model parameterised to the UK context are reported, which closely reflect observed data throughout a validation window between the Financial crisis (2011) and the Covid-19 pandemic (2019).</w:t>
      </w:r>
    </w:p>
    <w:p>
      <w:pPr/>
      <w:r>
        <w:rPr>
          <w:b/>
        </w:rPr>
        <w:t>POSSIBLE 2025:</w:t>
      </w:r>
      <w:r>
        <w:t xml:space="preserve"> A Microsimulation Model for Sustainability and Detailed Adequacy Analysis of the Retirement Pension System — https://doi.org/10.3390/math13030443</w:t>
      </w:r>
    </w:p>
    <w:p>
      <w:pPr/>
      <w:r>
        <w:rPr>
          <w:b/>
        </w:rPr>
        <w:t>Shared claim-specific concepts:</w:t>
      </w:r>
      <w:r>
        <w:t xml:space="preserve"> microsimulation, labor, gender; EU scope visible. This is a provisional connection, not an outcome finding.</w:t>
      </w:r>
    </w:p>
    <w:p>
      <w:pPr>
        <w:pStyle w:val="SourceNote"/>
      </w:pPr>
      <w:r>
        <w:rPr>
          <w:b/>
        </w:rPr>
        <w:t>Available abstract (not full text):</w:t>
      </w:r>
      <w:r>
        <w:t xml:space="preserve"> The sustainability and adequacy of pension systems are central to public policy debates in aging societies. This paper introduces a novel microsimulation model with probabilistic behavior to assess these dual challenges in the Spanish pension system. The model employs a mixed-projection method, integrating a macro approach—using economic and demographic aggregates from official sources such as the Spanish Statistics Office (INE) and Eurostat—with a micro approach based on the Continuous Sample of Working Lives (MCVL) dataset from Spanish Social Security. This framework enables individual-level projections of key labor market variables, including work time, salary, and initial pensions, under diverse reform scenarios. The results demonstrate the model’s ability to predict initial pensions with high accuracy, providing detailed insights into adequacy by age, gender, and income levels, as well as distributional measures such as density functions and quantiles. Sustainability findings indicate that pension expenditures are projected to stabilize at 13.9% of Gross Domestic Product (GDP) by 2050. The proposed model provides a robust and versatile tool for policymakers, offering a comprehensive evaluation of the long-term impacts of pension reforms on both system sustainability and individual adequacy.</w:t>
      </w:r>
    </w:p>
    <w:p>
      <w:pPr/>
      <w:r>
        <w:rPr>
          <w:b/>
        </w:rPr>
        <w:t>POSSIBLE 2025:</w:t>
      </w:r>
      <w:r>
        <w:t xml:space="preserve"> A Scoping Review of Microsimulation Models on Obesity-Related Policy Evaluation — https://doi.org/10.3390/nu18010073</w:t>
      </w:r>
    </w:p>
    <w:p>
      <w:pPr/>
      <w:r>
        <w:rPr>
          <w:b/>
        </w:rPr>
        <w:t>Shared claim-specific concepts:</w:t>
      </w:r>
      <w:r>
        <w:t xml:space="preserve"> microsimulation, used, population, integration; EU scope not established. This is a provisional connection, not an outcome finding.</w:t>
      </w:r>
    </w:p>
    <w:p>
      <w:pPr>
        <w:pStyle w:val="SourceNote"/>
      </w:pPr>
      <w:r>
        <w:rPr>
          <w:b/>
        </w:rPr>
        <w:t>Available abstract (not full text):</w:t>
      </w:r>
      <w:r>
        <w:t xml:space="preserve"> Background/Objectives: Obesity is a major global public health and economic challenge. Governments worldwide have implemented nutrition-focused policies such as sugar-sweetened beverage taxes, front-of-pack labeling, food assistance reforms, and school nutrition standards to improve diet quality and reduce obesity. Because large-scale randomized controlled trials are often infeasible and conventional epidemiologic methods overlook population heterogeneity and behavioral feedback, microsimulation modeling has become a key tool for evaluating long-term and distributional policy impacts. This scoping review examined the application of microsimulation to obesity-related nutrition policies, focusing on model structure, behavioral parameterization, and integration of economic and equity analyses. Methods: Following PRISMA guidelines (PROSPERO CRD42024599769), five databases were searched for peer-reviewed studies. Data were extracted on policy mechanisms, model design, parameterization, and equity analysis. Study quality was assessed using a customized 21-item checklist adapted from CHEERS and NIH tools. Results: Twenty-nine studies met the inclusion criteria, with most policy settings based in the United States. Most employed dynamic, stochastic, individual-level microsimulation models with diverse behavioral assumptions, obesity equations, and calibration approaches. While most stu</w:t>
      </w:r>
    </w:p>
    <w:p>
      <w:pPr/>
      <w:r>
        <w:rPr>
          <w:b/>
        </w:rPr>
        <w:t>POSSIBLE 2025:</w:t>
      </w:r>
      <w:r>
        <w:t xml:space="preserve"> A Microsimulation Model of Behaviour Change Calibrated to Reversal Learning Data — https://doi.org/10.18564/jasss.5637</w:t>
      </w:r>
    </w:p>
    <w:p>
      <w:pPr/>
      <w:r>
        <w:rPr>
          <w:b/>
        </w:rPr>
        <w:t>Shared claim-specific concepts:</w:t>
      </w:r>
      <w:r>
        <w:t xml:space="preserve"> microsimulation, dynamics; EU scope not established. This is a provisional connection, not an outcome finding.</w:t>
      </w:r>
    </w:p>
    <w:p>
      <w:pPr>
        <w:pStyle w:val="SourceNote"/>
      </w:pPr>
      <w:r>
        <w:rPr>
          <w:b/>
        </w:rPr>
        <w:t>Available abstract (not full text):</w:t>
      </w:r>
      <w:r>
        <w:t xml:space="preserve"> Behaviour change lies at the heart of many observable collective phenomena such as the transmission and control of infectious diseases, adoption of public health policies, and migration of animals to new habitats.Representing the process of individual behaviour change in computer simulations of these phenomena remains an open challenge.Often, computational models use phenomenological implementations with limited support from behavioural data.Without a strong connection to observable quantities, such models have limited utility for simulating observed and counterfactual scenarios of emergent phenomena because they cannot be validated or calibrated.Here, we present a simple stochastic microsimulation model of reversal learning that captures fundamental properties of individual behaviour change, namely, the capacity to learn based on accumulated reward signals, and the transient persistence of learned behaviour after rewards are removed or altered.The model has only two parameters, and we use approximate Bayesian computation to demonstrate that they are fully identifiable from empirical reversal learning time series data.Finally, we demonstrate how the model can be extended to account for the increased complexity of behavioural dynamics over longer time scales involving fluctuating stimuli.This work is a step towards the development and evaluation of fully identifiable individual-</w:t>
      </w:r>
    </w:p>
    <w:p>
      <w:pPr/>
      <w:r>
        <w:rPr>
          <w:b/>
        </w:rPr>
        <w:t>POSSIBLE 2024:</w:t>
      </w:r>
      <w:r>
        <w:t xml:space="preserve"> The LOTTE System of Tax Microsimulation Models — https://doi.org/10.34196/ijm.00308</w:t>
      </w:r>
    </w:p>
    <w:p>
      <w:pPr/>
      <w:r>
        <w:rPr>
          <w:b/>
        </w:rPr>
        <w:t>Shared claim-specific concepts:</w:t>
      </w:r>
      <w:r>
        <w:t xml:space="preserve"> microsimulation, used, labor, different; EU scope visible. This is a provisional connection, not an outcome finding.</w:t>
      </w:r>
    </w:p>
    <w:p>
      <w:pPr>
        <w:pStyle w:val="SourceNote"/>
      </w:pPr>
      <w:r>
        <w:rPr>
          <w:b/>
        </w:rPr>
        <w:t>Available abstract (not full text):</w:t>
      </w:r>
      <w:r>
        <w:t xml:space="preserve"> Microsimulation models of the LOTTE system are key tools for tax policy-making in Norway and are extensively used in the budget process.The aim of this paper is to give an overview of the different modules in the LOTTE family -a non-behavioral tax-benefit model for personal income tax (LOTTE-Skatt), a labor supply model (LOTTE-Arbeid), and a model for distributional effects of commodity taxation (LOTTE-Konsum).In addition to providing descriptions of the designs of the three microsimulation models, we give examples of how the models are used in practical and academic work.</w:t>
      </w:r>
    </w:p>
    <w:p>
      <w:pPr/>
      <w:r>
        <w:rPr>
          <w:b/>
        </w:rPr>
        <w:t>POSSIBLE 2024:</w:t>
      </w:r>
      <w:r>
        <w:t xml:space="preserve"> Accounting for Behavioral Effects in Microsimulation: A Reduced Form Approach — https://doi.org/10.34196/ijm.00311</w:t>
      </w:r>
    </w:p>
    <w:p>
      <w:pPr/>
      <w:r>
        <w:rPr>
          <w:b/>
        </w:rPr>
        <w:t>Shared claim-specific concepts:</w:t>
      </w:r>
      <w:r>
        <w:t xml:space="preserve"> microsimulation, used, labor; EU scope not established. This is a provisional connection, not an outcome finding.</w:t>
      </w:r>
    </w:p>
    <w:p>
      <w:pPr>
        <w:pStyle w:val="SourceNote"/>
      </w:pPr>
      <w:r>
        <w:rPr>
          <w:b/>
        </w:rPr>
        <w:t>Available abstract (not full text):</w:t>
      </w:r>
      <w:r>
        <w:t xml:space="preserve"> Microsimulation models are used worldwide to assist in the policy-making of governments. The simulation models may be purely non-behavioral or they may also include modules that simulate labor supply responses to the policy change in question. The present paper demonstrates how the practitioner can employ exogeneously given response estimates to account for behavioral effects in this type of work. Response estimates are combined with individual changes in work incentives at both the extensive and intensive margins. The concepts of the participation tax rate (PTR) and the effective marginal tax rate (EMTR) are employed. In the empirical illustration we discuss distributional and social welfare effects arising from the changes in Finnish taxes and benefits that took effect in 2020.</w:t>
      </w:r>
    </w:p>
    <w:p>
      <w:pPr>
        <w:pStyle w:val="Heading2"/>
      </w:pPr>
      <w:r>
        <w:t>714.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pStyle w:val="Heading2"/>
      </w:pPr>
      <w:r>
        <w:t>715.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2025:</w:t>
      </w:r>
      <w:r>
        <w:t xml:space="preserve"> Monitoring the Environmental Impact of the Bioeconomy: Indicators and Models for Ex-Post and Ex-Ante Evaluation in Agriculture — https://doi.org/10.3390/su172310867</w:t>
      </w:r>
    </w:p>
    <w:p>
      <w:pPr/>
      <w:r>
        <w:rPr>
          <w:b/>
        </w:rPr>
        <w:t>Shared claim-specific concepts:</w:t>
      </w:r>
      <w:r>
        <w:t xml:space="preserve"> ex-post, environmental, indicators; EU scope visible. This is a provisional connection, not an outcome finding.</w:t>
      </w:r>
    </w:p>
    <w:p>
      <w:pPr>
        <w:pStyle w:val="SourceNote"/>
      </w:pPr>
      <w:r>
        <w:rPr>
          <w:b/>
        </w:rPr>
        <w:t>Available abstract (not full text):</w:t>
      </w:r>
      <w:r>
        <w:t xml:space="preserve"> The transformation towards a sustainable bioeconomy presents new challenges and opportunities for the agricultural sector. This paper investigates how the environmental impacts of this transformation can be effectively monitored using existing agricultural models and sustainability indicators. Drawing on comprehensive model and indicator reviews from the SYMOBIO project, we identify a set of suitable models and propose a harmonised set of 21 SMART-aligned indicators for immediate use for national and regional monitoring. The key findings highlight strong capabilities for modelling GHG and nutrient indicators, persistent gaps in biodiversity and water indicators, and the need for improved methods for using biomass as well as for representing scenario-based spatially disaggregated approaches. The findings highlight the importance of having harmonised indicators, quantitative targets, and integrated monitoring systems in place. The results mark an intermediate step in the ongoing development of national bioeconomy monitoring in Germany.</w:t>
      </w:r>
    </w:p>
    <w:p>
      <w:pPr/>
      <w:r>
        <w:rPr>
          <w:b/>
        </w:rPr>
        <w:t>POSSIBLE 2025:</w:t>
      </w:r>
      <w:r>
        <w:t xml:space="preserve"> Material Stories: Assessing Sustainability of Digital Fabrication with Bio-Based Materials Through LCA — https://doi.org/10.1007/978-3-031-69626-8_3</w:t>
      </w:r>
    </w:p>
    <w:p>
      <w:pPr/>
      <w:r>
        <w:rPr>
          <w:b/>
        </w:rPr>
        <w:t>Shared claim-specific concepts:</w:t>
      </w:r>
      <w:r>
        <w:t xml:space="preserve"> ex-post, lca, environmental; EU scope visible. This is a provisional connection, not an outcome finding.</w:t>
      </w:r>
    </w:p>
    <w:p>
      <w:pPr>
        <w:pStyle w:val="SourceNote"/>
      </w:pPr>
      <w:r>
        <w:rPr>
          <w:b/>
        </w:rPr>
        <w:t>Available abstract (not full text):</w:t>
      </w:r>
      <w:r>
        <w:t xml:space="preserve"> Abstract Life-cycle assessment (LCA) stands as a vital tool in gauging the environmental impacts of building endeavors. Extending LCA to emerging research practices like advanced digital manufacturing of bio-based materials becomes pivotal for refining materials, appraising outcomes, and steering architecture toward sustainable development and circularity goals. To outline the main obstacles and to provide a potential methodology, the chapter presents two cases of application of LCA to digital fabrication with bio-based materials in experimental research practice. The application is framed within the ISO and EU standards for LCA and is tested through an ex-post “cradle to construction” analysis of two European Research Council (ERC) funded projects developed by the Center for Information Technology in Architecture (CITA) at the Royal Danish Academy. Specifically, a product LCA is performed for bio-polymeric composited 3D robotic fabrication using a novel collagen-based 3D print material, and a comparative LCA is carried out for Glulam manufacturing optimization connecting data from the timbers source in the forest and sawmill with its design and fabrication. In both cases, the prototypes assembly and exhibition are covered by the analysis. The unavailability of data, difficulties in standard protocols adaptation, and material and energy flows tracing in the research process eme</w:t>
      </w:r>
    </w:p>
    <w:p>
      <w:pPr/>
      <w:r>
        <w:rPr>
          <w:b/>
        </w:rPr>
        <w:t>POSSIBLE 2025:</w:t>
      </w:r>
      <w:r>
        <w:t xml:space="preserve"> Accounting for learning in prospective LCA: Theory and practical guidance — https://doi.org/10.1111/jiec.70002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Abstract Learning is important for the development of industrially deployed technologies, and learning curves have been used to determine future production costs. Although the effect of learning on costs has been extensively studied, little evidence exists for its effect on environmental impacts, and a conceptual underpinning is lacking. Based on a review of theoretical foundations and empirical evidence, this study presents a procedure for assessing learning of industrial processes in ex ante and prospective life cycle assessment (LCA). We argue that learning involves operational or organizational changes, which are motivated by incentives. Therefore, environmental impacts may follow a learning curve trend if the origins of impacts coincide with dominant incentives. A key observation is that the results may vary by impact category, and certain impacts may not decline at all. Therefore, we developed guidelines that consider these differences when evaluating environmental learning effects and rates, as illustrated with examples in an LCA context. Further research is needed to expand the evidence base for environmental learning, by re‐interpreting datasets of existing technologies to determine their learning rates.</w:t>
      </w:r>
    </w:p>
    <w:p>
      <w:pPr>
        <w:pStyle w:val="Heading2"/>
      </w:pPr>
      <w:r>
        <w:t>716.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2024:</w:t>
      </w:r>
      <w:r>
        <w:t xml:space="preserve"> A Novel Fuzzy Model for Knowledge-Driven Process Optimization in Renewable Energy Projects — https://doi.org/10.1007/s13132-024-02074-w</w:t>
      </w:r>
    </w:p>
    <w:p>
      <w:pPr/>
      <w:r>
        <w:rPr>
          <w:b/>
        </w:rPr>
        <w:t>Shared claim-specific concepts:</w:t>
      </w:r>
      <w:r>
        <w:t xml:space="preserve"> respect, energy, novel, technologies, use, conducted; EU scope not established. This is a provisional connection, not an outcome finding.</w:t>
      </w:r>
    </w:p>
    <w:p>
      <w:pPr>
        <w:pStyle w:val="SourceNote"/>
      </w:pPr>
      <w:r>
        <w:rPr>
          <w:b/>
        </w:rPr>
        <w:t>Available abstract (not full text):</w:t>
      </w:r>
      <w:r>
        <w:t xml:space="preserve"> Abstract This study is aimed at identifying key indicators to increase knowledge-based process optimization for renewable energy projects. Within this context, a novel fuzzy decision-making model is introduced that has two different stages. The first stage is related to the weighting of the knowledge-based determinants of process optimization in investment decisions by using quantum picture fuzzy rough sets (QPFR)-based multi-step wise weight assessment ratio analysis (M-SWARA). On the other side, the second stage consists of ranking the investment alternatives for process optimization in renewable energy projects via the QPFR-based technique for order preference by similarity (TOPSIS) methodology. The main contribution of this study is that a priority analysis is conducted for information-based factors affecting the performance of renewable energy projects. This situation provides an opportunity for the investments to implement appropriate strategies to increase the optimization of these investments. It is concluded that quality is the most essential indicator with respect to the process optimization of these projects. It can be possible to increase the efficiency of these projects by using better quality products. Innovation has an important role in ensuring the use of quality products in environmental sustainability. Owing to new technologies, it is easier to use more effect</w:t>
      </w:r>
    </w:p>
    <w:p>
      <w:pPr/>
      <w:r>
        <w:rPr>
          <w:b/>
        </w:rPr>
        <w:t>POSSIBLE 2024:</w:t>
      </w:r>
      <w:r>
        <w:t xml:space="preserve"> Comprehensive Risk Analysis and Decision-Making Model for Hydroelectricity Energy Investments — https://doi.org/10.31181/jscda21202421</w:t>
      </w:r>
    </w:p>
    <w:p>
      <w:pPr/>
      <w:r>
        <w:rPr>
          <w:b/>
        </w:rPr>
        <w:t>Shared claim-specific concepts:</w:t>
      </w:r>
      <w:r>
        <w:t xml:space="preserve"> respect, energy, critical, use; EU scope not established. This is a provisional connection, not an outcome finding.</w:t>
      </w:r>
    </w:p>
    <w:p>
      <w:pPr>
        <w:pStyle w:val="SourceNote"/>
      </w:pPr>
      <w:r>
        <w:rPr>
          <w:b/>
        </w:rPr>
        <w:t>Available abstract (not full text):</w:t>
      </w:r>
      <w:r>
        <w:t xml:space="preserve"> The risks of hydroelectricity energy investments should be managed effectively to increase the performance of these projects. Thus, more significant risks should be identified to take effective measures for risk management without experiencing high costs. Accordingly, the purpose of this study is to define critical risks in hydroelectricity energy investment projects by making a priority analysis. Within this scope, a new decision-making model is created. In the first stage, five different risks are examined by considering Spherical fuzzy Entropy. Moreover, the second stage consists of ranking emerging seven countries with the help of Spherical fuzzy multi-attribute ideal-real comparative assessment (MAIRCA). The main contribution of this study is that more important risks of hydroelectricity energy investments can be identified by the help of the priority analysis. This situation provides an opportunity to implement effective strategies to increase these investments without having high costs. Additionally, considering Spherical fuzzy sets has a positive impact on the appropriateness of the results. Since these numbers use a wider data range, the effectiveness of the analysis results can increase. It is determined that the most important risk is environmental risk with the highest weight value of 0.2478. Financial risks and personnel risks are other significant factors that aff</w:t>
      </w:r>
    </w:p>
    <w:p>
      <w:pPr/>
      <w:r>
        <w:rPr>
          <w:b/>
        </w:rPr>
        <w:t>POSSIBLE 2023:</w:t>
      </w:r>
      <w:r>
        <w:t xml:space="preserve"> An ontology-based innovative energy modeling framework for scalable and adaptable building digital twins — https://doi.org/10.1016/j.enbuild.2023.113146</w:t>
      </w:r>
    </w:p>
    <w:p>
      <w:pPr/>
      <w:r>
        <w:rPr>
          <w:b/>
        </w:rPr>
        <w:t>Shared claim-specific concepts:</w:t>
      </w:r>
      <w:r>
        <w:t xml:space="preserve"> energy, modeling, use; EU scope not established. This is a provisional connection, not an outcome finding.</w:t>
      </w:r>
    </w:p>
    <w:p>
      <w:pPr>
        <w:pStyle w:val="SourceNote"/>
      </w:pPr>
      <w:r>
        <w:rPr>
          <w:b/>
        </w:rPr>
        <w:t>Available abstract (not full text):</w:t>
      </w:r>
      <w:r>
        <w:t xml:space="preserve"> Digitalization of buildings and the use of IoT sensing and metering devices are steadily increasing, offering new opportunities for more autonomous, efficient, and flexible buildings. As part of this transformation and inspired by the added value demonstrated in other domains, the concept of a building digital twin that can monitor, simulate, manage, and optimize building operation has received increased interest. To aid such digital twin implementations, accurate and adaptable simulation models are required, which can effectively integrate and utilize the available data. However, traditional building modeling and digital practices, such as Building Information Modeling and white-box modeling tools, are not easily compatible with these requirements. This work presents an innovative and flexible energy modeling framework based on the SAREF ontology. With a basis in the SAREF4BLDG extension for buildings and the defined classes, different models are presented for a selection of typical systems and devices such as spaces, space heaters, dampers, coils, etc. Using the generic semantics and relations of the SAREF4SYST extension, a method for linking and simulating component models is then presented. A proof-of-concept of the modeling framework is provided, showing its application and feasibility to provide a dynamic simulation of the different systems and devices included in a demon</w:t>
      </w:r>
    </w:p>
    <w:p>
      <w:pPr/>
      <w:r>
        <w:rPr>
          <w:b/>
        </w:rPr>
        <w:t>POSSIBLE 2022:</w:t>
      </w:r>
      <w:r>
        <w:t xml:space="preserve"> Future of solar energy potential in a changing climate across the world: A CMIP6 multi-model ensemble analysis — https://doi.org/10.1016/j.renene.2022.02.023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Models for energy and transport policymaking in Zambia — https://doi.org/10.5281/zenodo.7107842</w:t>
      </w:r>
    </w:p>
    <w:p>
      <w:pPr/>
      <w:r>
        <w:rPr>
          <w:b/>
        </w:rPr>
        <w:t>Shared claim-specific concepts:</w:t>
      </w:r>
      <w:r>
        <w:t xml:space="preserve"> energy, critical, use; EU scope not established. This is a provisional connection, not an outcome finding.</w:t>
      </w:r>
    </w:p>
    <w:p>
      <w:pPr>
        <w:pStyle w:val="SourceNote"/>
      </w:pPr>
      <w:r>
        <w:rPr>
          <w:b/>
        </w:rPr>
        <w:t>Available abstract (not full text):</w:t>
      </w:r>
      <w:r>
        <w:t xml:space="preserve"> This brief makes the case for incorporating models into Zambia's policymaking process, particularly for the energy and transport sectors. It does this through looking at the current state of modelling and policymaking in Zambia and by interviewing key Zambian stakeholders. Considering the many challenges in these two sectors, the Government needs to carefully plan and efficiently allocate its resources. Models, simplified representations of real-world systems, are critical to this process. However, energy and transport models use in supporting policymaking in Zambia is limited. To enhance their use, we recommend approaches for creating high-level awareness of models among policymakers, strengthening capacity and skills, and better institutional arrangements. This will increase responsiveness to policy needs and enhance the sustainability of the models developed.</w:t>
      </w:r>
    </w:p>
    <w:p>
      <w:pPr/>
      <w:r>
        <w:rPr>
          <w:b/>
        </w:rPr>
        <w:t>POSSIBLE 2022:</w:t>
      </w:r>
      <w:r>
        <w:t xml:space="preserve"> Bipolar q-ROF Hybrid Decision Making Model With Golden Cut for Analyzing the Levelized Cost of Renewable Energy Alternatives — https://doi.org/10.1109/access.2022.3168315</w:t>
      </w:r>
    </w:p>
    <w:p>
      <w:pPr/>
      <w:r>
        <w:rPr>
          <w:b/>
        </w:rPr>
        <w:t>Shared claim-specific concepts:</w:t>
      </w:r>
      <w:r>
        <w:t xml:space="preserve"> respect, energy; EU scope not established. This is a provisional connection, not an outcome finding.</w:t>
      </w:r>
    </w:p>
    <w:p>
      <w:pPr>
        <w:pStyle w:val="SourceNote"/>
      </w:pPr>
      <w:r>
        <w:rPr>
          <w:b/>
        </w:rPr>
        <w:t>Available abstract (not full text):</w:t>
      </w:r>
      <w:r>
        <w:t xml:space="preserve"> Energy costs are the key factors regarding the selection of appropriate renewable energy (RWG) alternatives. All costs of a power plant, such as investment, operation, maintenance, and repair are considered in the scope of levelized costs. Therefore, for the effective determination of the selling price of the energy, levelized cost has a guiding role. Because the levelized costs of RWG alternatives develop the sustainable production and energy consumption for the long term, the leading indicators of these costs should be analyzed significantly. Accordingly, in this study, it is aimed to investigate the levelized cost of RWG alternatives by using bipolar q-rung orthopair fuzzy (q-ROF) hybrid decision-making approach. The novelty of this study is to recommend an integrated decision-making model based on bipolar and q-ROFSs with golden cut. At the first stage, bipolar q-ROF multi stepwise weight assessment ratio analysis (M-SWARA) is employed for weighting the selected criteria of levelized costs of RWG alternatives. At the following stage, bipolar q-ROF technique for order preference by similarity to ideal solution (TOPSIS) is considered to rank the alternatives in terms of the levelized cost performance. On the other side, vise kriterijumska optimizacija i kompromisno resenje (VIKOR) model is also considered to rank the alternatives. In addition to this issue, the sensitivity an</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2021:</w:t>
      </w:r>
      <w:r>
        <w:t xml:space="preserve"> ASEAN’s Energy Transition towards Cleaner Energy System: Energy Modelling Scenarios and Policy Implications — https://doi.org/10.3390/su13052819</w:t>
      </w:r>
    </w:p>
    <w:p>
      <w:pPr/>
      <w:r>
        <w:rPr>
          <w:b/>
        </w:rPr>
        <w:t>Shared claim-specific concepts:</w:t>
      </w:r>
      <w:r>
        <w:t xml:space="preserve"> energy, technologies, use; EU scope not established. This is a provisional connection, not an outcome finding.</w:t>
      </w:r>
    </w:p>
    <w:p>
      <w:pPr>
        <w:pStyle w:val="SourceNote"/>
      </w:pPr>
      <w:r>
        <w:rPr>
          <w:b/>
        </w:rPr>
        <w:t>Available abstract (not full text):</w:t>
      </w:r>
      <w:r>
        <w:t xml:space="preserve"> The Association of Southeast Asian Nations (ASEAN) faces tremendous challenges regarding the future energy landscape and how the energy transition will embrace a new architecture—including sound policies and technologies to ensure energy access together with affordability, energy security, and energy sustainability. Given the high share of fossil fuels in ASEAN’s current energy mix (oil, coal, and natural gas comprise almost 80%), the clean use of fossil fuels through the deployment of clean technologies is indispensable for decarbonizing ASEAN’s emissions. The future energy landscape of ASEAN will rely on today’s actions, policies, and investments to change the fossil fuel-based energy system towards a cleaner energy system, but any decisions and energy policy measures to be rolled out during the energy transition need to be weighed against potentially higher energy costs, affordability issues, and energy security risks. This paper employs energy modelling scenarios to seek plausible policy options for ASEAN to achieve more emissions reductions as well as energy savings, and to assess the extent to which the composition of the energy mix will be changed under various energy policy scenarios. The results imply policy recommendations for accelerating the share of renewables, adopting clean technologies and the clean use of fossil fuels, and investing in climate-resilient energy </w:t>
      </w:r>
    </w:p>
    <w:p>
      <w:pPr>
        <w:pStyle w:val="Heading2"/>
      </w:pPr>
      <w:r>
        <w:t>717.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2022:</w:t>
      </w:r>
      <w:r>
        <w:t xml:space="preserve"> Natural Fillers as Potential Modifying Agents for Epoxy Composition: A Review — https://doi.org/10.3390/polym14020265</w:t>
      </w:r>
    </w:p>
    <w:p>
      <w:pPr/>
      <w:r>
        <w:rPr>
          <w:b/>
        </w:rPr>
        <w:t>Shared claim-specific concepts:</w:t>
      </w:r>
      <w:r>
        <w:t xml:space="preserve"> potential, modifying, interest; EU scope not established. This is a provisional connection, not an outcome finding.</w:t>
      </w:r>
    </w:p>
    <w:p>
      <w:pPr>
        <w:pStyle w:val="SourceNote"/>
      </w:pPr>
      <w:r>
        <w:rPr>
          <w:b/>
        </w:rPr>
        <w:t>Available abstract (not full text):</w:t>
      </w:r>
      <w:r>
        <w:t xml:space="preserve"> Epoxy resins as important organic matrices, thanks to their chemical structure and the possibility of modification, have unique properties, which contribute to the fact that these materials have been used in many composite industries for many years. Epoxy resins are repeatedly used in exacting applications due to their exquisite mechanical properties, thermal stability, scratch resistance, and chemical resistance. Moreover, epoxy materials also have really strong resistance to solvents, chemical attacks, and climatic aging. The presented features confirm the fact that there is a constant interest of scientists in the modification of resins and understanding its mechanisms, as well as in the development of these materials to obtain systems with the required properties. Most of the recent studies in the literature are focused on green fillers such as post-agricultural waste powder (cashew nuts powder, coconut shell powder, rice husks, date seed), grass fiber (bamboo fibers), bast/leaf fiber (hemp fibers, banana bark fibers, pineapple leaf), and other natural fibers (waste tea fibers, palm ash) as reinforcement for epoxy resins rather than traditional non-biodegradable fillers due to their sustainability, low cost, wide availability, and the use of waste, which is environmentally friendly. Furthermore, the advantages of natural fillers over traditional fillers are acceptable speci</w:t>
      </w:r>
    </w:p>
    <w:p>
      <w:pPr/>
      <w:r>
        <w:rPr>
          <w:b/>
        </w:rPr>
        <w:t>POSSIBLE 2022:</w:t>
      </w:r>
      <w:r>
        <w:t xml:space="preserve"> Status and Prospects of Botanical Biopesticides in Europe and Mediterranean Countries — https://doi.org/10.3390/biom12020311</w:t>
      </w:r>
    </w:p>
    <w:p>
      <w:pPr/>
      <w:r>
        <w:rPr>
          <w:b/>
        </w:rPr>
        <w:t>Shared claim-specific concepts:</w:t>
      </w:r>
      <w:r>
        <w:t xml:space="preserve"> countries, especially; EU scope visible. This is a provisional connection, not an outcome finding.</w:t>
      </w:r>
    </w:p>
    <w:p>
      <w:pPr>
        <w:pStyle w:val="SourceNote"/>
      </w:pPr>
      <w:r>
        <w:rPr>
          <w:b/>
        </w:rPr>
        <w:t>Available abstract (not full text):</w:t>
      </w:r>
      <w:r>
        <w:t xml:space="preserve"> Concerning human and environmental health, safe alternatives to synthetic pesticides are urgently needed. Many of the currently used synthetic pesticides are not authorized for application in organic agriculture. In addition, the developed resistances of various pests against classical pesticides necessitate the urgent demand for efficient and safe products with novel modes of action. Botanical pesticides are assumed to be effective against various crop pests, and they are easily biodegradable and available in high quantities and at a reasonable cost. Many of them may act by diverse yet unexplored mechanisms of action. It is therefore surprising that only few plant species have been developed for commercial usage as biopesticides. This article reviews the status of botanical pesticides, especially in Europe and Mediterranean countries, deepening their active principles and mechanisms of action. Moreover, some constraints and challenges in the development of novel biopesticides are highlighted.</w:t>
      </w:r>
    </w:p>
    <w:p>
      <w:pPr/>
      <w:r>
        <w:rPr>
          <w:b/>
        </w:rPr>
        <w:t>POSSIBLE 2022:</w:t>
      </w:r>
      <w:r>
        <w:t xml:space="preserve"> Potential improvements in montmorillonite-nanoclay-modified Cold-Mix Asphalt — https://doi.org/10.1016/j.cscm.2022.e01331</w:t>
      </w:r>
    </w:p>
    <w:p>
      <w:pPr/>
      <w:r>
        <w:rPr>
          <w:b/>
        </w:rPr>
        <w:t>Shared claim-specific concepts:</w:t>
      </w:r>
      <w:r>
        <w:t xml:space="preserve"> all, potential, achieve, especially; EU scope not established. This is a provisional connection, not an outcome finding.</w:t>
      </w:r>
    </w:p>
    <w:p>
      <w:pPr>
        <w:pStyle w:val="SourceNote"/>
      </w:pPr>
      <w:r>
        <w:rPr>
          <w:b/>
        </w:rPr>
        <w:t>Available abstract (not full text):</w:t>
      </w:r>
      <w:r>
        <w:t xml:space="preserve"> Over the years, Cold-Mix Asphalts (CMAs) used principally for pothole patching and partial-depth repairs in Ghana have performed abysmally. Given the convenience, environmental friendliness and low cost associated with CMA production, the use of the material in Ghana is likely to continue for a long time to come. Therefore, to justify it continual use in road maintenance, especially pothole patching, the material must be improved in quality considerably beyond what currently pertains to achieve a more successful product. Fillers used in bituminous mixtures have been identified as having the potential to improve mixture properties positively. In view of this, in the quest to improve CMAs, montmorillonite- nanoclay filler (pulverized clay particles of size 1-100 nm) was incorporated in CMAs formulated from five dense gradation regimes adopted from the Asphalt Institute M-19 Specification. The nanoclay filler was added from 1-3% by weight of aggregate at 1% incremental levels. Using the Marshall Mix Design procedure, mixture properties (Stability, Flow, Optimum Bitumen Content and Voids) were accordingly determined. It was observed that when montmorillonite nanoclay was introduced as a filler in the cold mixes, all the gradation groups recorded improvements in their stability at each nanoclay content. At 2% nanoclay content, all the mixtures yielded optimum values. The increase in</w:t>
      </w:r>
    </w:p>
    <w:p>
      <w:pPr/>
      <w:r>
        <w:rPr>
          <w:b/>
        </w:rPr>
        <w:t>POSSIBLE 2021:</w:t>
      </w:r>
      <w:r>
        <w:t xml:space="preserve"> Potential Effects of a Modified Mediterranean Diet on Body Composition in Lipoedema — https://doi.org/10.3390/nu13020358</w:t>
      </w:r>
    </w:p>
    <w:p>
      <w:pPr/>
      <w:r>
        <w:rPr>
          <w:b/>
        </w:rPr>
        <w:t>Shared claim-specific concepts:</w:t>
      </w:r>
      <w:r>
        <w:t xml:space="preserve"> all, potential, long-term; EU scope visible. This is a provisional connection, not an outcome finding.</w:t>
      </w:r>
    </w:p>
    <w:p>
      <w:pPr>
        <w:pStyle w:val="SourceNote"/>
      </w:pPr>
      <w:r>
        <w:rPr>
          <w:b/>
        </w:rPr>
        <w:t>Available abstract (not full text):</w:t>
      </w:r>
      <w:r>
        <w:t xml:space="preserve"> Lipoedema is a subcutaneous adipose tissue disease characterized by the increase in the amount and structure of fat mass (FM) in specific areas, causing pain and discomfort. 95% of patients fail to lose weight in the lipoedema areas. The study was conducted to evaluate body composition and general health status modification in a group of lipoedema patients (LIPPY) and a control group (CTRL) after four weeks of a modified Mediterranean diet therapy (mMeD). A total of 29 subjects were included in the data analysis, divided in two groups: 14 LIPPY and 15 CTRL. After the mMeD, both groups significantly decreased their weight and body mass index; the CTRL also showed a reduction of all the circumferences and all FM's compartments. LIPPY showed a decrease of FM in upper and lower limbs. No significant differences in Δ% between the groups were observed for the lean mass (LM). In LIPPY, an increase in the patients' ability to perform various daily physical activities related to the loss of arms' and legs' fat was observed. According to the European Quality of Life scale, the possibility for LIPPY subjects to perform simple daily activities with less fatigue, pain and anxiety is highlighted. Further long-term studies are recommended to confirm the mMeD as a good strategy for Lipoedema treatment.</w:t>
      </w:r>
    </w:p>
    <w:p>
      <w:pPr/>
      <w:r>
        <w:rPr>
          <w:b/>
        </w:rPr>
        <w:t>POSSIBLE 2021:</w:t>
      </w:r>
      <w:r>
        <w:t xml:space="preserve"> A modified lightning potential index for numerical models with parameterized deep convection — https://doi.org/10.5194/ems2021-253</w:t>
      </w:r>
    </w:p>
    <w:p>
      <w:pPr/>
      <w:r>
        <w:rPr>
          <w:b/>
        </w:rPr>
        <w:t>Shared claim-specific concepts:</w:t>
      </w:r>
      <w:r>
        <w:t xml:space="preserve"> shown, all, potential, international; EU scope visible. This is a provisional connection, not an outcome finding.</w:t>
      </w:r>
    </w:p>
    <w:p>
      <w:pPr>
        <w:pStyle w:val="SourceNote"/>
      </w:pPr>
      <w:r>
        <w:rPr>
          <w:b/>
        </w:rPr>
        <w:t>Available abstract (not full text):</w:t>
      </w:r>
      <w:r>
        <w:t xml:space="preserve"> A modified lightning potential index (MLPI) for numerical models with parameterized deep convection is presented. It is based on the LPI formula of Lynn and Yair (2010). Following the idea of Lopez (2016), the quantities (e.g. vertical velocity) needed in the LPI formula are derived from the updraft of the Bechtold-Tiedtke parameterization scheme (Bechtold et al., 2014). The formula is further improved by taking into account the vertical equivalent potential temperature gradient. The LPI and MLPI are tested in ICON with 20km resolution (ICON-20) over central Europe. A key component in the LPI is the vertical velocity. To assess its quality, the vertical velocity of the updraft in the convection scheme in ICON-20 is compared to updrafts in the convection-resolving COSMO model with 2.2 km resolution (COSMO-D2). It is shown that in ICON-20 the extension of the vertical velocity is generally broader with the maximum located in higher altitudes. In the charge separation area where the vertical velocity is relevant, the ICON-20 vertical velocity is less than in COSMO-D2. Consequently, the LPI values in ICON-20 are lower by a factor of 2 compared to COSMO-D2. The MLPI is verified against LINET lightning data (Betz et al. 2009) over central Europe for summer 2020 and compared to LPI in COSMO-D2. The MLPI is also compared to the LPI and the lightning flash density (LFD, Lopez, 2016), al</w:t>
      </w:r>
    </w:p>
    <w:p>
      <w:pPr/>
      <w:r>
        <w:rPr>
          <w:b/>
        </w:rPr>
        <w:t>POSSIBLE 2021:</w:t>
      </w:r>
      <w:r>
        <w:t xml:space="preserve"> Personality and Authenticity in Light of the Memory-Modifying Potential of Optogenetics — https://doi.org/10.1080/21507740.2020.1866097</w:t>
      </w:r>
    </w:p>
    <w:p>
      <w:pPr/>
      <w:r>
        <w:rPr>
          <w:b/>
        </w:rPr>
        <w:t>Shared claim-specific concepts:</w:t>
      </w:r>
      <w:r>
        <w:t xml:space="preserve"> shown, potential, interest, especially, long-term; EU scope not established. This is a provisional connection, not an outcome finding.</w:t>
      </w:r>
    </w:p>
    <w:p>
      <w:pPr>
        <w:pStyle w:val="SourceNote"/>
      </w:pPr>
      <w:r>
        <w:rPr>
          <w:b/>
        </w:rPr>
        <w:t>Available abstract (not full text):</w:t>
      </w:r>
      <w:r>
        <w:t xml:space="preserve"> There has been a growing interest in research concerning memory modification technologies (MMTs) in recent years. Neuroscientists and psychologists are beginning to explore the prospect of controllable and intentional modification of human memory. One of the technologies with the greatest potential to this end is optogenetics-an invasive neuromodulation technique involving the use of light to control the activity of individual brain cells. It has recently shown the potential to modify specific long-term memories in animal models in ways not yet possible with other MMTs. As the therapeutic potential of optogenetics has already prompted approval of the first human trials, it is especially important and timely to consider the opportunities and dangers this technology may entail. In this article, we focus on possible consequences of optogenetics as an MMT by analyzing fundamental threats potentially associated with memory modifications: the potential disruption of personality and authenticity.</w:t>
      </w:r>
    </w:p>
    <w:p>
      <w:pPr/>
      <w:r>
        <w:rPr>
          <w:b/>
        </w:rPr>
        <w:t>POSSIBLE 2021:</w:t>
      </w:r>
      <w:r>
        <w:t xml:space="preserve"> Evaluating the potential for exposure to organisms of public health concern in naturally occurring bathing waters in Europe: A scoping review. — https://doi.org/10.1016/j.watres.2021.117711</w:t>
      </w:r>
    </w:p>
    <w:p>
      <w:pPr/>
      <w:r>
        <w:rPr>
          <w:b/>
        </w:rPr>
        <w:t>Shared claim-specific concepts:</w:t>
      </w:r>
      <w:r>
        <w:t xml:space="preserve"> shown, all, countries, potential; EU scope visible. This is a provisional connection, not an outcome finding.</w:t>
      </w:r>
    </w:p>
    <w:p>
      <w:pPr>
        <w:pStyle w:val="SourceNote"/>
      </w:pPr>
      <w:r>
        <w:rPr>
          <w:b/>
        </w:rPr>
        <w:t>Available abstract (not full text):</w:t>
      </w:r>
      <w:r>
        <w:t xml:space="preserve"> Globally, water-based bathing pastimes are important for both mental and physical health. However, exposure to waterborne organisms could present a substantial public health issue. Bathing waters are shown to contribute to the transmission of illness and disease and represent a reservoir and pathway for the dissemination of antimicrobial resistant (AMR) organisms. Current bathing water quality regulations focus on enumeration of faecal indicator organisms and are not designed for detection of specific waterborne organisms of public health concern (WOPHC), such as antimicrobial resistant (AMR)/pathogenic bacteria, or viruses. This investigation presents the first scoping review of the occurrence of waterborne organisms of public health concern (WOPHC) in identified natural bathing waters across the European Union (EU), which aimed to critically evaluate the potential risk of human exposure and to assess the appropriateness of the current EU bathing water regulations for the protection of public health. Accordingly, this review sought to identify and synthesise all literature pertaining to a selection of bacterial (Campylobacter spp., Escherichia coli, Salmonella spp., Shigella spp., Vibrio spp., Pseudomonas spp., AMR bacteria), viral (Hepatitis spp., enteroviruses, rotavirus, adenovirus, norovirus), and protozoan (Giardia spp., and Cryptosporidium spp.) contaminants in EU bathin</w:t>
      </w:r>
    </w:p>
    <w:p>
      <w:pPr/>
      <w:r>
        <w:rPr>
          <w:b/>
        </w:rPr>
        <w:t>POSSIBLE 2020:</w:t>
      </w:r>
      <w:r>
        <w:t xml:space="preserve"> Instrumental Activities of Daily Living (iADL) Limitations in Europe: An Assessment of SHARE Data — https://doi.org/10.3390/ijerph17207387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pPr/>
      <w:r>
        <w:rPr>
          <w:b/>
        </w:rPr>
        <w:t>POSSIBLE 2020:</w:t>
      </w:r>
      <w:r>
        <w:t xml:space="preserve"> The burden of neurological diseases in Europe: an analysis for the Global Burden of Disease Study 2017 — https://doi.org/10.1016/s2468-2667(20)30190-0</w:t>
      </w:r>
    </w:p>
    <w:p>
      <w:pPr/>
      <w:r>
        <w:rPr>
          <w:b/>
        </w:rPr>
        <w:t>Shared claim-specific concepts:</w:t>
      </w:r>
      <w:r>
        <w:t xml:space="preserve"> shown, all, countries; EU scope visible. This is a provisional connection, not an outcome finding.</w:t>
      </w:r>
    </w:p>
    <w:p>
      <w:pPr>
        <w:pStyle w:val="SourceNote"/>
      </w:pPr>
      <w:r>
        <w:rPr>
          <w:b/>
        </w:rPr>
        <w:t>Available abstract (not full text):</w:t>
      </w:r>
      <w:r>
        <w:t xml:space="preserve">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pPr>
        <w:pStyle w:val="Heading2"/>
      </w:pPr>
      <w:r>
        <w:t>718.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r>
        <w:rPr>
          <w:b/>
        </w:rPr>
        <w:t>POSSIBLE 2025:</w:t>
      </w:r>
      <w:r>
        <w:t xml:space="preserve"> Phenological Model Predictions and Climate Projections Accuracy: Implications for Spring Frost Risk for Quercus Robur in Central Europe — https://doi.org/10.2139/ssrn.5380178</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projections, increases, climate;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DASNordicSLR - Sea Level Projections for Northern Europe — https://doi.org/10.31223/x5tj24</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projections, suggest, increases, socioeconomic, climate;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pStyle w:val="Heading2"/>
      </w:pPr>
      <w:r>
        <w:t>719.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r>
        <w:rPr>
          <w:b/>
        </w:rPr>
        <w:t>POSSIBLE 2025:</w:t>
      </w:r>
      <w:r>
        <w:t xml:space="preserve"> Water governance for good ecological status and water quality in south-western Czechia – an interdisciplinary study — https://doi.org/10.1080/00207233.2025.2568342</w:t>
      </w:r>
    </w:p>
    <w:p>
      <w:pPr/>
      <w:r>
        <w:rPr>
          <w:b/>
        </w:rPr>
        <w:t>Shared claim-specific concepts:</w:t>
      </w:r>
      <w:r>
        <w:t xml:space="preserve"> water, good, ecological, status; EU scope visible. This is a provisional connection, not an outcome finding.</w:t>
      </w:r>
    </w:p>
    <w:p>
      <w:pPr>
        <w:pStyle w:val="SourceNote"/>
      </w:pPr>
      <w:r>
        <w:rPr>
          <w:b/>
        </w:rPr>
        <w:t>Available abstract (not full text):</w:t>
      </w:r>
      <w:r>
        <w:t xml:space="preserve"> This study examines stakeholder efforts to meet European targets for raw water quality. Key sources of water quality deterioration include fish farming, agricultural activities, partially treated urban sewage, and forestry. Although the forest sector and municipal wastewater treatment facilities have demonstrated progress, fish farming and agricultural sectors remain reluctant to implement effective measures. Economic considerations, level of environmental literacy, and the strength of knowledge networks emerge as critical factors influencing stakeholder actions. Non-governmental environmental organisations prioritise issues other than water quality, limiting their engagement in this domain. Moreover, the dominant role of the Ministry of Agriculture in water management appears to hinder cross-sectorial coordination and progress towards achieving good raw water quality.</w:t>
      </w:r>
    </w:p>
    <w:p>
      <w:pPr/>
      <w:r>
        <w:rPr>
          <w:b/>
        </w:rPr>
        <w:t>POSSIBLE 2025:</w:t>
      </w:r>
      <w:r>
        <w:t xml:space="preserve"> Water Quality Monitoring Systems: A Comparative Evaluation of Legislative Frameworks European and Brazilian — https://doi.org/10.24857/rgsa.v19n4-096</w:t>
      </w:r>
    </w:p>
    <w:p>
      <w:pPr/>
      <w:r>
        <w:rPr>
          <w:b/>
        </w:rPr>
        <w:t>Shared claim-specific concepts:</w:t>
      </w:r>
      <w:r>
        <w:t xml:space="preserve"> aim, water, good, ecological, status, rivers; EU scope visible. This is a provisional connection, not an outcome finding.</w:t>
      </w:r>
    </w:p>
    <w:p>
      <w:pPr>
        <w:pStyle w:val="SourceNote"/>
      </w:pPr>
      <w:r>
        <w:rPr>
          <w:b/>
        </w:rPr>
        <w:t>Available abstract (not full text):</w:t>
      </w:r>
      <w:r>
        <w:t xml:space="preserve"> Objective: The aim of this study is to identify the similarities and differences in water quality monitoring systems in Brazil and Hungary, analyzing their regulatory frameworks, methodologies used, and parameters assessed. In addition, it seeks to assess the effectiveness of these approaches in the protection and sustainable management of water resources, considering the challenges and advances of each country. Theoretical Framework: This study is based on models and regulations that guide the monitoring of water quality. The Water Framework Directive (WFD), applied in the European Union, establishes the assessment of the ecological status of water bodies based on biological, physical-chemical and hydromorphological indicators. In Brazil, the National Water Resources Policy (Law No. 9.433/1997) and CONAMA Resolution No. 357/2005 regulate the management and classification of water quality, adopting a decentralized model based on river basins. The research is also based on the theory of environmental indicators, which emphasizes the importance of physical-chemical and biological parameters in assessing the health of aquatic ecosystems. This approach allows for a comparative analysis between Brazil and Hungary, contributing to the improvement of water monitoring and management policies. Method: This comparative study analyzes water quality monitoring systems in Brazil and Europe-</w:t>
      </w:r>
    </w:p>
    <w:p>
      <w:pPr/>
      <w:r>
        <w:rPr>
          <w:b/>
        </w:rPr>
        <w:t>POSSIBLE 2024:</w:t>
      </w:r>
      <w:r>
        <w:t xml:space="preserve"> Ecological Status of Water Quality — https://doi.org/10.5772/intechopen.1003863</w:t>
      </w:r>
    </w:p>
    <w:p>
      <w:pPr/>
      <w:r>
        <w:rPr>
          <w:b/>
        </w:rPr>
        <w:t>Shared claim-specific concepts:</w:t>
      </w:r>
      <w:r>
        <w:t xml:space="preserve"> water, ecological, status, all; EU scope visible. This is a provisional connection, not an outcome finding.</w:t>
      </w:r>
    </w:p>
    <w:p>
      <w:pPr>
        <w:pStyle w:val="SourceNote"/>
      </w:pPr>
      <w:r>
        <w:rPr>
          <w:b/>
        </w:rPr>
        <w:t>Available abstract (not full text):</w:t>
      </w:r>
      <w:r>
        <w:t xml:space="preserve"> This chapter gives an overview of environmental quality standards and water quality elements according to the Water Framework Directive and all related guidance documents, Environmental Quality Standards Directive and Water Information System for Europe – WISE GIS Guidance. The chapter explains the main definitions and principles by which surface water and groundwater quality is assessed; it sets out the concepts and procedures that closely drive the development of the aquatic environment protection strategy for the basins for the purpose of preventing the damage to water bodies, as well as protecting, increasing, and rehabilitating the status of all bodies of water, both surface and groundwater ones.</w:t>
      </w:r>
    </w:p>
    <w:p>
      <w:pPr/>
      <w:r>
        <w:rPr>
          <w:b/>
        </w:rPr>
        <w:t>POSSIBLE 2024:</w:t>
      </w:r>
      <w:r>
        <w:t xml:space="preserve"> Policy coherence for ecosystem-based management: Implementing EU water and marine policies in the Archipelago Sea — https://doi.org/10.1016/j.marpol.2024.106427</w:t>
      </w:r>
    </w:p>
    <w:p>
      <w:pPr/>
      <w:r>
        <w:rPr>
          <w:b/>
        </w:rPr>
        <w:t>Shared claim-specific concepts:</w:t>
      </w:r>
      <w:r>
        <w:t xml:space="preserve"> water, achieve, good, status, coastal, waters; EU scope visible. This is a provisional connection, not an outcome finding.</w:t>
      </w:r>
    </w:p>
    <w:p>
      <w:pPr>
        <w:pStyle w:val="SourceNote"/>
      </w:pPr>
      <w:r>
        <w:rPr>
          <w:b/>
        </w:rPr>
        <w:t>Available abstract (not full text):</w:t>
      </w:r>
      <w:r>
        <w:t xml:space="preserve"> The European Union (EU) Water Framework Directive (WFD) and Marine Strategic Framework Directive (MSFD) call for member states to achieve the good environmental status of coastal waters and marine areas and to create ecosystem-based management plans that cover individual sectors. The Baltic Marine Environment Protection Commission (HELCOM) has listed the Archipelago Sea as an environmental hotspot in the Baltic Sea due to its vulnerability to the impacts of eutrophication. Agricultural runoff is the main source of excess nutrient loading, although aquaculture, tourism, wastewater treatment and internal loading also contribute. In this paper, we focus on the horizontal and vertical policy coherence in the Archipelago Sea region. The research data consist of policy documents and 11 thematic interviews. This paper aims to reveal how European water and marine policies are implemented in the Archipelago Sea and to identify the synergies and coherence challenges exist between policy sectors of agriculture, aquaculture and offshore wind. Evidence from the Archipelago Sea case study shows that a lack of coherence between sectoral policies can create challenges for ecosystem-based management. Moreover, the coherence and synergies in implementing regional and EU marine policy frameworks at the national and local levels can guide sectoral decisions towards strengthening of marine resilien</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European Union Policy on Climate Change Framework — https://doi.org/10.59168/vrer2863</w:t>
      </w:r>
    </w:p>
    <w:p>
      <w:pPr/>
      <w:r>
        <w:rPr>
          <w:b/>
        </w:rPr>
        <w:t>Shared claim-specific concepts:</w:t>
      </w:r>
      <w:r>
        <w:t xml:space="preserve"> aim, water; EU scope visible. This is a provisional connection, not an outcome finding.</w:t>
      </w:r>
    </w:p>
    <w:p>
      <w:pPr>
        <w:pStyle w:val="SourceNote"/>
      </w:pPr>
      <w:r>
        <w:rPr>
          <w:b/>
        </w:rPr>
        <w:t>Available abstract (not full text):</w:t>
      </w:r>
      <w:r>
        <w:t xml:space="preserve">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pPr>
        <w:pStyle w:val="Heading2"/>
      </w:pPr>
      <w:r>
        <w:t>720.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r>
        <w:rPr>
          <w:b/>
        </w:rPr>
        <w:t>POSSIBLE 2023:</w:t>
      </w:r>
      <w:r>
        <w:t xml:space="preserve"> Determination of Country-Specific Criteria Weights for Long-Term Energy Planning in Europe — https://doi.org/10.3390/en16134920</w:t>
      </w:r>
    </w:p>
    <w:p>
      <w:pPr/>
      <w:r>
        <w:rPr>
          <w:b/>
        </w:rPr>
        <w:t>Shared claim-specific concepts:</w:t>
      </w:r>
      <w:r>
        <w:t xml:space="preserve"> long-term, planning, well; EU scope visible. This is a provisional connection, not an outcome finding.</w:t>
      </w:r>
    </w:p>
    <w:p>
      <w:pPr>
        <w:pStyle w:val="SourceNote"/>
      </w:pPr>
      <w:r>
        <w:rPr>
          <w:b/>
        </w:rPr>
        <w:t>Available abstract (not full text):</w:t>
      </w:r>
      <w:r>
        <w:t xml:space="preserve">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pPr/>
      <w:r>
        <w:rPr>
          <w:b/>
        </w:rPr>
        <w:t>POSSIBLE 2023:</w:t>
      </w:r>
      <w:r>
        <w:t xml:space="preserve"> Are traditional urban greening actions compliant with the European Greening Plans guidance? — https://doi.org/10.1016/j.ufug.2023.128131</w:t>
      </w:r>
    </w:p>
    <w:p>
      <w:pPr/>
      <w:r>
        <w:rPr>
          <w:b/>
        </w:rPr>
        <w:t>Shared claim-specific concepts:</w:t>
      </w:r>
      <w:r>
        <w:t xml:space="preserve"> setting, long-term, actions, levels, due; EU scope visible. This is a provisional connection, not an outcome finding.</w:t>
      </w:r>
    </w:p>
    <w:p>
      <w:pPr>
        <w:pStyle w:val="SourceNote"/>
      </w:pPr>
      <w:r>
        <w:rPr>
          <w:b/>
        </w:rPr>
        <w:t>Available abstract (not full text):</w:t>
      </w:r>
      <w:r>
        <w:t xml:space="preserve">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long-term, actions, prevent;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pStyle w:val="Heading2"/>
      </w:pPr>
      <w:r>
        <w:t>721.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2025:</w:t>
      </w:r>
      <w:r>
        <w:t xml:space="preserve"> Optimization of Multi-Energy Complementary Building Energy Systems — https://doi.org/10.56028/aetr.14.1.1452.2025</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Under the dual impetus of the global energy crisis and carbon neutrality objectives, the construction sector, as a critical domain of energy consumption and carbon emissions, urgently requires green transformation through multi-energy complementary systems. This paper systematically reviews the coupling mechanisms, integration technologies, and synergistic optimization methodologies of multi-energy complementary building energy systems, elucidating their roles in enhancing energy efficiency, reducing lifecycle carbon emissions, and advancing net-zero energy building development. Research demonstrates that integrating renewable energy technologies, such as building-integrated photovoltaic/thermal (BIPVT) systems and hydrogen complementary systems, effectively addresses energy volatility and intermittency while balancing architectural aesthetics with economic viability. The study underscores that large-scale implementation of multi-energy complementary systems necessitates regionally adaptive design frameworks, long-term performance monitoring protocols, and multi-stakeholder collaboration, thereby offering theoretically innovative and practically actionable solutions for global low-carbon building transitions.</w:t>
      </w:r>
    </w:p>
    <w:p>
      <w:pPr/>
      <w:r>
        <w:rPr>
          <w:b/>
        </w:rPr>
        <w:t>POSSIBLE 2025:</w:t>
      </w:r>
      <w:r>
        <w:t xml:space="preserve"> Green Investment Practices and Challenges in Indonesia's Investment Legal System — https://doi.org/10.56593/khuluqiyya.v7i1.166</w:t>
      </w:r>
    </w:p>
    <w:p>
      <w:pPr/>
      <w:r>
        <w:rPr>
          <w:b/>
        </w:rPr>
        <w:t>Shared claim-specific concepts:</w:t>
      </w:r>
      <w:r>
        <w:t xml:space="preserve"> energy, system, investments, needed; EU scope visible. This is a provisional connection, not an outcome finding.</w:t>
      </w:r>
    </w:p>
    <w:p>
      <w:pPr>
        <w:pStyle w:val="SourceNote"/>
      </w:pPr>
      <w:r>
        <w:rPr>
          <w:b/>
        </w:rPr>
        <w:t>Available abstract (not full text):</w:t>
      </w:r>
      <w:r>
        <w:t xml:space="preserve"> Green investment is a vital instrument in achieving sustainable development amidst the global climate crisis. As a country committed to green development agendas, Indonesia has shown increasing interest in environmentally friendly investments, particularly in sectors such as renewable energy, reforestation, and carbon trading. However, the current investment law system in Indonesia remains inadequately equipped to address the complexities of this green transformation. This article examines the current practices of green investment in Indonesia and analyzes its legal challenges using a socio-legal approach. Regulations such as Law No. 25 of 2007 on Investment, the Omnibus Law on Job Creation, and various environmental laws still lack legal clarity on the definition of “green investment,” fiscal and legal incentives, and institutional coordination. In comparison, countries like Singapore and the European Union have adopted sustainable finance frameworks with clear taxonomies and strict oversight mechanisms to prevent greenwashing. The findings of this study highlight that the success of green investment initiatives in Indonesia relies heavily on reforming its investment legal system to be more responsive to environmental concerns and sustainability goals. Policy harmonization between investment, environmental, and fiscal regulations is urgently needed to strengthen systematic and</w:t>
      </w:r>
    </w:p>
    <w:p>
      <w:pPr/>
      <w:r>
        <w:rPr>
          <w:b/>
        </w:rPr>
        <w:t>POSSIBLE 2025:</w:t>
      </w:r>
      <w:r>
        <w:t xml:space="preserve"> H2 and CO2 network strategies for the European energy system — https://doi.org/10.1038/s41560-025-01752-6</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energy, system, investments, needed, until, region;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Review of energy investments for strengthening resilience in energy system — https://doi.org/10.31713/m1316</w:t>
      </w:r>
    </w:p>
    <w:p>
      <w:pPr/>
      <w:r>
        <w:rPr>
          <w:b/>
        </w:rPr>
        <w:t>Shared claim-specific concepts:</w:t>
      </w:r>
      <w:r>
        <w:t xml:space="preserve"> energy, system, investments; EU scope not established. This is a provisional connection, not an outcome finding.</w:t>
      </w:r>
    </w:p>
    <w:p>
      <w:pPr>
        <w:pStyle w:val="SourceNote"/>
      </w:pPr>
      <w:r>
        <w:rPr>
          <w:b/>
        </w:rPr>
        <w:t>Available abstract (not full text):</w:t>
      </w:r>
      <w:r>
        <w:t xml:space="preserve"> The provoked shock in the energy system came into a moment in which climate impact is more and more visible and took several types. The rise of prices has determined economic incentives for increasing the offer and for choosing the alternative or more efficient ways to satisfy the demands. The shocks due to energetic security have created strong incentives for politic decisional factors for reducing the dependences and vulnerabilities, but in the same time for a lot of devel-oping countries, the financial resources are depleted. The last years were a period of extreme perturbation for energy sector.</w:t>
      </w:r>
    </w:p>
    <w:p>
      <w:pPr/>
      <w:r>
        <w:rPr>
          <w:b/>
        </w:rPr>
        <w:t>POSSIBLE 2024:</w:t>
      </w:r>
      <w:r>
        <w:t xml:space="preserve"> Integrating material recycling and remanufacturing in energy system optimization modeling: A review and showcase — https://doi.org/10.1016/j.adapen.2024.100198</w:t>
      </w:r>
    </w:p>
    <w:p>
      <w:pPr/>
      <w:r>
        <w:rPr>
          <w:b/>
        </w:rPr>
        <w:t>Shared claim-specific concepts:</w:t>
      </w:r>
      <w:r>
        <w:t xml:space="preserve"> energy, system, until, comprehensive; EU scope visible. This is a provisional connection, not an outcome finding.</w:t>
      </w:r>
    </w:p>
    <w:p>
      <w:pPr>
        <w:pStyle w:val="SourceNote"/>
      </w:pPr>
      <w:r>
        <w:rPr>
          <w:b/>
        </w:rPr>
        <w:t>Available abstract (not full text):</w:t>
      </w:r>
      <w:r>
        <w:t xml:space="preserve"> This paper addresses the currently overlooked yet urgent topic of material recycling and remanufacturing in energy system optimization modeling, making three substantial contributions. First, it presents a comprehensive review of relevant studies on material demand, flows, and recycling from a techno-economic perspective and highlights the critical gap in existing energy system optimization models, in which material recycling and remanufacturing is not yet adequately integrated. Second, the paper introduces a general mathematical framework for incorporating material recycling and remanufacturing as a technology and investment option into typical energy system optimization models. Third, the paper demonstrates the practical application of this framework by examining the material recycling potential within the solar module expansion plan of the European Union. It explores the main drivers under which material recycling becomes economically competitive, considering various global and regional solar market conditions. Specifically, it investigates how different energy policies — such as incentivizing European Union manufacturing, limiting import shares, and implementing a circular economy constraint — affect the optimal remanufacturing capacities and achievable shares of recycling-based additions to meet the expansion targets until 2050. • Review on material recycling and remanufac</w:t>
      </w:r>
    </w:p>
    <w:p>
      <w:pPr>
        <w:pStyle w:val="Heading2"/>
      </w:pPr>
      <w:r>
        <w:t>722.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2024:</w:t>
      </w:r>
      <w:r>
        <w:t xml:space="preserve"> Narrative inquiry in China — https://doi.org/10.3389/feduc.2023.1327421</w:t>
      </w:r>
    </w:p>
    <w:p>
      <w:pPr/>
      <w:r>
        <w:rPr>
          <w:b/>
        </w:rPr>
        <w:t>Shared claim-specific concepts:</w:t>
      </w:r>
      <w:r>
        <w:t xml:space="preserve"> elaborated, literature, review; EU scope not established. This is a provisional connection, not an outcome finding.</w:t>
      </w:r>
    </w:p>
    <w:p>
      <w:pPr>
        <w:pStyle w:val="SourceNote"/>
      </w:pPr>
      <w:r>
        <w:rPr>
          <w:b/>
        </w:rPr>
        <w:t>Available abstract (not full text):</w:t>
      </w:r>
      <w:r>
        <w:t xml:space="preserve"> Narrative inquiry has been widely used in different disciplines around the world. In this article, we focus on narrative inquiry in China where we start by retelling our first close contact with narrative researchers in China in 2007 when Professor Gang Ding at East China Normal University invited leading Chinese researchers to a three-day narrative inquiry workshop co-planned with us (Connelly and Xu). Second, we review narrative studies published in Chinese to demonstrate how widely narrative inquiry has been adopted in educational studies in the country in the past two decades by Chinese university researchers, graduate students, and schoolteachers. Next, our review of English literature of narrative studies related to education in China has two important components: English literature on narrative inquiry contextualized in China and narrative inquiry for reciprocal learning in teacher education and school education between Canada and China. Both reveal how narrative inquiry has contributed to international cross-cultural educational studies related to Chinese contexts. Finally, in the “Discussion” section, we provide our interpretation of some current dialogs on narrative inquiry among Chinese educational researchers; for example, the differences between yanjiu 研究 (research) and tanjiu 探究 (inquiry). Some heated discussions surrounding narrative inquiry in China are also hig</w:t>
      </w:r>
    </w:p>
    <w:p>
      <w:pPr/>
      <w:r>
        <w:rPr>
          <w:b/>
        </w:rPr>
        <w:t>POSSIBLE 2024:</w:t>
      </w:r>
      <w:r>
        <w:t xml:space="preserve"> Narrative historical review of scratch-and-sniff books and their key storytelling features — https://doi.org/10.1177/20416695241257566</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This conceptual paper examines the use of odours and scents in books to enhance storytelling and engage readers. While books often possess a distinctive smell linked to their material production, the intentional use of scents in books is rare. Our study focuses on scratch-and-sniff books, examining their narrative purposes and contributions to young children's literature. We conduct a narrative historical review, supplemented by a systematic search of databases, online catalogues and lists, to identify a collection of these scented books. Through this review, we explore the extent to which these books represent a unique category of children's picture books, investigating how their features align with theoretical understandings of quality characteristics in children's literature and the role of olfactory cues in storytelling. We address why most scented books target younger readers and discuss possible reasons for the absence of scented books for an adult readership. This intriguing asymmetry contrasts the use of scent in other media (such as film, theatre or virtual reality), often directed toward adults. In addition, this review sheds light on the innovative use of scents in books and their impact on reader immersion and narrative experience. Finally, we consider possible future uses of scent in the context of digital books (ebooks).</w:t>
      </w:r>
    </w:p>
    <w:p>
      <w:pPr/>
      <w:r>
        <w:rPr>
          <w:b/>
        </w:rPr>
        <w:t>POSSIBLE 2024:</w:t>
      </w:r>
      <w:r>
        <w:t xml:space="preserve"> A narrative review of patients' lived experience of having a pressure injury — https://doi.org/10.12968/bjon.2024.33.4.s10</w:t>
      </w:r>
    </w:p>
    <w:p>
      <w:pPr/>
      <w:r>
        <w:rPr>
          <w:b/>
        </w:rPr>
        <w:t>Shared claim-specific concepts:</w:t>
      </w:r>
      <w:r>
        <w:t xml:space="preserve"> three, nine, key, literature, review; EU scope visible. This is a provisional connection, not an outcome finding.</w:t>
      </w:r>
    </w:p>
    <w:p>
      <w:pPr>
        <w:pStyle w:val="SourceNote"/>
      </w:pPr>
      <w:r>
        <w:rPr>
          <w:b/>
        </w:rPr>
        <w:t>Available abstract (not full text):</w:t>
      </w:r>
      <w:r>
        <w:t xml:space="preserve"> AIM: To explore patients' experiences of living with pressure injuries. DESIGN: A qualitative narrative review and thematic synthesis of qualitative research studies. DATA SOURCES: Six electronic databases were searched: Medline, CINAHL, Scopus, Web of Science, Embase, and Google Scholar (for grey literature). The search was conducted between October 2022 and April 2023. Setting: Acute, community and care home settings across the UK, France, Belgium and the US. REVIEW METHODS: The PRISMA checklist for reporting systematic reviews was used. The included studies were evaluated for quality using the CASP tool. The Joanna Briggs Institute data extraction tool was used to extract data from the included studies. Thematic synthesis was used to identify themes to present a coherent and nuanced understanding of patients' experiences of living with pressure injuries. RESULTS: Nine studies involving 244 participants, aged 21 to 101, with pressure injuries, met the inclusion criteria. Three key themes emerged using thematic analysis: physiological, emotional and psychological, and social effects. Within these themes, subthemes such as endless pain and discomfort, loss of mobility and independence, and social isolation were dominant in all aspects of the lives of patients living with pressure injuries. CONCLUSIONS: This narrative review gives clear and multifaceted insight into the impact o</w:t>
      </w:r>
    </w:p>
    <w:p>
      <w:pPr/>
      <w:r>
        <w:rPr>
          <w:b/>
        </w:rPr>
        <w:t>POSSIBLE 2023:</w:t>
      </w:r>
      <w:r>
        <w:t xml:space="preserve"> Elaborating, sharing, narrating: a narrative analysis of three approaches to health communication — https://doi.org/10.1590/interface.230172</w:t>
      </w:r>
    </w:p>
    <w:p>
      <w:pPr/>
      <w:r>
        <w:rPr>
          <w:b/>
        </w:rPr>
        <w:t>Shared claim-specific concepts:</w:t>
      </w:r>
      <w:r>
        <w:t xml:space="preserve"> three, key, literature; EU scope not established. This is a provisional connection, not an outcome finding.</w:t>
      </w:r>
    </w:p>
    <w:p>
      <w:pPr>
        <w:pStyle w:val="SourceNote"/>
      </w:pPr>
      <w:r>
        <w:rPr>
          <w:b/>
        </w:rPr>
        <w:t>Available abstract (not full text):</w:t>
      </w:r>
      <w:r>
        <w:t xml:space="preserve">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pPr>
        <w:pStyle w:val="Heading2"/>
      </w:pPr>
      <w:r>
        <w:t>723.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NEW PARADIGM OF THE VOCATIONAL EDUCATIONAL DEVELOPMENT IN EUROPEAN UNION COUNTRIES — https://doi.org/10.30525/978-9934-26-310-1-11</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basic concepts and legal principles of the formation and implementation of a new paradigm of the educational policy of the European Union are presented. It outlines strategic guidelines for the development and modernization of vocational education due to the main challenges of modern civilization. The principles of implementation are defined and the directions of development of continuous vocational education are characterized. The purpose of the paper is to identify and substantiate system-wide trends in the development of vocational education in the European Union in the context of the implementation of the lifelong education strategy. The article shows the specifics of the organization of continuous education in European countries that are currently leaders in this field and the problems that arise in the way of the implementation of the lifelong education strategy. Determination of mechanisms for regulating continuous education and substantiation of laws that determine the current processes of development of continuous vocational education within the framework of European integration. Methodology of the study is based on the use of a set of methods determined by the peculiarity of the research problem: analysis of domestic and foreign scientific literature, synthesis, systematization, generalization, abstraction, and the interpretative-analytical method, which are used </w:t>
      </w:r>
    </w:p>
    <w:p>
      <w:pPr/>
      <w:r>
        <w:rPr>
          <w:b/>
        </w:rPr>
        <w:t>POSSIBLE 2023:</w:t>
      </w:r>
      <w:r>
        <w:t xml:space="preserve"> Cytogeography of Naturalized Solidago canadensis Populations in Europe — https://doi.org/10.3390/plants12051113</w:t>
      </w:r>
    </w:p>
    <w:p>
      <w:pPr/>
      <w:r>
        <w:rPr>
          <w:b/>
        </w:rPr>
        <w:t>Shared claim-specific concepts:</w:t>
      </w:r>
      <w:r>
        <w:t xml:space="preserve"> range, populations; EU scope visible. This is a provisional connection, not an outcome finding.</w:t>
      </w:r>
    </w:p>
    <w:p>
      <w:pPr>
        <w:pStyle w:val="SourceNote"/>
      </w:pPr>
      <w:r>
        <w:rPr>
          <w:b/>
        </w:rPr>
        <w:t>Available abstract (not full text):</w:t>
      </w:r>
      <w:r>
        <w:t xml:space="preserve"> Autopolyploidization has driven the successful invasion of Solidago canadensis in East Asia. However, it was believed that only diploid S. canadensis invaded Europe, whereas polyploids never did. Here, molecular identification, ploidy level, and morphological traits of ten S. canadensis populations collected in Europe were compared with previously identified S. canadensis populations from other continents and S. altissima populations. Furthermore, the ploidy-driven geographical differentiation pattern of S. canadensis in different continents was investigated. All ten European populations were identified as S. canadensis with five diploid and five hexaploid populations. Significant differences in morphological traits existed among diploids and polyploids (tetraploids and hexaploids), rather than between polyploids from different introduced ranges and between S. altissima and polyploidy S. canadensis. The invasive hexaploids and diploids had few differences in latitudinal distributions in Europe, which was similar to the native range but different from a distinct climate-niche differentiation in Asia. This may be attributed to the bigger difference in climate between Asia and Europe and North America. The morphological and molecular evidences proved the invasion of polyploid S. canadensis in Europe and suggest that S. altissima may be merged into a complex of S. canadensis specie</w:t>
      </w:r>
    </w:p>
    <w:p>
      <w:pPr/>
      <w:r>
        <w:rPr>
          <w:b/>
        </w:rPr>
        <w:t>POSSIBLE 2023:</w:t>
      </w:r>
      <w:r>
        <w:t xml:space="preserve"> Farmland practices are driving bird population decline across Europe — https://doi.org/10.1073/pnas.2216573120</w:t>
      </w:r>
    </w:p>
    <w:p>
      <w:pPr/>
      <w:r>
        <w:rPr>
          <w:b/>
        </w:rPr>
        <w:t>Shared claim-specific concepts:</w:t>
      </w:r>
      <w:r>
        <w:t xml:space="preserve"> population, countries, populations, across;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The Quality of Life of the European Population: SHARE Data-based Analysis — https://doi.org/10.17713/ajs.v52i1.1101</w:t>
      </w:r>
    </w:p>
    <w:p>
      <w:pPr/>
      <w:r>
        <w:rPr>
          <w:b/>
        </w:rPr>
        <w:t>Shared claim-specific concepts:</w:t>
      </w:r>
      <w:r>
        <w:t xml:space="preserve"> present, population, countries, whole; EU scope visible. This is a provisional connection, not an outcome finding.</w:t>
      </w:r>
    </w:p>
    <w:p>
      <w:pPr>
        <w:pStyle w:val="SourceNote"/>
      </w:pPr>
      <w:r>
        <w:rPr>
          <w:b/>
        </w:rPr>
        <w:t>Available abstract (not full text):</w:t>
      </w:r>
      <w:r>
        <w:t xml:space="preserve"> The quality of life, well-being and deprivation are significant factors affecting the ageing European population. The fifth (2013) wave of the Survey of Health, Ageing and Retirement in Europe (SHARE) covers the two indices of (material and social) deprivation along with various life quality and satisfaction indicators measuring (subjective and objective) well-being. Using the SHARE data, the present paper examines the 50+ population in 13 EU member states and Switzerland, emphasizing the relationships between distinctive characteristics. The gender gap is quantified for both the whole sample and particular age groups. Statistical comparisons between old and new EU countries are limited since only three of the latter (Estonia, Slovenia and the Czech Republic) took part in the 2013 SHARE survey.</w:t>
      </w:r>
    </w:p>
    <w:p>
      <w:pPr/>
      <w:r>
        <w:rPr>
          <w:b/>
        </w:rPr>
        <w:t>POSSIBLE 2023:</w:t>
      </w:r>
      <w:r>
        <w:t xml:space="preserve"> Functional Morphology as an Indicator of European Eel Population Status — https://doi.org/10.3390/d15121223</w:t>
      </w:r>
    </w:p>
    <w:p>
      <w:pPr/>
      <w:r>
        <w:rPr>
          <w:b/>
        </w:rPr>
        <w:t>Shared claim-specific concepts:</w:t>
      </w:r>
      <w:r>
        <w:t xml:space="preserve"> present, population, migration, populations, across; EU scope visible. This is a provisional connection, not an outcome finding.</w:t>
      </w:r>
    </w:p>
    <w:p>
      <w:pPr>
        <w:pStyle w:val="SourceNote"/>
      </w:pPr>
      <w:r>
        <w:rPr>
          <w:b/>
        </w:rPr>
        <w:t>Available abstract (not full text):</w:t>
      </w:r>
      <w:r>
        <w:t xml:space="preserve"> In the area of the Neretva delta in the eastern Adriatic, where the European eel, Anguilla anguilla (Linnaeus, 1758) has been traditionally fished for centuries, a decline in its population has been observed, as in most of Europe. Despite several studies, systematic monitoring was not performed, and the causes of population decline are attributed to anthropogenic stressors, mainly overfishing and interventions that disrupt the migration. With the stock at a low level, there is a need for a detailed assessment of biological data and the determination of the “zero state” of the eel population in the areas where monitoring was not previously performed, such as the Neretva delta. This data would serve as a basis for the development of an appropriate monitoring and eel management plan. One of the under-researched aspects is still the eel’s morphology, which is closely related to all basic life functions. The aim of this work was to analyze in detail the morphological parameters of yellow and silver eels from the mouth of the Neretva River in different seasons and the relationships between the measured morphometric parameters and physiological indicators and to compare them with previously published results for different life stages across Europe. The samples were collected during spring, summer and autumn of 2021, and winter of 2022. Yellow eels were present in the catch throughout </w:t>
      </w:r>
    </w:p>
    <w:p>
      <w:pPr>
        <w:pStyle w:val="Heading2"/>
      </w:pPr>
      <w:r>
        <w:t>724.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2025:</w:t>
      </w:r>
      <w:r>
        <w:t xml:space="preserve"> An Age-Structured Multi-Regional Projection of India's Population: A Leslie Matrix Model for Internal Migration — https://doi.org/10.35629/6734-14103240</w:t>
      </w:r>
    </w:p>
    <w:p>
      <w:pPr/>
      <w:r>
        <w:rPr>
          <w:b/>
        </w:rPr>
        <w:t>Shared claim-specific concepts:</w:t>
      </w:r>
      <w:r>
        <w:t xml:space="preserve"> population, stable, standard; EU scope not established. This is a provisional connection, not an outcome finding.</w:t>
      </w:r>
    </w:p>
    <w:p>
      <w:pPr>
        <w:pStyle w:val="SourceNote"/>
      </w:pPr>
      <w:r>
        <w:rPr>
          <w:b/>
        </w:rPr>
        <w:t>Available abstract (not full text):</w:t>
      </w:r>
      <w:r>
        <w:t xml:space="preserve"> This paper extends previous analyses of India's population dynamics by developing a multi-regional, agestructured projection model based on the Leslie matrix framework. Standard cohort-component models often assume closed populations, which is untenable in the Indian context due to its vast internal migration flows driven by profound regional demographic and economic disparities. This study formulates and parameterizes a two-region (North-South) Leslie-type model, incorporating age-specific fertility, mortality, and inter-regional migration rates derived from Census and National Sample Survey data. We conduct comparative simulations to quantify the demographic impact of migration on the long-term population size, growth rate (λ), and stable age distribution of both sending and receiving regions. The findings reveal that migration acts as a significant demographic rebalancing mechanism, accelerating population aging in the destination states of the South while slowing the youth bulge in the source states of the North. These results have critical implications for the trajectory of the demographic dividend, future labor markets, and the strategic allocation of social sector investments across the nation. The paper concludes with policy recommendations for creating a migrantinclusive framework for sustainable and equitable development.</w:t>
      </w:r>
    </w:p>
    <w:p>
      <w:pPr/>
      <w:r>
        <w:rPr>
          <w:b/>
        </w:rPr>
        <w:t>POSSIBLE 2025:</w:t>
      </w:r>
      <w:r>
        <w:t xml:space="preserve"> Global gridded population projection via spatial econometric model considering rank-size rule — https://doi.org/10.1088/2515-7620/ae0d52</w:t>
      </w:r>
    </w:p>
    <w:p>
      <w:pPr/>
      <w:r>
        <w:rPr>
          <w:b/>
        </w:rPr>
        <w:t>Shared claim-specific concepts:</w:t>
      </w:r>
      <w:r>
        <w:t xml:space="preserve"> population, projections, component, standard; EU scope not established. This is a provisional connection, not an outcome finding.</w:t>
      </w:r>
    </w:p>
    <w:p>
      <w:pPr>
        <w:pStyle w:val="SourceNote"/>
      </w:pPr>
      <w:r>
        <w:rPr>
          <w:b/>
        </w:rPr>
        <w:t>Available abstract (not full text):</w:t>
      </w:r>
      <w:r>
        <w:t xml:space="preserve"> Abstract Global gridded population (GGP) projections that are consistent with shared socioeconomic pathways are widely used. However, existing approaches for generating future GGPs have several limitations, including difficulties in incorporating covariates, a lack of consideration of city-level interactions, and insufficient integration of the empirical rule observed in the distribution of city sizes across years. This study attempts to address this gap by introducing a multiscale GGP projection model consisting of city- and grid-level models. The city-level model comprises a spatial econometric model that models city growth and decline, alongside a rank-size model that introduces the empirical rules as macro-level constraints. A random forest was employed for the grid-level model. For validation, the model was trained on Japanese Grid Square Statistics (approximately 1 km2), based on population census data from 2000 to 2010, and its forecast accuracy was evaluated against 2020 data. The results show a root mean squared percentage error of 1.17% between the observed and predicted values. Moreover, to assess the model’s applicability for projecting GGPs in the distant future, the 2070 forecast was compared with that from a standard cohort component model. The results indicate that the spatial patterns produced by the two models are similar, with an RMSPE of 1.89%. This RMSPE va</w:t>
      </w:r>
    </w:p>
    <w:p>
      <w:pPr/>
      <w:r>
        <w:rPr>
          <w:b/>
        </w:rPr>
        <w:t>POSSIBLE 2025:</w:t>
      </w:r>
      <w:r>
        <w:t xml:space="preserve"> Life-history variation mediates the importance of population structure to the short-term dynamics of plant populations worldwide — https://doi.org/10.32942/x2kd2s</w:t>
      </w:r>
    </w:p>
    <w:p>
      <w:pPr/>
      <w:r>
        <w:rPr>
          <w:b/>
        </w:rPr>
        <w:t>Shared claim-specific concepts:</w:t>
      </w:r>
      <w:r>
        <w:t xml:space="preserve"> short-term, population; EU scope not established. This is a provisional connection, not an outcome finding.</w:t>
      </w:r>
    </w:p>
    <w:p>
      <w:pPr>
        <w:pStyle w:val="SourceNote"/>
      </w:pPr>
      <w:r>
        <w:rPr>
          <w:b/>
        </w:rPr>
        <w:t>Available abstract (not full text):</w:t>
      </w:r>
      <w:r>
        <w:t xml:space="preserve"> A population’s structure (i.e., the distribution of individuals across the life cycle of a species) influences how it responds to environmental changes and recurrent disturbances, and shapes its vulnerability to extinction. Yet, despite compelling evidence that population structures are rarely stationary over time, assessments of population viability have only recently begun to consider how a population’s structure interacts with its vital rates of survival, development, and fecundity to determine its demographic performance. Using 268 comparisons of population dynamics in 56 plant species across differing time periods, locations, and/or experimental treatments, we use transient Life Table Response Experiments (tLTREs) to quantify how changes in population structure and vital rates contribute to observed variation in demographic performance. We illustrate how changes in population structure are major contributors to short-term (i.e. transient) demographic performance, and are just as important as the effects of, more routinely evaluated, changes in survival and fecundity rates for informing population viability assessments. Moreover, these contribution patterns challenge prevailing understanding of the links between plant growth form and population viability. Accordingly, we emphasise how quantifying the effects of population structure on transient population dynamics can revea</w:t>
      </w:r>
    </w:p>
    <w:p>
      <w:pPr/>
      <w:r>
        <w:rPr>
          <w:b/>
        </w:rPr>
        <w:t>POSSIBLE 2025:</w:t>
      </w:r>
      <w:r>
        <w:t xml:space="preserve"> Trends in population exposure to compound extreme-risk temperature and air pollution across 35 European countries: a modelling study — https://doi.org/10.1016/s2542-5196(25)00048-8</w:t>
      </w:r>
    </w:p>
    <w:p>
      <w:pPr/>
      <w:r>
        <w:rPr>
          <w:b/>
        </w:rPr>
        <w:t>Shared claim-specific concepts:</w:t>
      </w:r>
      <w:r>
        <w:t xml:space="preserve"> typically, population; EU scope visible. This is a provisional connection, not an outcome finding.</w:t>
      </w:r>
    </w:p>
    <w:p>
      <w:pPr>
        <w:pStyle w:val="SourceNote"/>
      </w:pPr>
      <w:r>
        <w:rPr>
          <w:b/>
        </w:rPr>
        <w:t>Available abstract (not full text):</w:t>
      </w:r>
      <w:r>
        <w:t xml:space="preserve"> Background Despite ongoing efforts to reduce air pollution, the complex relationship between air pollution and climate change presents additional multifaceted challenges. The spatiotemporal co-occurrence of extreme temperatures and air pollution episodes remains understudied. Furthermore, current studies typically employ uniform temperature thresholds across broad areas, overlooking regional differences in health vulnerability. We aim to present a comprehensive assessment of extreme temperatures and air pollution, and to incorporate location-specific risk thresholds. Methods In this time series modelling study we analysed the changes in extreme-risk temperature (ERT) days for heat and cold in Europe from Jan 1, 2003 to Dec 31, 2020, considering time-varying temperature–mortality relationships based on regional mortality data (from Eurostat) from 35 European countries (543 million people). We used daily estimates of PM 2·5 , PM 10 , NO 2 , and O 3 concentrations from quantile machine learning estimations at 0·1-degree to identify of heat-compound and cold-compound days co-occurring with air pollution levels exceeding WHO guidelines. Findings Cold-related mortality risk decreased over the study period across Europe, and adaptation to heat-related mortality was less pronounced. Between 2003 and 2020, annual cold-ERT days had decreased by 20·7 days per decade and annual heat-ERT da</w:t>
      </w:r>
    </w:p>
    <w:p>
      <w:pPr>
        <w:pStyle w:val="Heading2"/>
      </w:pPr>
      <w:r>
        <w:t>725.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DEVELOPING AN ECONOMIC AND SOCIAL SECURITY INDEX FOR EURO-ATLANTIC AREA COUNTRIES: A PANEL DATA ANALYSIS — https://doi.org/10.3846/jbem.2023.18610</w:t>
      </w:r>
    </w:p>
    <w:p>
      <w:pPr/>
      <w:r>
        <w:rPr>
          <w:b/>
        </w:rPr>
        <w:t>Shared claim-specific concepts:</w:t>
      </w:r>
      <w:r>
        <w:t xml:space="preserve"> developed, across, approach; EU scope visible. This is a provisional connection, not an outcome finding.</w:t>
      </w:r>
    </w:p>
    <w:p>
      <w:pPr>
        <w:pStyle w:val="SourceNote"/>
      </w:pPr>
      <w:r>
        <w:rPr>
          <w:b/>
        </w:rPr>
        <w:t>Available abstract (not full text):</w:t>
      </w:r>
      <w:r>
        <w:t xml:space="preserve"> The concepts of economic and social security are very complex and dynamic, closely related to many new challenges that characterize today’s societies. Our research aims at investigating the economic and social security considering the current vulnerabilities, using an integrated multicriteria approach to this issue, taking into account five pillars (dimensions): demographic, climate, globalization, and ITC adaptation, social, and economic. Based on these dimensions, we developed an Economic and Social Security Index across the Euro-Atlantic countries and we found that the European Union (EU) is better positioned compared to the other country-groups analysed. Furthermore, we estimated the effects of duration of schooling and climate degradation on economic growth, by using the Panel EGLS method over the period 2010–2019, and we compared the results obtained for EU countries to the ones obtained for the other groups of countries in EuroAtlantic space: EU neighbours and candidate/potential candidate countries and other Eastern EU neighbourhood countries. We found a positive impact of the duration of schooling on the economic growth, which is greater in countries registering high levels of socio-economic security, the effect of the duration of schooling varying depending on the quality of education. In terms of the effects of CO2 emissions on economic growth, we found a negative im</w:t>
      </w:r>
    </w:p>
    <w:p>
      <w:pPr/>
      <w:r>
        <w:rPr>
          <w:b/>
        </w:rPr>
        <w:t>POSSIBLE 2022:</w:t>
      </w:r>
      <w:r>
        <w:t xml:space="preserve"> Branch-and-bound and objective branching with three or more objectives — https://doi.org/10.1016/j.cor.2022.106012</w:t>
      </w:r>
    </w:p>
    <w:p>
      <w:pPr/>
      <w:r>
        <w:rPr>
          <w:b/>
        </w:rPr>
        <w:t>Shared claim-specific concepts:</w:t>
      </w:r>
      <w:r>
        <w:t xml:space="preserve"> objective, three, inequalities, applied; EU scope not established. This is a provisional connection, not an outcome finding.</w:t>
      </w:r>
    </w:p>
    <w:p>
      <w:pPr>
        <w:pStyle w:val="SourceNote"/>
      </w:pPr>
      <w:r>
        <w:rPr>
          <w:b/>
        </w:rPr>
        <w:t>Available abstract (not full text):</w:t>
      </w:r>
      <w:r>
        <w:t xml:space="preserve">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three, project, key, methods;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pStyle w:val="Heading2"/>
      </w:pPr>
      <w:r>
        <w:t>726.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The burden of skin disease in Europe — https://doi.org/10.1111/jdv.19390</w:t>
      </w:r>
    </w:p>
    <w:p>
      <w:pPr/>
      <w:r>
        <w:rPr>
          <w:b/>
        </w:rPr>
        <w:t>Shared claim-specific concepts:</w:t>
      </w:r>
      <w:r>
        <w:t xml:space="preserve"> those, role, common, even, often;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Mobility-as-a-Service and the role of multimodality in the sustainability of urban mobility in developing and developed countries — https://doi.org/10.1016/j.tranpol.2023.10.013</w:t>
      </w:r>
    </w:p>
    <w:p>
      <w:pPr/>
      <w:r>
        <w:rPr>
          <w:b/>
        </w:rPr>
        <w:t>Shared claim-specific concepts:</w:t>
      </w:r>
      <w:r>
        <w:t xml:space="preserve"> those, developed, focus, role, drivers, technology; EU scope not established. This is a provisional connection, not an outcome finding.</w:t>
      </w:r>
    </w:p>
    <w:p>
      <w:pPr>
        <w:pStyle w:val="SourceNote"/>
      </w:pPr>
      <w:r>
        <w:rPr>
          <w:b/>
        </w:rPr>
        <w:t>Available abstract (not full text):</w:t>
      </w:r>
      <w:r>
        <w:t xml:space="preserve"> Mobility as a service (MaaS) is an emerging framework that integrates multiple transport services into a single and intuitive platform. This paper contrasts the urban passenger transport markets in developed versus developing economies to understand the challenges of integrating mobility services using the MaaS framework, with a focus on decarbonization and sustainability as societal goals. In addition, we conducted a Life Cycle Assessment of carbon emissions and energy requirements of travel alternatives in the city of Santiago, Chile, to shed light on the effects of multimodality as an environmental tool. A summary of findings follows. Data sharing and open data are new in developing countries, and thus more investment in data infrastructure is required so that MaaS can leverage digital technology and network optimization. If the scalability of MaaS is an open question in developed countries, it is more so in developing countries, owning to institutional and financial constraints that are present in the latter. The lack of public subsidies to support formal public transport is a key limitation for the implementation of MaaS schemes and multimodal frameworks in the developing world. Regarding formality, in countries with an informal public transport sector, a potential implementation of MaaS will be spatially constrained to those locations where public transport operates forma</w:t>
      </w:r>
    </w:p>
    <w:p>
      <w:pPr/>
      <w:r>
        <w:rPr>
          <w:b/>
        </w:rPr>
        <w:t>POSSIBLE 2023:</w:t>
      </w:r>
      <w:r>
        <w:t xml:space="preserve"> The role of natural gas in setting electricity prices in Europe — https://doi.org/10.1016/j.egyr.2023.09.069</w:t>
      </w:r>
    </w:p>
    <w:p>
      <w:pPr/>
      <w:r>
        <w:rPr>
          <w:b/>
        </w:rPr>
        <w:t>Shared claim-specific concepts:</w:t>
      </w:r>
      <w:r>
        <w:t xml:space="preserve"> role, environmental; EU scope visible. This is a provisional connection, not an outcome finding.</w:t>
      </w:r>
    </w:p>
    <w:p>
      <w:pPr>
        <w:pStyle w:val="SourceNote"/>
      </w:pPr>
      <w:r>
        <w:rPr>
          <w:b/>
        </w:rPr>
        <w:t>Available abstract (not full text):</w:t>
      </w:r>
      <w:r>
        <w:t xml:space="preserve"> The EU energy and climate policy revolves around enhancing energy security and affordability, while reducing the environmental impacts of energy use. The European energy transition has been at the centre of debate following the post-pandemic surge in power prices in 2021 and the energy crisis following the 2022 Russia-Ukraine war. Understanding the extent to which electricity prices depend on fossil fuel prices (specifically natural gas) is key to guiding the future of energy policy in Europe. To this end, we quantify the role of fossil-fuelled vs. low-carbon electricity generation in setting wholesale electricity prices in each EU-27 country plus Great Britain (GB) and Norway during 2015-2021. We apply econometric analysis and use sub/hourly power system data to estimate the marginal share of each electricity generation type. The results show that fossil fuel-based power plants set electricity prices in Europe at approximately 58% of the time (natural gas 39%) while generating only 34% of electricity (natural gas 18%) a year. The energy transition has made natural gas the main electricity price setter in Europe, with gas determining electricity prices for more than 80% of the hours in 2021 in several countries such as Belgium, GB, Greece, Italy, and the Netherlands. Hence, Europe’s electricity markets are highly exposed to the geopolitical risk of gas supply and natural gas pr</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role, technology;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pStyle w:val="Heading2"/>
      </w:pPr>
      <w:r>
        <w:t>727.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2025:</w:t>
      </w:r>
      <w:r>
        <w:t xml:space="preserve"> A European review of the potential role of industrial clusters in the energy system when leveraging energy synergies — https://doi.org/10.1016/j.egyr.2025.10.019</w:t>
      </w:r>
    </w:p>
    <w:p>
      <w:pPr/>
      <w:r>
        <w:rPr>
          <w:b/>
        </w:rPr>
        <w:t>Shared claim-specific concepts:</w:t>
      </w:r>
      <w:r>
        <w:t xml:space="preserve"> focus, energy, system, increased; EU scope visible. This is a provisional connection, not an outcome finding.</w:t>
      </w:r>
    </w:p>
    <w:p>
      <w:pPr>
        <w:pStyle w:val="SourceNote"/>
      </w:pPr>
      <w:r>
        <w:rPr>
          <w:b/>
        </w:rPr>
        <w:t>Available abstract (not full text):</w:t>
      </w:r>
      <w:r>
        <w:t xml:space="preserve"> Concerns about the competitiveness of European industry led to the publication of the Draghi report. One of his recommendations is to install regional green industrial clusters around energy-intensive companies. The report identifies three benefit categories, each corresponding to typical industrial symbiosis cases: improved investment cases by shared local low-carbon energy generation, improved investment cases by shared infrastructure, and improved energy flows for increased resource efficiency. Industrial clusters hold untapped potential to advance the energy transition and climate neutrality. However, it is still unknown how and if this potential will ever be reached, nor how scalable and replicable the benefits will be. This review paper aims to take a first step in exploring the potential role of industrial clusters in the energy system by exposing the research state of the art in academic literature. A literature review is performed in line with the three benefit categories according to Draghi to understand the enablers and barriers of potential synergies and their impact on the energy system. Afterwards, the scalability is assessed by positioning the European industrial clusters in the larger renewable energy landscape. To illustrate the global interest, a brief reflection is made on references to industrial clusters in the policy of non-European regions. The work concl</w:t>
      </w:r>
    </w:p>
    <w:p>
      <w:pPr/>
      <w:r>
        <w:rPr>
          <w:b/>
        </w:rPr>
        <w:t>POSSIBLE 2025:</w:t>
      </w:r>
      <w:r>
        <w:t xml:space="preserve"> Exploring configurations of a European energy system within the planetary boundaries — https://doi.org/10.1088/1748-9326/ade26b</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Abstract Planetary Boundaries and other carrying capacities define a safe operating space for humanity. However, current energy system models often address sustainability too narrowly with a focus on greenhouse gas emissions during the operational phase, and neglecting other environmental impacts can lead to suboptimal and unsustainable energy systems. This study integrates environmental impacts and planetary boundaries as constraints into a multi-sectoral energy system model to explore sustainable configurations for the European energy system in 2050. Our results indicate that it will not be possible to stay within all allocated carrying capacities without a combined application of energy demand reduction, large-scale deployment of renewable energies, electrification of heating, and technological improvements. Specifically, with the most permissive allocation principle, European electricity and heat demand must be limited to 3550 TWh e and 4655 TWh th to remain within the planetary boundaries, which represents a 22% and 24% reduction compared to 2050 projected final energy demand for the sectors of electricity and heat, excluding transport and fuels demands. Results show that scenario normally considered ‘Net Zero’ would transgress the allocated budget for climate change by 70%, despite a high deployment of renewable energies, when life cycle impacts are considered. All genera</w:t>
      </w:r>
    </w:p>
    <w:p>
      <w:pPr/>
      <w:r>
        <w:rPr>
          <w:b/>
        </w:rPr>
        <w:t>POSSIBLE 2025:</w:t>
      </w:r>
      <w:r>
        <w:t xml:space="preserve"> Sustainable Industrial Policies for a Green Europe — https://doi.org/10.4018/979-8-3373-6002-7.ch007</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Industrial policy plays a pivotal role in shaping the transition towards a sustainable, low-carbon economy, especially in the context of the European Green Deal. The European Green Deal aims to make Europe the first climate-neutral continent by 2050, which requires transformative changes in industries, energy systems, and environmental practices. This paper explores the integration of industrial policy with the Green Deal, focusing on green technologies, renewable energy adoption, and sustainable industry practices. Using advanced machine learning models, specifically Bi-Stacked Artificial Neural Networks (ANNs), we analyze how different industrial sectors can adapt to green policies and meet the sustainability targets set by the Green Deal. The research employs data-driven simulations to predict the outcomes of various policy interventions, providing insights into their potential impact on emissions reduction, economic growth, and job creation.</w:t>
      </w:r>
    </w:p>
    <w:p>
      <w:pPr/>
      <w:r>
        <w:rPr>
          <w:b/>
        </w:rPr>
        <w:t>POSSIBLE 2025:</w:t>
      </w:r>
      <w:r>
        <w:t xml:space="preserve"> State Policy of Energy Efficiency Improvement in Residential Construction in Eu Countries — https://doi.org/10.23939/smeu2025.01.316</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article investigates the European experience of state policy regarding energy efficiency in the residential construction sector and analyzes the primary EU regulations that govern this area. Particular attention is given to the evolution of energy efficiency policy from the late 20th century to the present, with an emphasis on the main challenges and outcomes of implementing the respective directives. The article explores financial and macroeconomic approaches to assessing energy efficiency, as well as the mechanisms of administrative and economic regulation. It summarizes the key instruments of state energy efficiency policy in residential construction that need to be implemented in Ukraine to align its national legislation with EU standards. Three primary policy direction groups are identified: technical and regu-latory measures, infrastructure development and integration, and financial-economic and regulatory mechanisms. The implementation of European energy efficiency standards in Ukraine's residential sector will lead to several significant outcomes: reduction in energy consumption; economic impact; improve-ment in the standard of living; environmental sustainability; integration into the European energy space. Thus, the adaptation of Ukrainian legislation to European energy efficiency standards in residential con-struction is a necessary condition for sustainable deve</w:t>
      </w:r>
    </w:p>
    <w:p>
      <w:pPr/>
      <w:r>
        <w:rPr>
          <w:b/>
        </w:rPr>
        <w:t>POSSIBLE 2024:</w:t>
      </w:r>
      <w:r>
        <w:t xml:space="preserve"> EU Energy Securitisation: Ukraine's Place in the European Energy System — https://doi.org/10.53317/2786-4774-2024-1-8</w:t>
      </w:r>
    </w:p>
    <w:p>
      <w:pPr/>
      <w:r>
        <w:rPr>
          <w:b/>
        </w:rPr>
        <w:t>Shared claim-specific concepts:</w:t>
      </w:r>
      <w:r>
        <w:t xml:space="preserve"> energy, system, increased; EU scope visible. This is a provisional connection, not an outcome finding.</w:t>
      </w:r>
    </w:p>
    <w:p>
      <w:pPr>
        <w:pStyle w:val="SourceNote"/>
      </w:pPr>
      <w:r>
        <w:rPr>
          <w:b/>
        </w:rPr>
        <w:t>Available abstract (not full text):</w:t>
      </w:r>
      <w:r>
        <w:t xml:space="preserve">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pPr/>
      <w:r>
        <w:rPr>
          <w:b/>
        </w:rPr>
        <w:t>POSSIBLE 2024:</w:t>
      </w:r>
      <w:r>
        <w:t xml:space="preserve"> The Effectiveness of the EU ETS Policy in Changing the Energy Mix in Selected European Countries — https://doi.org/10.3390/en17174243</w:t>
      </w:r>
    </w:p>
    <w:p>
      <w:pPr/>
      <w:r>
        <w:rPr>
          <w:b/>
        </w:rPr>
        <w:t>Shared claim-specific concepts:</w:t>
      </w:r>
      <w:r>
        <w:t xml:space="preserve"> energy, co2, reduction; EU scope visible. This is a provisional connection, not an outcome finding.</w:t>
      </w:r>
    </w:p>
    <w:p>
      <w:pPr>
        <w:pStyle w:val="SourceNote"/>
      </w:pPr>
      <w:r>
        <w:rPr>
          <w:b/>
        </w:rPr>
        <w:t>Available abstract (not full text):</w:t>
      </w:r>
      <w:r>
        <w:t xml:space="preserve"> In the field of economic analysis, the study of the EU ETS policy has primarily focused on the impact of renewable energy consumption on economic growth, as well as the role of legal and fiscal instruments in the development of clean energy. This study aimed to evaluate the effectiveness of the EU ETS policy in altering the energy mix of selected European countries, providing both cognitive and applicational value. The evaluation of the effectiveness of this policy focused on the structure of the energy mix and the relationship between rising CO2 emission allowance prices and the decreasing share of coal in the energy mix. The goal was achieved through statistical analysis of secondary sources, primarily sourced from Bloomberg (2016–2024). The research findings indicated that changes in the structure of energy sources varied across the studied European countries, due to the adopted energy source utilization strategy, resource availability, and geopolitical situations. Additionally, different correlation values were noted between rising CO2 emission allowance prices and the expected reduction in fossil fuel use. Therefore, the EU ETS policy does not fulfill its assigned role—its implementation contributes to disparities in the economic situations of European economies and creates conditions for unequal competition.</w:t>
      </w:r>
    </w:p>
    <w:p>
      <w:pPr/>
      <w:r>
        <w:rPr>
          <w:b/>
        </w:rPr>
        <w:t>POSSIBLE 2024:</w:t>
      </w:r>
      <w:r>
        <w:t xml:space="preserve"> The Impact of Deep Decarbonization Policy on the Level of Greenhouse Gas Emissions in the European Union — https://doi.org/10.3390/en17051245</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Green Deal, a cornerstone of the European Union’s climate goals, sets out to achieve a substantial 55% reduction in greenhouse gas emissions by 2030 compared to 1990 levels. The EU’s decarbonization strategies revolve around three pivotal avenues. First, there is a focus on enhancing energy efficiency and decreasing the energy intensity of economies. Second, concerted efforts are made to diminish the reliance on fossil fuels, particularly within industrial sectors. Lastly, there is a deliberate push to augment the share of renewable energy sources in the final energy consumption mix. These measures collectively aim to propel the decarbonization of EU economies, establishing EU member countries as global leaders in implementing these transformative processes. This manuscript seeks to evaluate the efficacy of three primary decarbonization strategies adopted by EU economies, namely the enhancement in energy efficiency, the promotion of renewable energy consumption and the reduction in fossil fuel consumption. The objective is to discern which strategies wield a decisive influence in achieving decarbonization goals across EU countries. The analysis encompasses all 27 member states of the European Union, spanning from 1990 to 2022, with data sourced from reputable outlets, including Eurostat, Our World in Data and the Energy Institute. Research findings underscore that, in the r</w:t>
      </w:r>
    </w:p>
    <w:p>
      <w:pPr>
        <w:pStyle w:val="Heading2"/>
      </w:pPr>
      <w:r>
        <w:t>728.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2023:</w:t>
      </w:r>
      <w:r>
        <w:t xml:space="preserve"> International experience in the use of alternative energy sources (within the European Union) — https://doi.org/10.31548/law/3.2023.46</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relevance of the chosen subject is due to the problem of the lack of conventional energy resources in the global and Ukrainian energy sectors. This problem is caused by a combination of external factors (outdated technologies, lack of oil, coal, and gas reserves) and internal factors, such as Russia’s military aggression against Ukraine, and its manipulative policy towards other countries, which encourages the European community to look for other options to ensure energy security. This gave a new urgency to the issue of activating the development of alternative energy. The purpose of the study is to analyse international experience in the use of alternative (renewable) energy and formulate conceptual methods and approaches to solving global energy problems. A combination of general scientific methods was used, primarily dialectical, analytical, concrete-sociological, and from special legal methods – comparative legal. The results obtained indicate that the use of alternative energy sources in the European Union countries will continue to develop in the future. Based on data from Regulatory Indicators for Sustainable Energy, it is confirmed that Denmark, Germany, and the Republic of Poland are currently the leaders in the use of renewable energy sources in the EU countries. The study analyses the successful experience of these countries in the use of renewable energy sources</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according, energy;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Reduced grazing and changes in the area of agroforestry in Europe — https://doi.org/10.3389/fenvs.2023.1258697</w:t>
      </w:r>
    </w:p>
    <w:p>
      <w:pPr/>
      <w:r>
        <w:rPr>
          <w:b/>
        </w:rPr>
        <w:t>Shared claim-specific concepts:</w:t>
      </w:r>
      <w:r>
        <w:t xml:space="preserve"> emissions, reduced, suggested;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r>
        <w:rPr>
          <w:b/>
        </w:rPr>
        <w:t>POSSIBLE 2023:</w:t>
      </w:r>
      <w:r>
        <w:t xml:space="preserve"> Sources of PM2.5‐Associated Health Risks in Europe and Corresponding Emission‐Induced Changes During 2005–2015 — https://doi.org/10.1029/2022gh000767</w:t>
      </w:r>
    </w:p>
    <w:p>
      <w:pPr/>
      <w:r>
        <w:rPr>
          <w:b/>
        </w:rPr>
        <w:t>Shared claim-specific concepts:</w:t>
      </w:r>
      <w:r>
        <w:t xml:space="preserve"> international, emissions, reduced; EU scope visible. This is a provisional connection, not an outcome finding.</w:t>
      </w:r>
    </w:p>
    <w:p>
      <w:pPr>
        <w:pStyle w:val="SourceNote"/>
      </w:pPr>
      <w:r>
        <w:rPr>
          <w:b/>
        </w:rPr>
        <w:t>Available abstract (not full text):</w:t>
      </w:r>
      <w:r>
        <w:t xml:space="preserve">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pStyle w:val="Heading2"/>
      </w:pPr>
      <w:r>
        <w:t>729.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pStyle w:val="Heading2"/>
      </w:pPr>
      <w:r>
        <w:t>730.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2023:</w:t>
      </w:r>
      <w:r>
        <w:t xml:space="preserve"> PETRO SHELEST IN THE POLITICAL HISTORY OF UKRAINE OF THE 20TH CENTURY – SUMMARY — https://doi.org/10.61097/30717957/csu1/2023/79-83</w:t>
      </w:r>
    </w:p>
    <w:p>
      <w:pPr/>
      <w:r>
        <w:rPr>
          <w:b/>
        </w:rPr>
        <w:t>Shared claim-specific concepts:</w:t>
      </w:r>
      <w:r>
        <w:t xml:space="preserve"> summary, decision, context, concept; EU scope visible. This is a provisional connection, not an outcome finding.</w:t>
      </w:r>
    </w:p>
    <w:p>
      <w:pPr>
        <w:pStyle w:val="SourceNote"/>
      </w:pPr>
      <w:r>
        <w:rPr>
          <w:b/>
        </w:rPr>
        <w:t>Available abstract (not full text):</w:t>
      </w:r>
      <w:r>
        <w:t xml:space="preserve"> nians' sense of separateness, and to what extent it exposed them to the melting of "Cossack" traditions in the ideological conglomerate of the state of the "popular masses of towns and villages."The third of the articles of a historical nature -Oleksandr Shevchenko's text on Bohdan Osadchuk -is a kind of "transition" to the political logic part of the volume.The Author recalls the main theses of his hero's journalism, focusing on Osadchuk's conviction that the shape of mutual relations between Poles and Ukrainians is of fundamental importance for the future of these nations and their states.In this context, he recalls, among other things, the prominent publicist's critical assessment of President Viktor Yushchenko's decision to apotheosize the achievements of Stepan Bandera, which, according to Osadchuk, resulted from a misunderstanding of the essence of political processes in Central and Eastern Europe and the importance of friendly Polish-Ukrainian relations for the future of the two neighboring states.Shevchenko also devotes much attention to his protagonist's reaction to Poland's accession to the "Schengen zone, " which, according to Osadchuk, was supposed to create an undesirable barrier to developing interpersonal contacts between Poles and Ukrainians.Recalling Osadchuk's theses, which go "against the grain" of the prevailing political science trends in Ukraine and Poland</w:t>
      </w:r>
    </w:p>
    <w:p>
      <w:pPr/>
      <w:r>
        <w:rPr>
          <w:b/>
        </w:rPr>
        <w:t>POSSIBLE 2023:</w:t>
      </w:r>
      <w:r>
        <w:t xml:space="preserve"> Executive summary — https://doi.org/10.1787/3cb44a40-en</w:t>
      </w:r>
    </w:p>
    <w:p>
      <w:pPr/>
      <w:r>
        <w:rPr>
          <w:b/>
        </w:rPr>
        <w:t>Shared claim-specific concepts:</w:t>
      </w:r>
      <w:r>
        <w:t xml:space="preserve"> summary, makers, information; EU scope not established. This is a provisional connection, not an outcome finding.</w:t>
      </w:r>
    </w:p>
    <w:p>
      <w:pPr>
        <w:pStyle w:val="SourceNote"/>
      </w:pPr>
      <w:r>
        <w:rPr>
          <w:b/>
        </w:rPr>
        <w:t>Available abstract (not full text):</w:t>
      </w:r>
      <w:r>
        <w:t xml:space="preserve"> In recent years, largely due to the COVID-19 pandemic, policy makers have gained new awareness of public communication’s potential in achieving better policy outcomes. With weak public confidence in government institutions and the deteriorating health of information ecosystems, governments are rethinking how communication can support democratic resilience. In many democracies, the space for open public debate that fosters this democratic resilience suffers from polarising narratives and disinformation. This can undermine policy and result in public disengagement from political and civic participation.</w:t>
      </w:r>
    </w:p>
    <w:p>
      <w:pPr/>
      <w:r>
        <w:rPr>
          <w:b/>
        </w:rPr>
        <w:t>POSSIBLE 2022:</w:t>
      </w:r>
      <w:r>
        <w:t xml:space="preserve"> An Ethical Framework for Presenting Scientific Results to Policy-Makers — https://doi.org/10.1353/ken.2022.0002</w:t>
      </w:r>
    </w:p>
    <w:p>
      <w:pPr/>
      <w:r>
        <w:rPr>
          <w:b/>
        </w:rPr>
        <w:t>Shared claim-specific concepts:</w:t>
      </w:r>
      <w:r>
        <w:t xml:space="preserve"> conclude, summary, information; EU scope not established. This is a provisional connection, not an outcome finding.</w:t>
      </w:r>
    </w:p>
    <w:p>
      <w:pPr>
        <w:pStyle w:val="SourceNote"/>
      </w:pPr>
      <w:r>
        <w:rPr>
          <w:b/>
        </w:rPr>
        <w:t>Available abstract (not full text):</w:t>
      </w:r>
      <w:r>
        <w:t xml:space="preserve"> Scientists have the ability to influence policy in important ways through how they present their results.Surprisingly, existing codes of scientific ethics have little to say about such choices.I propose that we can arrive at a set of ethical guidelines to govern scientists' presentation of information to policymakers by looking to bioethics: roughly, just as a clinician should aim to promote informed decision-making by patients, a scientist should aim to promote informed decisionmaking by policymakers.Though this may sound like a natural proposal, I show it offers guidance that conflicts with standard scientific practices.I conclude by considering one cost of the proposal: that it would prevent scientists from acting as advocates in a way that is currently common in certain fields.I accept that the proposal would restrict scientists' political advocacy rights, but argue that the benefits of adopting it -promoting democratic governance -justify the restriction. I. A PUZZLEThe Global Burden of Diseases, Injuries and Risk Factors Study (GBD) is "the single largest and most detailed scientific effort ever conducted to quantify levels and trends in health."More than 2300 researchers from more than 130 countries collect 1 and analyze data on more than 300 diseases and injuries, aiming to put together a comprehensive picture of global health from 1990 to the present.Not surprisingly, </w:t>
      </w:r>
    </w:p>
    <w:p>
      <w:pPr/>
      <w:r>
        <w:rPr>
          <w:b/>
        </w:rPr>
        <w:t>POSSIBLE 2022:</w:t>
      </w:r>
      <w:r>
        <w:t xml:space="preserve"> Investigating the IoT Security and Privacy Challenges: Summary and Recommendations — https://doi.org/10.4108/eetcs.v7i22.2652</w:t>
      </w:r>
    </w:p>
    <w:p>
      <w:pPr/>
      <w:r>
        <w:rPr>
          <w:b/>
        </w:rPr>
        <w:t>Shared claim-specific concepts:</w:t>
      </w:r>
      <w:r>
        <w:t xml:space="preserve"> summary, recommendations, technology, transformation; EU scope not established. This is a provisional connection, not an outcome finding.</w:t>
      </w:r>
    </w:p>
    <w:p>
      <w:pPr>
        <w:pStyle w:val="SourceNote"/>
      </w:pPr>
      <w:r>
        <w:rPr>
          <w:b/>
        </w:rPr>
        <w:t>Available abstract (not full text):</w:t>
      </w:r>
      <w:r>
        <w:t xml:space="preserve"> With the development of innovative technology transformation like cloud and Internet of Things (IoT), more technology companies are pursuing research in employing such innovations. Smart homes and cities are just two examples of the many systems and technologies that the IoT can endorse. IoT - based smart objects communicate with other parts, such as proxies, portable devices, as well as data collectors. Although these components help to tackle a number of societal issues and offer users new, cutting-edge services, their confined processing power makes them susceptible to well-known privacy and security attacks. This in turn highlights the demand for a strong technical as well as legislative foundation and asserts the significance of validity and reliability in IoT. This paper provides an insight of the IoT, security, as well as privacy challenges, and also discusses the recommendations for IoT solutions. Further we also highlighting some unresolved problems that require further study.</w:t>
      </w:r>
    </w:p>
    <w:p>
      <w:pPr/>
      <w:r>
        <w:rPr>
          <w:b/>
        </w:rPr>
        <w:t>POSSIBLE 2022:</w:t>
      </w:r>
      <w:r>
        <w:t xml:space="preserve"> Key findings and recommendations — https://doi.org/10.1787/f38817d8-en</w:t>
      </w:r>
    </w:p>
    <w:p>
      <w:pPr/>
      <w:r>
        <w:rPr>
          <w:b/>
        </w:rPr>
        <w:t>Shared claim-specific concepts:</w:t>
      </w:r>
      <w:r>
        <w:t xml:space="preserve"> summary, recommendations, context, information; EU scope visible. This is a provisional connection, not an outcome finding.</w:t>
      </w:r>
    </w:p>
    <w:p>
      <w:pPr>
        <w:pStyle w:val="SourceNote"/>
      </w:pPr>
      <w:r>
        <w:rPr>
          <w:b/>
        </w:rPr>
        <w:t>Available abstract (not full text):</w:t>
      </w:r>
      <w:r>
        <w:t xml:space="preserve"> Twenty-first century health systems will be built around data and information. Their success will depend on secure exchange and movement of data to create useful information and knowledge that advance public policy objectives. This chapter brings together the key findings of this review of how health data are managed and used in the Netherlands and the recommendations for creating an integrated national health data infrastructure and health information system. The chapter outlines what is meant by health data and an integrated health information system, and its role in advancing health care, social care, long-term care, public health and biomedical science. It outlines the strengths and challenges of the Dutch health system in the context of using health data to advance the health and well-being of individuals and populations. It concludes with a summary of recommendations to establish a modern, integrated health information system in the Netherlands.</w:t>
      </w:r>
    </w:p>
    <w:p>
      <w:pPr>
        <w:pStyle w:val="Heading2"/>
      </w:pPr>
      <w:r>
        <w:t>731.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2021:</w:t>
      </w:r>
      <w:r>
        <w:t xml:space="preserve"> National Thought in Europe — https://doi.org/10.5117/9789462989542</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Bringing together sources from many countries and many centuries, this study critically analyses the growth of national thought and of nationalism — from medieval ethnic prejudice to the Romantic belief in a nation’s ‘soul’. The belief and ideology of the nation’s cultural individuality emerged from a Europe-wide exchange of ideas, often articulated in literature and belles lettres. In the last two centuries, these ideas have transformed the map of Europe and the relations between people and government. In tracing the modern European nation-state, cross-nationally and historically, as the outcome of a cultural self-invention, Leerssen also provides a surprising perspective on Europe’s contemporary identity politics. National Thought in Europe has been brought up to date in this new, third edition.</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732.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2025:</w:t>
      </w:r>
      <w:r>
        <w:t xml:space="preserve"> Preferences, goals and implications for paternalism — https://doi.org/10.1017/s0266267125100436</w:t>
      </w:r>
    </w:p>
    <w:p>
      <w:pPr/>
      <w:r>
        <w:rPr>
          <w:b/>
        </w:rPr>
        <w:t>Shared claim-specific concepts:</w:t>
      </w:r>
      <w:r>
        <w:t xml:space="preserve"> implications, goals; EU scope not established. This is a provisional connection, not an outcome finding.</w:t>
      </w:r>
    </w:p>
    <w:p>
      <w:pPr>
        <w:pStyle w:val="SourceNote"/>
      </w:pPr>
      <w:r>
        <w:rPr>
          <w:b/>
        </w:rPr>
        <w:t>Available abstract (not full text):</w:t>
      </w:r>
      <w:r>
        <w:t xml:space="preserve"> Abstract This paper proposes a conceptual model of decision-making tying specific preferences to broader individual goals. Specifically, we consider terminal goals, representing fundamental objectives, and instrumental goals, serving as complexity-reducing intermediate steps toward achieving terminal goals and determining eventual preferences. Notably, the hierarchical goal structure allows for contextual misalignments between different instrumental goals, which may lead to suboptimal decisions – as evaluated from an outside perspective. Thus, applied to the discussion about nudging and paternalism, the model provides a methodological justification for paternalistic interventions as it is compatible with arguments in favour of interventions aimed to correct such choices.</w:t>
      </w:r>
    </w:p>
    <w:p>
      <w:pPr/>
      <w:r>
        <w:rPr>
          <w:b/>
        </w:rPr>
        <w:t>POSSIBLE 2025:</w:t>
      </w:r>
      <w:r>
        <w:t xml:space="preserve"> Energy efficiency enhancement in two European data centers through CFD modeling — https://doi.org/10.1038/s41598-025-11048-0</w:t>
      </w:r>
    </w:p>
    <w:p>
      <w:pPr/>
      <w:r>
        <w:rPr>
          <w:b/>
        </w:rPr>
        <w:t>Shared claim-specific concepts:</w:t>
      </w:r>
      <w:r>
        <w:t xml:space="preserve"> two, energy, based, design; EU scope visible. This is a provisional connection, not an outcome finding.</w:t>
      </w:r>
    </w:p>
    <w:p>
      <w:pPr>
        <w:pStyle w:val="SourceNote"/>
      </w:pPr>
      <w:r>
        <w:rPr>
          <w:b/>
        </w:rPr>
        <w:t>Available abstract (not full text):</w:t>
      </w:r>
      <w:r>
        <w:t xml:space="preserve"> The new reporting scheme adopted by the European Union focuses on the efficiency assessment of data centers based on key performance indicators (KPIs). This has the potential to lead to further measures for improving energy efficiency of data centers. Consequently, a systematic approach is crucial for assessing and improving data center performance. This study investigates efficiency assessment of two European pilot data centers, located in Denmark and Poland, according to the KPIs calculated through Computational Fluid Dynamics (CFD) simulations of airflow and thermal structures. Two separate experimental approaches were adopted at the pilot sites. One measured airflow and temperatures using external sensors at server inlets and outlets, while the other measured inlet temperatures from embedded server sensors. The good agreement observed between simulated and experimental data confirmed the accuracy of the computational model. The validated CFD model was applied to investigate efficiency improvement opportunities by retrofitting the thermal environment such as rack positioning, containment implementation, and guided airflow control. A series of numerical simulations are performed using the validated numerical model and KPIs are calculated for each design. Numerical simulations demonstrate that the efficiency of an existing data center can be enhanced by up to 75% using the pre</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r>
        <w:rPr>
          <w:b/>
        </w:rPr>
        <w:t>POSSIBLE 2024:</w:t>
      </w:r>
      <w:r>
        <w:t xml:space="preserve"> Value-related educational goals of primary school teachers: a comparative study in two European countries — https://doi.org/10.3389/fpsyg.2024.1458393</w:t>
      </w:r>
    </w:p>
    <w:p>
      <w:pPr/>
      <w:r>
        <w:rPr>
          <w:b/>
        </w:rPr>
        <w:t>Shared claim-specific concepts:</w:t>
      </w:r>
      <w:r>
        <w:t xml:space="preserve"> two, goals, several; EU scope visible. This is a provisional connection, not an outcome finding.</w:t>
      </w:r>
    </w:p>
    <w:p>
      <w:pPr>
        <w:pStyle w:val="SourceNote"/>
      </w:pPr>
      <w:r>
        <w:rPr>
          <w:b/>
        </w:rPr>
        <w:t>Available abstract (not full text):</w:t>
      </w:r>
      <w:r>
        <w:t xml:space="preserve">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pPr/>
      <w:r>
        <w:rPr>
          <w:b/>
        </w:rPr>
        <w:t>POSSIBLE 2024:</w:t>
      </w:r>
      <w:r>
        <w:t xml:space="preserve"> Cross‐border dimensions of Arctic climate change impacts and implications for Europe — https://doi.org/10.1002/wcc.905</w:t>
      </w:r>
    </w:p>
    <w:p>
      <w:pPr/>
      <w:r>
        <w:rPr>
          <w:b/>
        </w:rPr>
        <w:t>Shared claim-specific concepts:</w:t>
      </w:r>
      <w:r>
        <w:t xml:space="preserve"> uses, implications, rest;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733.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2025:</w:t>
      </w:r>
      <w:r>
        <w:t xml:space="preserve"> Moving on to a Pathway of Hope: Stories of Female Persons Deprived of Liberty (PDL) — https://doi.org/10.32996/ijlps.2025.7.7.2</w:t>
      </w:r>
    </w:p>
    <w:p>
      <w:pPr/>
      <w:r>
        <w:rPr>
          <w:b/>
        </w:rPr>
        <w:t>Shared claim-specific concepts:</w:t>
      </w:r>
      <w:r>
        <w:t xml:space="preserve"> support, moving, well-being; EU scope not established. This is a provisional connection, not an outcome finding.</w:t>
      </w:r>
    </w:p>
    <w:p>
      <w:pPr>
        <w:pStyle w:val="SourceNote"/>
      </w:pPr>
      <w:r>
        <w:rPr>
          <w:b/>
        </w:rPr>
        <w:t>Available abstract (not full text):</w:t>
      </w:r>
      <w:r>
        <w:t xml:space="preserve"> The Bureau of Jail Management and Penology in the Philippines is responsible for developing plans, programs, and policies to effectively implement rehabilitation programs for all inmates nationwide. It also collaborates with other government and private organizations to support these programs. The primary goal is to improve the well-being of inmates and prepare them for successful reintegration into society after their release while ensuring humane treatment for all inmates, regardless of their backgrounds and gender. This research study aimed to understand the experiences of female Persons Deprived of Liberty (PDL) within the rehabilitation program through a qualitative research method. The informants of this study were ten (10) resides at the Cebu City Jail Female Dormitory (CCJFD)situated at Barangay Kalunasan Cebu City, Philippines. Four (4) informants were subjected to an in-depth interview and six (6) informants for the Focus Group Discussions (FGD). The findings of this study are articulated in emergent themes. Six (6) emergent themes described the positive and negative experiences of the informants on the rehabilitation program. For the positive experiences, three (3) emergent themes were developed, namely: Jailhouse Jukebox, Cellmate for Change, and From Cell to Success: Skills, Swag, and Savings. For the negative experiences, three (3) emergent themes were also develo</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pathways, actions, lower, emissions, impacts, climate;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actions, impacts;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pathways, emissions;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2024:</w:t>
      </w:r>
      <w:r>
        <w:t xml:space="preserve"> Visions for climate neutrality and opportunities for co-learning in European cities — https://doi.org/10.1016/j.rser.2024.114315</w:t>
      </w:r>
    </w:p>
    <w:p>
      <w:pPr/>
      <w:r>
        <w:rPr>
          <w:b/>
        </w:rPr>
        <w:t>Shared claim-specific concepts:</w:t>
      </w:r>
      <w:r>
        <w:t xml:space="preserve"> support, emissions, reduce, climate; EU scope visible. This is a provisional connection, not an outcome finding.</w:t>
      </w:r>
    </w:p>
    <w:p>
      <w:pPr>
        <w:pStyle w:val="SourceNote"/>
      </w:pPr>
      <w:r>
        <w:rPr>
          <w:b/>
        </w:rPr>
        <w:t>Available abstract (not full text):</w:t>
      </w:r>
      <w:r>
        <w:t xml:space="preserve">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pPr>
        <w:pStyle w:val="Heading2"/>
      </w:pPr>
      <w:r>
        <w:t>734.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r>
        <w:rPr>
          <w:b/>
        </w:rPr>
        <w:t>POSSIBLE 2025:</w:t>
      </w:r>
      <w:r>
        <w:t xml:space="preserve"> Substance use among displaced populations in Europe : structural prevention as a policy imperative — https://openalex.org/W7127551372</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Background: Displaced populations in Europe, including applicants for international protection and undocumented individuals, face elevated risks of mental health and substance use related problems due to pre- and post-migration stressors such as war trauma, hazardous journeys, and fragmented reception conditions. While WHO and academics advocate prioritizing mental health in European reception settings, most evidence-based interventions originate from low- and middle-income countries and to not evaluate substance use outcomes, leaving EU-specific strategies underdeveloped. Methods: This mixed-methods study examines gaps in substance use support across reception settings in the EU and across the intervention spectrum. Data derive from: (1) a 2023 questionnaire profiling training and intervention needs among reception workers (n=98) and (2) a 2025 scoping review (Web of Science, targeted surveys) mapping substance use related interventions in European reception contexts. Results: 72% of reception workers did not receive any formal training related to substance use, with over 80% prioritising the need for training on prevention, intoxication assessment, and incident management. Meanwhile, the top priority highlighted by participants was the accessibility of treatment services. The review in turn identified sparse, ad hoc, predominantly unevaluated interventions in EU settings. Som</w:t>
      </w:r>
    </w:p>
    <w:p>
      <w:pPr/>
      <w:r>
        <w:rPr>
          <w:b/>
        </w:rPr>
        <w:t>POSSIBLE 2025:</w:t>
      </w:r>
      <w:r>
        <w:t xml:space="preserve"> Comparative diversity of aquatic plants in three Central European regions — https://doi.org/10.3389/fpls.2025.1536731</w:t>
      </w:r>
    </w:p>
    <w:p>
      <w:pPr/>
      <w:r>
        <w:rPr>
          <w:b/>
        </w:rPr>
        <w:t>Shared claim-specific concepts:</w:t>
      </w:r>
      <w:r>
        <w:t xml:space="preserve"> findings, among, three, slovenia; EU scope visible. This is a provisional connection, not an outcome finding.</w:t>
      </w:r>
    </w:p>
    <w:p>
      <w:pPr>
        <w:pStyle w:val="SourceNote"/>
      </w:pPr>
      <w:r>
        <w:rPr>
          <w:b/>
        </w:rPr>
        <w:t>Available abstract (not full text):</w:t>
      </w:r>
      <w:r>
        <w:t xml:space="preserve"> Freshwaters are among the most threatened ecosystems globally, with biodiversity declining at far greater rates than the biodiversity of the most affected terrestrial ecosystems. There is an urgent need for accurate information on spatial patterns of freshwater biodiversity, a first step in effective conservation planning and management of these ecosystems. We explored patterns of aquatic macrophyte diversity in four waterbody types, rivers, streams, ponds and ditches, across three Central European regions. By analyzing local (α), among-site (β) and regional (γ) diversity, we assessed the roles of these ecosystems as biodiversity hotspots, particularly for red-listed species. Sampling 220 sites across Slovakia and Slovenia, we recorded 113 macrophyte taxa (31% of which were red-listed), with ponds and ditches consistently supporting higher α and γ diversity than running waters. β diversity was primarily driven by species turnover, with ponds displaying high heterogeneity linked to environmental variability. Our findings highlight the conservation value of artificial habitats like ditches and ponds, harbouring significant macrophyte diversity, including unique and threatened species. These results underscore the need to prioritize small waterbodies in biodiversity conservation strategies within agricultural landscapes.</w:t>
      </w:r>
    </w:p>
    <w:p>
      <w:pPr/>
      <w:r>
        <w:rPr>
          <w:b/>
        </w:rPr>
        <w:t>POSSIBLE 2025:</w:t>
      </w:r>
      <w:r>
        <w:t xml:space="preserve"> THE IMPACT OF AFRICAN MIGRATION TO EUROPE A STUDY OF ITALY — https://doi.org/10.64633/wissj.v9i4.04</w:t>
      </w:r>
    </w:p>
    <w:p>
      <w:pPr/>
      <w:r>
        <w:rPr>
          <w:b/>
        </w:rPr>
        <w:t>Shared claim-specific concepts:</w:t>
      </w:r>
      <w:r>
        <w:t xml:space="preserve"> findings, migration, countries, italy; EU scope visible. This is a provisional connection, not an outcome finding.</w:t>
      </w:r>
    </w:p>
    <w:p>
      <w:pPr>
        <w:pStyle w:val="SourceNote"/>
      </w:pPr>
      <w:r>
        <w:rPr>
          <w:b/>
        </w:rPr>
        <w:t>Available abstract (not full text):</w:t>
      </w:r>
      <w:r>
        <w:t xml:space="preserve"> African migration to Europe, particularly Italy, has been a significant phenomenon with socio-economic, political, and cultural implications. This study examines the causes, patterns, and consequences of African migration to Italy, focusing on its impact on both the African continent and the host country. Through a qualitative and analytical approach, the research explores historical migration trends, the socio-economic contributions of African migrants in Italy, and the challenges they face. The study also highlights the negative effects of brain drain on African nations while assessing Italy’s immigration policies. Recommendations are provided to improve migration management for mutual benefits. African migration to Europe represents one of the most consequential demographic shifts of the 21st century, with Italy serving as a primary entry point due to its geographical proximity to North Africa. This study examines the multifaceted implications of African migration, analysing its socio-economic, political, and cultural impacts on both Italy and African nations. Employing qualitative methods and leveraging secondary data from the International Organization for Migration (IOM), Eurostat, and scholarly works, the paper explores the historical roots of migration, the "brain drain" effect on Africa, and the integration challenges in Italy. Findings reveal that while African migran</w:t>
      </w:r>
    </w:p>
    <w:p>
      <w:pPr/>
      <w:r>
        <w:rPr>
          <w:b/>
        </w:rPr>
        <w:t>POSSIBLE 2025:</w:t>
      </w:r>
      <w:r>
        <w:t xml:space="preserve"> The Migration Crisis and EU Migration Policy as a Means of Resolving Migration Issues in Selected European Union Countries — https://doi.org/10.2478/ers-2025-0032</w:t>
      </w:r>
    </w:p>
    <w:p>
      <w:pPr/>
      <w:r>
        <w:rPr>
          <w:b/>
        </w:rPr>
        <w:t>Shared claim-specific concepts:</w:t>
      </w:r>
      <w:r>
        <w:t xml:space="preserve"> three, migration, countries, italy; EU scope visible. This is a provisional connection, not an outcome finding.</w:t>
      </w:r>
    </w:p>
    <w:p>
      <w:pPr>
        <w:pStyle w:val="SourceNote"/>
      </w:pPr>
      <w:r>
        <w:rPr>
          <w:b/>
        </w:rPr>
        <w:t>Available abstract (not full text):</w:t>
      </w:r>
      <w:r>
        <w:t xml:space="preserve"> Abstract Subject and purpose of work This paper concerns international migration. Its aim is to present an overview of immigration to European Union countries, define the essence of the European migration crisis, outline European migration policy, and describe how migration issues are addressed in selected countries. Materials and methods The work is of a review nature, based on literature on the subject and information materials from specialized institutions. Results Presents an overview of contemporary migration processes, the benefits and challenges for countries of origin and destination, a description of the 21st-century migration crisis, the evolution of migration policy in the European Union, and the course of the migration crisis in three selected member states. Conclusions An analysis of the migration crisis in Poland, Germany, and Italy, an attempt was made to outline migration models, determine the costs and benefits of the influx of people to Europe from Africa and Asia, and make recommendations aimed at mitigating the adverse effects of immigration.</w:t>
      </w:r>
    </w:p>
    <w:p>
      <w:pPr>
        <w:pStyle w:val="Heading2"/>
      </w:pPr>
      <w:r>
        <w:t>735.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Range Contraction and Population Decline of the European Dupont’s Lark Population — https://doi.org/10.3390/d15080928</w:t>
      </w:r>
    </w:p>
    <w:p>
      <w:pPr/>
      <w:r>
        <w:rPr>
          <w:b/>
        </w:rPr>
        <w:t>Shared claim-specific concepts:</w:t>
      </w:r>
      <w:r>
        <w:t xml:space="preserve"> current, decline, reach; EU scope visible. This is a provisional connection, not an outcome finding.</w:t>
      </w:r>
    </w:p>
    <w:p>
      <w:pPr>
        <w:pStyle w:val="SourceNote"/>
      </w:pPr>
      <w:r>
        <w:rPr>
          <w:b/>
        </w:rPr>
        <w:t>Available abstract (not full text):</w:t>
      </w:r>
      <w:r>
        <w:t xml:space="preserve"> The Dupont’s lark (Chersophilus duponti) is an endangered passerine typical of Mediterranean shrub-steppes, whose European distribution is restricted to Spain. Here, we update the population size and distribution range of the species at a European scale and evaluate (i) the current status; (ii) the change in population size and distribution range of the species from 2004 to 2009 to the current period (2017–2022); and (iii) the effectiveness of the current network of special protection areas (SPAs) for protecting the Dupont’s lark. The European Dupont’s lark population showed a decrease of 29.9%, declining from ca. 3267 to 2289 territorial males from 2004 to 2009 to the current period. Moreover, the species has suffered a contraction in its distribution range of 35.9%, with only 39.3% of the species’ territories located within the current network of SPAs. Our findings agree with the previously described decline of the Dupont’s lark in Europe. The population decline was even larger in peripheral regions, which suggests that the species is suffering a centripetal process of contraction and extinction. These results indicate that if there is no change in present-day declining forces, several peripheral populations will reach extinction in a few decades and the overall population size of the species will continue decreasing. Our study should be considered as a last call for action a</w:t>
      </w:r>
    </w:p>
    <w:p>
      <w:pPr/>
      <w:r>
        <w:rPr>
          <w:b/>
        </w:rPr>
        <w:t>POSSIBLE 2023:</w:t>
      </w:r>
      <w:r>
        <w:t xml:space="preserve"> Amphibian decline in a Central European forest and the importance of woody debris for population persistence — https://doi.org/10.1016/j.ecolind.2023.110036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Achieving an understanding of species’ temporal and spatial abundance patterns is a prerequisite for proper conservation and management decisions. Little is known of the ecological indicators of census size or biomass of terrestrial amphibian communities and historical estimates of population size are rare. Here we took advantage of abundance and biomass data collected in 1967/1968 for a leaf-litter amphibian community in Niepołomice Forest (NF) in south-central Poland. Using the same technique (removal sampling), we censused the amphibian community of this forest 50 years later (2016/2017), spatially matching a subset of current plots with the historical sampling sites. Averaged over all plots, we revealed at least a fourfold decline in amphibian abundance from 2817 ± 776 individuals/ha in 1967 to 674 ± 508 individuals/ha currently, paralleled by a decline in biomass from roughly 15.5 ± 1.7 to 3.8 ± 3.1 kg/ha. The decline was more striking (over 15-fold) for current plots placed in the same forest division as the historical plots (mean counts of 157 ± 103 individuals/ha corresponding in biomass to 1.0 ± 0.5 kg/ha). We also recorded a change in species composition between surveys, and propose that conversion of aquatic habitat and forest succession have decreased amphibian diversity and abundance in NF. Further, we estimated densities of anuran amphibians in forest plots differ</w:t>
      </w:r>
    </w:p>
    <w:p>
      <w:pPr/>
      <w:r>
        <w:rPr>
          <w:b/>
        </w:rPr>
        <w:t>POSSIBLE 2023:</w:t>
      </w:r>
      <w:r>
        <w:t xml:space="preserve"> Data-driven estimation of the instantaneous reproduction number and growth rates for the 2022 monkeypox outbreak in Europe — https://doi.org/10.1371/journal.pone.0290387</w:t>
      </w:r>
    </w:p>
    <w:p>
      <w:pPr/>
      <w:r>
        <w:rPr>
          <w:b/>
        </w:rPr>
        <w:t>Shared claim-specific concepts:</w:t>
      </w:r>
      <w:r>
        <w:t xml:space="preserve"> current, decline, number; EU scope visible. This is a provisional connection, not an outcome finding.</w:t>
      </w:r>
    </w:p>
    <w:p>
      <w:pPr>
        <w:pStyle w:val="SourceNote"/>
      </w:pPr>
      <w:r>
        <w:rPr>
          <w:b/>
        </w:rPr>
        <w:t>Available abstract (not full text):</w:t>
      </w:r>
      <w:r>
        <w:t xml:space="preserve"> OBJECTIVE: To estimate the instantaneous reproduction number Rt and the epidemic growth rates for the 2022 monkeypox outbreaks in the European region. METHODS: We gathered daily laboratory-confirmed monkeypox cases in the most affected European countries from the beginning of the outbreak to September 23, 2022. A data-driven estimation of the instantaneous reproduction number is obtained using a novel filtering type Bayesian inference. A phenomenological growth model coupled with a Bayesian sequential approach to update forecasts over time is used to obtain time-dependent growth rates in several countries. RESULTS: The instantaneous reproduction number Rt for the laboratory-confirmed monkeypox cases in Spain, France, Germany, the UK, the Netherlands, Portugal, and Italy. At the early phase of the outbreak, our estimation for Rt, which can be used as a proxy for the basic reproduction number R0, was 2.06 (95% CI 1.63 - 2.54) for Spain, 2.62 (95% CI 2.23 - 3.17) for France, 2.81 (95% CI 2.51 - 3.09) for Germany, 1.82 (95% CI 1.52 - 2.18) for the UK, 2.84 (95% CI 2.07 - 3.91) for the Netherlands, 1.13 (95% CI 0.99 - 1.32) for Portugal, 3.06 (95% CI 2.48 - 3.62) for Italy. Cumulative cases for these countries present subexponential rather than exponential growth dynamics. CONCLUSIONS: Our findings suggest that the current monkeypox outbreaks present limited transmission chains of h</w:t>
      </w:r>
    </w:p>
    <w:p>
      <w:pPr/>
      <w:r>
        <w:rPr>
          <w:b/>
        </w:rPr>
        <w:t>POSSIBLE 2023:</w:t>
      </w:r>
      <w:r>
        <w:t xml:space="preserve"> Current Situation and Development Trend of Pre-school Education in Europe — https://doi.org/10.54097/jeer.v3i3.9543</w:t>
      </w:r>
    </w:p>
    <w:p>
      <w:pPr/>
      <w:r>
        <w:rPr>
          <w:b/>
        </w:rPr>
        <w:t>Shared claim-specific concepts:</w:t>
      </w:r>
      <w:r>
        <w:t xml:space="preserve"> current, rate, not; EU scope visible. This is a provisional connection, not an outcome finding.</w:t>
      </w:r>
    </w:p>
    <w:p>
      <w:pPr>
        <w:pStyle w:val="SourceNote"/>
      </w:pPr>
      <w:r>
        <w:rPr>
          <w:b/>
        </w:rPr>
        <w:t>Available abstract (not full text):</w:t>
      </w:r>
      <w:r>
        <w:t xml:space="preserve"> Pre-school education, the phase before primary education, is becoming a significant part of European education system, since the early years are the most formative in a person’s life, pre-school lays the foundation for successful lifelong learning. All countries are trying to ensure that school-aged children receive pre-school education and care. Europe is not only the birthplace of modern pre-school education concept and system, but also a continent with the highest participation rate of pre-school education in the world. Based on European Commission /EACEA/Eurydice, 2019, Eurydice Brief: Key Data on Early Childhood Education and Care in Europe, this paper aims to analyzes the current situation of pre-school education in Europe from five aspects, including policy support, access, organization and governance, staff, and curriculum. Then draw some pertinent suggestion about the reform and development trends of pre-school education in China.</w:t>
      </w:r>
    </w:p>
    <w:p>
      <w:pPr>
        <w:pStyle w:val="Heading2"/>
      </w:pPr>
      <w:r>
        <w:t>736.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2024:</w:t>
      </w:r>
      <w:r>
        <w:t xml:space="preserve"> Immigrant Work and the Production of Italian Agrifood: The Variants of Subordinate Integration — https://doi.org/10.1080/15562948.2024.2424164</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The agri-food industry in Southern Europe and elsewhere is typically seen as a place of harsh exploitation of immigrant workers. This article aims to give a more comprehensive picture of immigrant work in the Italian agrifood system. Based on nine case studies of local production systems, it elaborates on the concept of “subordinate integration,” showing its different variants. In addition, it discusses the relationship between subordinate integration at work and different forms of social insertion on the territory, mainly focusing on the housing question. In conclusion, the social regulation of work in agriculture and the role of trade unions is highlighted.</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2023:</w:t>
      </w:r>
      <w:r>
        <w:t xml:space="preserve"> The role of market concentration in the agrifood industry — https://doi.org/10.2499/p15738coll2.136567</w:t>
      </w:r>
    </w:p>
    <w:p>
      <w:pPr/>
      <w:r>
        <w:rPr>
          <w:b/>
        </w:rPr>
        <w:t>Shared claim-specific concepts:</w:t>
      </w:r>
      <w:r>
        <w:t xml:space="preserve"> agrifood, general, implications; EU scope not established. This is a provisional connection, not an outcome finding.</w:t>
      </w:r>
    </w:p>
    <w:p>
      <w:pPr>
        <w:pStyle w:val="SourceNote"/>
      </w:pPr>
      <w:r>
        <w:rPr>
          <w:b/>
        </w:rPr>
        <w:t>Available abstract (not full text):</w:t>
      </w:r>
      <w:r>
        <w:t xml:space="preserve"> The role of market concentration and potential market power exertion in the agri-food industry is a topic of longstanding interest and concern to policymakers, stakeholders, and researchers. This study provides a comprehensive overview of recent trends in market concentration upstream, midstream, and downstream the agri-food industry at the global, regional, and country level, and assesses how and to what extent concentration could be affecting market conduct and performance of food systems in developed and developing countries. The analysis additionally discusses, to the extent detectable, implications of concentration, including vertical and horizontal integration that favor concentration, for food security and nutrition and environmental sustainability. While market concentration in the agri-food industry has increased across most segments, the evidence on market power exertion is inconclusive. Several knowledge and data gaps are identified and additional research is necessary to derive more general conclusions and policy recommendations.</w:t>
      </w:r>
    </w:p>
    <w:p>
      <w:pPr/>
      <w:r>
        <w:rPr>
          <w:b/>
        </w:rPr>
        <w:t>POSSIBLE 2023:</w:t>
      </w:r>
      <w:r>
        <w:t xml:space="preserve"> A constant market share analysis of the competitiveness of the Czech Republic's agrifood exports (2002-2020) to the European Union — https://doi.org/10.17221/248/2023-agricecon</w:t>
      </w:r>
    </w:p>
    <w:p>
      <w:pPr/>
      <w:r>
        <w:rPr>
          <w:b/>
        </w:rPr>
        <w:t>Shared claim-specific concepts:</w:t>
      </w:r>
      <w:r>
        <w:t xml:space="preserve"> trade, agrifood, current, general, states; EU scope visible. This is a provisional connection, not an outcome finding.</w:t>
      </w:r>
    </w:p>
    <w:p>
      <w:pPr>
        <w:pStyle w:val="SourceNote"/>
      </w:pPr>
      <w:r>
        <w:rPr>
          <w:b/>
        </w:rPr>
        <w:t>Available abstract (not full text):</w:t>
      </w:r>
      <w:r>
        <w:t xml:space="preserve"> We conducted a quantitative ex post analysis of the competitiveness of the Czech Republic’s agrifood exports to other European Union (EU) Member States between 2002 and 2020, using the constant market share (CMS) methodology. The application of this methodology to Czech agrifood exports is novel, as it allows for analysing the export competitiveness variation and its components. Although the findings are consistent with those of previous studies in which the investigators used alternative methodological approaches, we make three contributions to the existing literature. Firstly, the Czech Republic experienced an overall increase in its competitiveness in agrifood exports between 2002 and 2020. Secondly, the high territorial specialisation of Czech agrifood exports to other EU Member States, combined with a general slowdown in the growth of EU markets, has had a significant effect on the growth dynamics of the country’s agricultural exports. Thirdly, there is a problem with the specialisation profile of Czech agrifood exports in terms of commodity and territorial structure. The current composition does not allow the Czech Republic to reach its full potential for agrifood exports. These findings will help industrial, agricultural and trade policymakers to assess the nature of liberalisation and transformation of the Czech Republic’s agricultural sectors, with a view to improving </w:t>
      </w:r>
    </w:p>
    <w:p>
      <w:pPr/>
      <w:r>
        <w:rPr>
          <w:b/>
        </w:rPr>
        <w:t>POSSIBLE 2023:</w:t>
      </w:r>
      <w:r>
        <w:t xml:space="preserve"> From farm to table: Agrifood systems and trade challenges in the Southern Cone — https://doi.org/10.2499/p15738coll2.137016</w:t>
      </w:r>
    </w:p>
    <w:p>
      <w:pPr/>
      <w:r>
        <w:rPr>
          <w:b/>
        </w:rPr>
        <w:t>Shared claim-specific concepts:</w:t>
      </w:r>
      <w:r>
        <w:t xml:space="preserve"> trade, agrifood, current, different; EU scope not established. This is a provisional connection, not an outcome finding.</w:t>
      </w:r>
    </w:p>
    <w:p>
      <w:pPr>
        <w:pStyle w:val="SourceNote"/>
      </w:pPr>
      <w:r>
        <w:rPr>
          <w:b/>
        </w:rPr>
        <w:t>Available abstract (not full text):</w:t>
      </w:r>
      <w:r>
        <w:t xml:space="preserve"> Food production includes a complex and varied set of agricultural and nonagricultural activities, involving a growing number of sectors and actors that influence the way food is produced, processed, distributed, and consumed. Recently, and especially after the 2021 United Nation Food Systems Summit (UNFSS), it has been proposed that this conglomerate of activities and socioeconomic actors be jointly identified as food systems. National food systems, which exist in each country, are interrelated through trade and other factors with regional food systems and finally with the global food system.\nThe concept of food systems has been adopted as a useful tool for understanding the multiple and complex interrelations between different production, distribution, and trade partners and for adjusting policy analysis and design to this complex world. The discussions and documentation prepared during the UNFSS process brought to public attention not only the utility and complexity of this concept but also some of the shortcomings of current food production practices. The summit also highlighted an urgent need to establish processes for identifying such shortcomings, their relative importance, and possible measures that would lead to the transformation of national food systems and the global food system.</w:t>
      </w:r>
    </w:p>
    <w:p>
      <w:pPr/>
      <w:r>
        <w:rPr>
          <w:b/>
        </w:rPr>
        <w:t>POSSIBLE 2023:</w:t>
      </w:r>
      <w:r>
        <w:t xml:space="preserve"> Portuguese Agrifood Sector Resilience: An Analysis Using Structural Breaks Applied to International Trade — https://doi.org/10.3390/agriculture13091699</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In the last two decades, Portugal suffered the effects of two global crises, the financial crisis and the COVID-19 pandemic, as well as the Common Agriculture Policy reforms. These crises had a great impact on the Portuguese economy, but it is completely unclear how they affected the dynamics of the Portuguese agrifood sector. This study’s objective is to analyze the resilience of this sector to European and global socks, testing the effects on international trade. Secondary data from the Portuguese Statistics Institute were used for the exports and imports trade series of animal and vegetable products and food industries from 2000 to 2020. The methodology was based on the structural xtbreak model, stability analysis, and tests for structural breaks. Some volatility was observed in the trade series, particularly in imports, without consistency among years, trade sectors, or imports versus exports trade. In the case of exports, one or two structural breaks in the different sectors occurred in different years. The most relevant dynamics occurred after the sovereign debt crisis. It was concluded that CAP reforms and global crises seem to not have caused new relevant dynamics in the Portuguese international agrifood trade. This revealed the resilience of the sector to external shocks.</w:t>
      </w:r>
    </w:p>
    <w:p>
      <w:pPr>
        <w:pStyle w:val="Heading2"/>
      </w:pPr>
      <w:r>
        <w:t>737.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2025:</w:t>
      </w:r>
      <w:r>
        <w:t xml:space="preserve"> #3416 Development and validation of a prediction model for progression of CKD in European children — https://doi.org/10.1093/ndt/gfaf116.0556</w:t>
      </w:r>
    </w:p>
    <w:p>
      <w:pPr/>
      <w:r>
        <w:rPr>
          <w:b/>
        </w:rPr>
        <w:t>Shared claim-specific concepts:</w:t>
      </w:r>
      <w:r>
        <w:t xml:space="preserve"> data, used, regarding, objective; EU scope visible. This is a provisional connection, not an outcome finding.</w:t>
      </w:r>
    </w:p>
    <w:p>
      <w:pPr>
        <w:pStyle w:val="SourceNote"/>
      </w:pPr>
      <w:r>
        <w:rPr>
          <w:b/>
        </w:rPr>
        <w:t>Available abstract (not full text):</w:t>
      </w:r>
      <w:r>
        <w:t xml:space="preserve"> Abstract Background and Aims Families and children with chronic kidney disease (CKD) often request prognostic information regarding their child's condition in order to understand its implications and plan for the future. However, prediction of when a child will progress to kidney failure and need kidney replacement therapy (KRT) remains challenging, which complicates planning for dialysis access and transplant. The Kidney Failure Risk Equation (KFRE) has been shown to accurately discriminate risk of progression to kidney failure in children with mild to moderate CKD in the US but has some pitfalls. Our objective was to develop and validate a new easy-to-operate prediction model for progression of CKD in European children. Method We used data from the Cardiovascular Comorbidity in Children with CKD (4C) study for model development and from the ESCAPE trial for model validation. A new model (called « 4C equation ») was developed based on clinically relevant variables and variable selection using Random Survival Forest. The primary predictor was the new model which provides estimates of the risk of KRT over a 1-, 2-, 3-, and 4-year horizon. The model is a super landmark Cox model including 8 variables accounting for the last available value of all predictors at each landmark time (0,1,2,3,4 years). Comparisons were made with the KFRE. AUCs were used to compare discrimination of th</w:t>
      </w:r>
    </w:p>
    <w:p>
      <w:pPr/>
      <w:r>
        <w:rPr>
          <w:b/>
        </w:rPr>
        <w:t>POSSIBLE 2025:</w:t>
      </w:r>
      <w:r>
        <w:t xml:space="preserve"> MIGRATION AS A CATALYST FOR ECONOMIC GROWTH: A PANEL DATA ANALYSIS OF EASTERN EUROPEAN ECONOMIES (2014-2023) — https://doi.org/10.55654/jfs.2025.10.19.11</w:t>
      </w:r>
    </w:p>
    <w:p>
      <w:pPr/>
      <w:r>
        <w:rPr>
          <w:b/>
        </w:rPr>
        <w:t>Shared claim-specific concepts:</w:t>
      </w:r>
      <w:r>
        <w:t xml:space="preserve"> data, migration, flows, regarding, population, between; EU scope visible. This is a provisional connection, not an outcome finding.</w:t>
      </w:r>
    </w:p>
    <w:p>
      <w:pPr>
        <w:pStyle w:val="SourceNote"/>
      </w:pPr>
      <w:r>
        <w:rPr>
          <w:b/>
        </w:rPr>
        <w:t>Available abstract (not full text):</w:t>
      </w:r>
      <w:r>
        <w:t xml:space="preserve"> Migration has become one of the defining forces shaping the economic and social landscape of Europe. While much of the literature has concentrated on Western countries as primary destinations, the role of Central and Eastern Europe as both sending and increasingly receiving regions remains underexplored. This study investigates the impact of migration on economic development in four Eastern European countries—Romania, Bulgaria, Poland, and Hungary—over the period 2014–2023. Using panel data analysis, the research examines the relationship between net migration flows, GDP per capita, unemployment, employment rates, and population dynamics. The results indicate that migration plays a significant role in shaping labour market conditions and contributes to economic growth, particularly through its strong correlation with GDP per capita and employment rates. By applying a fixed-effects panel regression model, the study provides robust evidence on the bidirectional link between migration and economic performance. The findings highlight the structural transformations of these economies and underline the importance of migration in addressing demographic decline and labour shortages. This research contributes to the academic debate by offering updated empirical evidence and by filling the gap in the literature regarding the Eastern European migration-growth nexus.</w:t>
      </w:r>
    </w:p>
    <w:p>
      <w:pPr/>
      <w:r>
        <w:rPr>
          <w:b/>
        </w:rPr>
        <w:t>POSSIBLE 2024:</w:t>
      </w:r>
      <w:r>
        <w:t xml:space="preserve"> Elucidating the migrations of European seabass from the southern north sea using mark-recapture data, acoustic telemetry and data storage tags — https://doi.org/10.1038/s41598-024-63347-7</w:t>
      </w:r>
    </w:p>
    <w:p>
      <w:pPr/>
      <w:r>
        <w:rPr>
          <w:b/>
        </w:rPr>
        <w:t>Shared claim-specific concepts:</w:t>
      </w:r>
      <w:r>
        <w:t xml:space="preserve"> data, migration, population, countries; EU scope visible. This is a provisional connection, not an outcome finding.</w:t>
      </w:r>
    </w:p>
    <w:p>
      <w:pPr>
        <w:pStyle w:val="SourceNote"/>
      </w:pPr>
      <w:r>
        <w:rPr>
          <w:b/>
        </w:rPr>
        <w:t>Available abstract (not full text):</w:t>
      </w:r>
      <w:r>
        <w:t xml:space="preserve">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pPr>
        <w:pStyle w:val="Heading2"/>
      </w:pPr>
      <w:r>
        <w:t>738.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2024:</w:t>
      </w:r>
      <w:r>
        <w:t xml:space="preserve"> Dominance, Survivance, and Resistance: Reconceptualizing Childhoods Through Literature — https://openalex.org/W7133010228</w:t>
      </w:r>
    </w:p>
    <w:p>
      <w:pPr/>
      <w:r>
        <w:rPr>
          <w:b/>
        </w:rPr>
        <w:t>Shared claim-specific concepts:</w:t>
      </w:r>
      <w:r>
        <w:t xml:space="preserve"> racial, discursive, construction, about, others; EU scope not established. This is a provisional connection, not an outcome finding.</w:t>
      </w:r>
    </w:p>
    <w:p>
      <w:pPr>
        <w:pStyle w:val="SourceNote"/>
      </w:pPr>
      <w:r>
        <w:rPr>
          <w:b/>
        </w:rPr>
        <w:t>Available abstract (not full text):</w:t>
      </w:r>
      <w:r>
        <w:t xml:space="preserve"> Childhood is a social construction and discursive site of contestation that extends beyond the dominant paradigm of developmental psychology. These constructions of childhood are predominantly projects undertaken by adults through research, educational practice, and artistic endeavors such as the writing of literature. While the field of childhood studies claims to be inter- and multidisciplinary, it continues to be dominated by sociological approaches and is evasive of colonial and racial analytic tools to attend to the histories of Black, Brown, and Indigenous children and childhoods. Beginning from my own history of childhood trauma in the process of dislocation from the postcolonial Caribbean to the settler colonial Canadian nation-state, I turn to literary children who endure the colonial violence of rape to understand ongoing settler colonialism. Drawing on the work of Edward Said and Erica Burman, I construct a contrapuntal child-as-method to trace the figure and rhetorical function of the child across the literatures of dominance, survivance, and resistance. First, I read the state-sanctioned Survivors Speak report of the Truth and Reconciliation Commission of Canada which I understand as a site of Indigenous and settler trauma. Drawing on Cathy Caruth’s literary trauma theory, I argue that the report is a site where settlers reconcile their own lost imperial childhood </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2023:</w:t>
      </w:r>
      <w:r>
        <w:t xml:space="preserve"> TOWARD A RECONCEPTUALIZATION OF GENTRIFICATION: ASSESSING NEIGHBORHOOD VARIATION BY SOCIOECONOMIC AND ECONOMIC PROCESSES — https://doi.org/10.33915/etd.12101</w:t>
      </w:r>
    </w:p>
    <w:p>
      <w:pPr/>
      <w:r>
        <w:rPr>
          <w:b/>
        </w:rPr>
        <w:t>Shared claim-specific concepts:</w:t>
      </w:r>
      <w:r>
        <w:t xml:space="preserve"> reconceptualization, form, about, racialized; EU scope not established. This is a provisional connection, not an outcome finding.</w:t>
      </w:r>
    </w:p>
    <w:p>
      <w:pPr>
        <w:pStyle w:val="SourceNote"/>
      </w:pPr>
      <w:r>
        <w:rPr>
          <w:b/>
        </w:rPr>
        <w:t>Available abstract (not full text):</w:t>
      </w:r>
      <w:r>
        <w:t xml:space="preserve"> The core conceptualization of gentrification is social class ascension. Researchers and the public have often disagreed about how, when, where, and why gentrification occurs. When there is agreement, researchers often add specifications, such as displacement, that further confuse the concept. Reasons for the confusion include non-integrating theoretical dimensions, methods that assume independent effects, and the context of place. The objective of this study is to conceptualize gentrification in a case study city using two key dimensions, socioeconomic and economic processes, in a spatial context. Using principal component analysis to identify the latent constructs that account for change in Pittsburgh, PA, the history of a racialized industrial economy affected the indicator variables associated with social class change. In Pittsburgh, the population is not ascending from working class to middle class, but the middle class is changing in form from physical to intellectual labor. However, localized patterns of change reflect social and racialized agency to transition into a different form of the middle class. Scholars, journalists, and residents identify Pittsburgh as a gentrifying city, but the classic conceptualization of gentrification does not apply. The implications of this study recommend a deeper analysis of the type of social class ascension that occurs in cities. The h</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2022:</w:t>
      </w:r>
      <w:r>
        <w:t xml:space="preserve"> Reconceptualization of Inclusion through Anti-Bias Curriculum — https://doi.org/10.18357/jcs202220271</w:t>
      </w:r>
    </w:p>
    <w:p>
      <w:pPr/>
      <w:r>
        <w:rPr>
          <w:b/>
        </w:rPr>
        <w:t>Shared claim-specific concepts:</w:t>
      </w:r>
      <w:r>
        <w:t xml:space="preserve"> reconceptualization, discursive, construction; EU scope not established. This is a provisional connection, not an outcome finding.</w:t>
      </w:r>
    </w:p>
    <w:p>
      <w:pPr>
        <w:pStyle w:val="SourceNote"/>
      </w:pPr>
      <w:r>
        <w:rPr>
          <w:b/>
        </w:rPr>
        <w:t>Available abstract (not full text):</w:t>
      </w:r>
      <w:r>
        <w:t xml:space="preserve"> Tensions can arise when biased thoughts and practices are uncovered through discursive events in early years classrooms. This paper challenges the common practice of disregarding childhood curiosities in an attempt to ease tension and remove the risk of discomfort for some adults in caregiving and educating roles. Through a conceptual shift from a futurity of inclusion to an urgent call to action that problematizes the exclusion of nonhuman subjects within the curriculum, the construction and implementation of anti-bias curriculum is offered as a vehicle to the realization of holistically inclusive early learning spaces.</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r>
        <w:rPr>
          <w:b/>
        </w:rPr>
        <w:t>POSSIBLE 2021:</w:t>
      </w:r>
      <w:r>
        <w:t xml:space="preserve"> Decolonizing English Language Teaching in Colombia: Epistemological Perspectives and Discursive Alternatives — https://doi.org/10.14483/22487085.17087</w:t>
      </w:r>
    </w:p>
    <w:p>
      <w:pPr/>
      <w:r>
        <w:rPr>
          <w:b/>
        </w:rPr>
        <w:t>Shared claim-specific concepts:</w:t>
      </w:r>
      <w:r>
        <w:t xml:space="preserve"> proposes, discursive, about, face; EU scope not established. This is a provisional connection, not an outcome finding.</w:t>
      </w:r>
    </w:p>
    <w:p>
      <w:pPr>
        <w:pStyle w:val="SourceNote"/>
      </w:pPr>
      <w:r>
        <w:rPr>
          <w:b/>
        </w:rPr>
        <w:t>Available abstract (not full text):</w:t>
      </w:r>
      <w:r>
        <w:t xml:space="preserve"> In times of geocultural subalternization of knowledge and education, English language teaching (ELT) is torn between subalternizing policies and subjectivating practices. Within this context, ELT teacher educators face policies and discourses aimed at framing their teaching practices, professional lives, and research agendas. However, at the same time, they are expected to engage in practices and processes that allow for personal adaptation and social change. Amid this ambivalence, this reflection paper makes a call to decolonize ELT in Colombia. To this effect, this paper reviews some basic epistemological perspectives such as colonialism and decolonial studies. Then, it proposes the decolonization of ELT, along with a grammar of decoloniality based on discursive alternatives about power, knowledge, and being with the potential of bringing about a transformative teacher subjectivation. The main conclusion is that the Colombian ELT community needs to first deconstruct dominant structures and strategies that enact epistemic and cultural dominance of the global north, and then construct alternative discourses and practices that acknowledge and disseminate the singularities of its knowledge and culture.</w:t>
      </w:r>
    </w:p>
    <w:p>
      <w:pPr/>
      <w:r>
        <w:rPr>
          <w:b/>
        </w:rPr>
        <w:t>POSSIBLE 2020:</w:t>
      </w:r>
      <w:r>
        <w:t xml:space="preserve"> Thinking Europe Otherwise: Lessons from the Caribbean — https://doi.org/10.1177/0011392120931139</w:t>
      </w:r>
    </w:p>
    <w:p>
      <w:pPr/>
      <w:r>
        <w:rPr>
          <w:b/>
        </w:rPr>
        <w:t>Shared claim-specific concepts:</w:t>
      </w:r>
      <w:r>
        <w:t xml:space="preserve"> reconceptualization, discursive, racialized; EU scope visible. This is a provisional connection, not an outcome finding.</w:t>
      </w:r>
    </w:p>
    <w:p>
      <w:pPr>
        <w:pStyle w:val="SourceNote"/>
      </w:pPr>
      <w:r>
        <w:rPr>
          <w:b/>
        </w:rPr>
        <w:t>Available abstract (not full text):</w:t>
      </w:r>
      <w:r>
        <w:t xml:space="preserve">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pPr>
        <w:pStyle w:val="Heading2"/>
      </w:pPr>
      <w:r>
        <w:t>739.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r>
        <w:rPr>
          <w:b/>
        </w:rPr>
        <w:t>POSSIBLE 2023:</w:t>
      </w:r>
      <w:r>
        <w:t xml:space="preserve"> Incidence of Lyme Borreliosis in Europe: A Systematic Review (2005–2020) — https://doi.org/10.1089/vbz.2022.0070</w:t>
      </w:r>
    </w:p>
    <w:p>
      <w:pPr/>
      <w:r>
        <w:rPr>
          <w:b/>
        </w:rPr>
        <w:t>Shared claim-specific concepts:</w:t>
      </w:r>
      <w:r>
        <w:t xml:space="preserve"> case, northern, portugal, used, local; EU scope visible. This is a provisional connection, not an outcome finding.</w:t>
      </w:r>
    </w:p>
    <w:p>
      <w:pPr>
        <w:pStyle w:val="SourceNote"/>
      </w:pPr>
      <w:r>
        <w:rPr>
          <w:b/>
        </w:rPr>
        <w:t>Available abstract (not full text):</w:t>
      </w:r>
      <w:r>
        <w:t xml:space="preserve">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pPr/>
      <w:r>
        <w:rPr>
          <w:b/>
        </w:rPr>
        <w:t>POSSIBLE 2023:</w:t>
      </w:r>
      <w:r>
        <w:t xml:space="preserve"> Ten questions concerning residential overheating in Central and Northern Europe — https://doi.org/10.1016/j.buildenv.2023.110154</w:t>
      </w:r>
    </w:p>
    <w:p>
      <w:pPr/>
      <w:r>
        <w:rPr>
          <w:b/>
        </w:rPr>
        <w:t>Shared claim-specific concepts:</w:t>
      </w:r>
      <w:r>
        <w:t xml:space="preserve"> northern, questions, experts; EU scope visible. This is a provisional connection, not an outcome finding.</w:t>
      </w:r>
    </w:p>
    <w:p>
      <w:pPr>
        <w:pStyle w:val="SourceNote"/>
      </w:pPr>
      <w:r>
        <w:rPr>
          <w:b/>
        </w:rPr>
        <w:t>Available abstract (not full text):</w:t>
      </w:r>
      <w:r>
        <w:t xml:space="preserve"> Rising global temperatures and more frequent heatwaves due to climate change have led to a growing body of research and increased policy focus on how to protect against the adverse effects of heat. In cold and temperate Europe, dwellings have traditionally been designed for cold protection rather than heat mitigation. There is, therefore, a need to understand the mechanisms through which indoor overheating can occur, its effects on occupants and energy consumption, and how we can design, adapt, and operate buildings during warm weather to improve thermal comfort and reduce cooling energy consumption. This paper brings together experts in overheating from across Europe to explore 10 key questions about the causes and risks from overheating in residential settings in Central and Northern Europe, including the way in which we define and measure overheating, its impacts, and its social and policy implications. The focus is not on summarising literature, but rather on identifying the evidence, key challenges and misconceptions, and limitations of current knowledge. Looking ahead, we outline actions needed to adapt, including the (re)design of dwellings, neighbourhoods, and population responses to indoor heat, and the potential shape of these actions. In doing so, we illustrate how heat adaptation is a multi-faceted challenge that requires urgent and coordinated action at multiple le</w:t>
      </w:r>
    </w:p>
    <w:p>
      <w:pPr/>
      <w:r>
        <w:rPr>
          <w:b/>
        </w:rPr>
        <w:t>POSSIBLE 2023:</w:t>
      </w:r>
      <w:r>
        <w:t xml:space="preserve"> Vernacularisation of Documentary Legal Texts in Northern Europe — https://doi.org/10.4312/linguistica.63.1-2.19-39</w:t>
      </w:r>
    </w:p>
    <w:p>
      <w:pPr/>
      <w:r>
        <w:rPr>
          <w:b/>
        </w:rPr>
        <w:t>Shared claim-specific concepts:</w:t>
      </w:r>
      <w:r>
        <w:t xml:space="preserve"> northern, used, questions; EU scope visible. This is a provisional connection, not an outcome finding.</w:t>
      </w:r>
    </w:p>
    <w:p>
      <w:pPr>
        <w:pStyle w:val="SourceNote"/>
      </w:pPr>
      <w:r>
        <w:rPr>
          <w:b/>
        </w:rPr>
        <w:t>Available abstract (not full text):</w:t>
      </w:r>
      <w:r>
        <w:t xml:space="preserve"> At the transition from medieval to early modern Europe, vernaculars became more commonly used in writing in various domain, including administration and law. In the late Middle Ages, vernaculars seem to gain status and start to be regarded as suitable languages for recording municipal matters. But how did this vernacularisation progress in such documentary legal texts? When and why was Latin replaced by vernaculars? To answer these questions, this article presents diachronic quantitative analyses of the language choice in individual entries of two documentary legal sources: the first eight volumes of the Aberdeen Council Registers (1398–1511) and one volume of the Lübecker Niederstadtbuch (1430–1451). The comparative approach to these multilingual texts allows us to trace vernacularisation processes across two language contexts, uncovering similarities and differences between them. In the council registers from Aberdeen, Scots replaced Latin slowly and gradually – a process that took over a century and was far from finished by 1511. In the text from Lübeck, on the other hand, the shift from Latin to Low German was largely completed within about 30 years. In both cases, language practices of the scribes rather than top-down language policies seem to have driven this development. The scribes’ language choices will have been influenced by the use of vernaculars in other texts, inc</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case, northern, used, different;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Balancing Electricity Supply and Demand in a Carbon-Neutral Northern Europe — https://doi.org/10.3390/en16083548</w:t>
      </w:r>
    </w:p>
    <w:p>
      <w:pPr/>
      <w:r>
        <w:rPr>
          <w:b/>
        </w:rPr>
        <w:t>Shared claim-specific concepts:</w:t>
      </w:r>
      <w:r>
        <w:t xml:space="preserve"> northern, combination, different, after;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pStyle w:val="Heading2"/>
      </w:pPr>
      <w:r>
        <w:t>740.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potential, several, access;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potential, method, several, alternative, access;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test, alternative, sites, far;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Evaluation of laboratory test methods for assessing the alkali-reactivity potential of aggregates by field site tests — https://doi.org/10.3989/mc.2022.17221</w:t>
      </w:r>
    </w:p>
    <w:p>
      <w:pPr/>
      <w:r>
        <w:rPr>
          <w:b/>
        </w:rPr>
        <w:t>Shared claim-specific concepts:</w:t>
      </w:r>
      <w:r>
        <w:t xml:space="preserve"> test, potential, method, sites; EU scope visible. This is a provisional connection, not an outcome finding.</w:t>
      </w:r>
    </w:p>
    <w:p>
      <w:pPr>
        <w:pStyle w:val="SourceNote"/>
      </w:pPr>
      <w:r>
        <w:rPr>
          <w:b/>
        </w:rPr>
        <w:t>Available abstract (not full text):</w:t>
      </w:r>
      <w:r>
        <w:t xml:space="preserve">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pPr/>
      <w:r>
        <w:rPr>
          <w:b/>
        </w:rPr>
        <w:t>POSSIBLE 2022:</w:t>
      </w:r>
      <w:r>
        <w:t xml:space="preserve"> Exploring the Potential of Mobile Laser Scanning to Quantify Forest Structural Complexity — https://doi.org/10.3389/frsen.2022.861337</w:t>
      </w:r>
    </w:p>
    <w:p>
      <w:pPr/>
      <w:r>
        <w:rPr>
          <w:b/>
        </w:rPr>
        <w:t>Shared claim-specific concepts:</w:t>
      </w:r>
      <w:r>
        <w:t xml:space="preserve"> potential, several, exploring; EU scope visible. This is a provisional connection, not an outcome finding.</w:t>
      </w:r>
    </w:p>
    <w:p>
      <w:pPr>
        <w:pStyle w:val="SourceNote"/>
      </w:pPr>
      <w:r>
        <w:rPr>
          <w:b/>
        </w:rPr>
        <w:t>Available abstract (not full text):</w:t>
      </w:r>
      <w:r>
        <w:t xml:space="preserve"> Today, creating or maintaining forest structural complexity is a management paradigm in many countries due to the positive relationships between structural complexity and several forest functions and services. In this study, we tested whether the box-dimension (D b ), a holistic and objective measure to describe the structural complexity of trees or forests, can be used to quantify the structural complexity of 14 European beech ( Fagus sylvatica L.) dominated forest plots by means of mobile laser scanning (MLS). The goal of this study was to explore the potential of this approach for quantifying the effect of leaves (summer vs winter) and management (lately unmanaged vs managed) on forest structural complexity. The findings suggest that repeated measurements on the same site and at the same time yielded consistent results if the measuring scheme is standardized. The results also showed that standardized measurement protocols allowed quantifying differences in forest structural complexity due to season. The highest stand structural complexity was found in leaf-on condition during summer, with the complexity being significantly higher than in winter condition. Also, in case of our beech-dominated plots, managed forests were more complex in structure than formerly managed but now unmanaged forests. This study illustrates the potential of MLS for monitoring the changes in forest st</w:t>
      </w:r>
    </w:p>
    <w:p>
      <w:pPr>
        <w:pStyle w:val="Heading2"/>
      </w:pPr>
      <w:r>
        <w:t>741.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r>
        <w:rPr>
          <w:b/>
        </w:rPr>
        <w:t>POSSIBLE 2024:</w:t>
      </w:r>
      <w:r>
        <w:t xml:space="preserve"> Diabetes Prediction Based on Support Vector Machine Model — https://doi.org/10.54097/ygdasy74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Diabetes is a chronic condition, the symptoms of which may be relatively mild in the initial stages. Consequently, early prediction is of paramount importance for disease management and treatment. This study aims to employ a Support Vector Machine (SVM) model for the prognostication of diabetes risk. In comparison to conventional prediction techniques, SVMs are adept at capturing complex nonlinear relationships, and possess the capability to handle high-dimensional data and model nonlinearities effectively. By leveraging the strengths of SVMs, it is possible to anticipate the risk of diabetes based on various diagnostic indicators, thereby mitigating the severity of the condition and the risk of complications. The findings of this research offer valuable insights for the management and treatment of diabetes, holding significant application potential for the improvement of diagnosis and therapeutic strategies for diabetic patients.</w:t>
      </w:r>
    </w:p>
    <w:p>
      <w:pPr>
        <w:pStyle w:val="Heading2"/>
      </w:pPr>
      <w:r>
        <w:t>742.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r>
        <w:rPr>
          <w:b/>
        </w:rPr>
        <w:t>POSSIBLE 2024:</w:t>
      </w:r>
      <w:r>
        <w:t xml:space="preserve"> Developing a Multi-Criteria Restaurant Recommendation System with MOORA: A Case Study in Gading Serpong — https://doi.org/10.33168/jliss.2024.1128</w:t>
      </w:r>
    </w:p>
    <w:p>
      <w:pPr/>
      <w:r>
        <w:rPr>
          <w:b/>
        </w:rPr>
        <w:t>Shared claim-specific concepts:</w:t>
      </w:r>
      <w:r>
        <w:t xml:space="preserve"> case, recommendations, use, food, based, assesses; EU scope not established. This is a provisional connection, not an outcome finding.</w:t>
      </w:r>
    </w:p>
    <w:p>
      <w:pPr>
        <w:pStyle w:val="SourceNote"/>
      </w:pPr>
      <w:r>
        <w:rPr>
          <w:b/>
        </w:rPr>
        <w:t>Available abstract (not full text):</w:t>
      </w:r>
      <w:r>
        <w:t xml:space="preserve">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pPr/>
      <w:r>
        <w:rPr>
          <w:b/>
        </w:rPr>
        <w:t>POSSIBLE 2024:</w:t>
      </w:r>
      <w:r>
        <w:t xml:space="preserve"> Reduced predation and competition from herring may have contributed to the increase of three-spined stickleback in the Baltic Sea — https://doi.org/10.1093/icesjms/fsae168</w:t>
      </w:r>
    </w:p>
    <w:p>
      <w:pPr/>
      <w:r>
        <w:rPr>
          <w:b/>
        </w:rPr>
        <w:t>Shared claim-specific concepts:</w:t>
      </w:r>
      <w:r>
        <w:t xml:space="preserve"> baltic, herring, food, increased; EU scope visible. This is a provisional connection, not an outcome finding.</w:t>
      </w:r>
    </w:p>
    <w:p>
      <w:pPr>
        <w:pStyle w:val="SourceNote"/>
      </w:pPr>
      <w:r>
        <w:rPr>
          <w:b/>
        </w:rPr>
        <w:t>Available abstract (not full text):</w:t>
      </w:r>
      <w:r>
        <w:t xml:space="preserve"> Abstract In many areas of the Baltic Sea, three-spined stickleback (Gasterosteus aculeatus) has increased several fold since the early 2000s. Two major planktivores of the Baltic Sea, Atlantic herring (Clupea harengus) and European sprat (Sprattus sprattus), may interact with stickleback via competition for food and predation, but the potential implications at the population level are still unknown. Here, we explored interactions between stickleback, herring, and sprat using (i) herring diet analyses and (ii) fish biomass estimates from hydroacoustics for 2001–2019 covering the largest Baltic Sea basins—the Central Baltic and the Bothnian Sea. The diet analyses revealed that stickleback is an important prey for large herring along the Swedish Baltic Sea coast, comprising up to 64% of the diet of individuals &gt;22 cm. We found a negative influence of large herring (&gt;18 cm) on stickleback in the Central Baltic, and a negative relationship between sprat and small herring (&lt;18 cm) (pooled) and stickleback in the Bothnian Sea. The decline in herring and sprat population after the mid-1990s could have contributed to the increase in stickleback population via reduced predation and competition. Overall, herring may be an underappreciated piscivore, and high fishing pressure on herring could generate cascading effects on lower trophic levels.</w:t>
      </w:r>
    </w:p>
    <w:p>
      <w:pPr>
        <w:pStyle w:val="Heading2"/>
      </w:pPr>
      <w:r>
        <w:t>743.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2021:</w:t>
      </w:r>
      <w:r>
        <w:t xml:space="preserve"> THE ROLE OF SHARING CREATIVE IDEAS: PROFESSIONAL DESIGNERS ABOUT THEIR WORK — https://doi.org/10.3846/cs.2021.14723</w:t>
      </w:r>
    </w:p>
    <w:p>
      <w:pPr/>
      <w:r>
        <w:rPr>
          <w:b/>
        </w:rPr>
        <w:t>Shared claim-specific concepts:</w:t>
      </w:r>
      <w:r>
        <w:t xml:space="preserve"> designers, work, creativity, different; EU scope not established. This is a provisional connection, not an outcome finding.</w:t>
      </w:r>
    </w:p>
    <w:p>
      <w:pPr>
        <w:pStyle w:val="SourceNote"/>
      </w:pPr>
      <w:r>
        <w:rPr>
          <w:b/>
        </w:rPr>
        <w:t>Available abstract (not full text):</w:t>
      </w:r>
      <w:r>
        <w:t xml:space="preserve"> A characteristic feature of the transition from industrial to post-industrial society is basing a significant part of production on the “intangible” value (software production, audiovisual production, advertising, design, cultural activities, etc.). The individual is perceived as the main actor in management processes where professional success depends on readiness for dialogue and exchange of owned capital (not only economically). It means a different definition of work, perceiving it as an element of shaping – understood in many dimensions – social, economic and cultural relations. Dematerialization of work means therefore giving primacy to the handling of information. This phenomenon can also be seen as a manifestation of cognitive capitalism characterized as a different accumulation system which is based on knowledge and creativity, in other words, on forms of intangible investment. Therefore, it seems that it would be particularly valuable to examine the potential of groups that have this knowledge capital as the basis of their activity. The article will discuss the theoretical concept of the exchange and sharing of creative ideas in the design field. It also presents original research devoted to this issue, conducted in the environment of Polish designers.</w:t>
      </w:r>
    </w:p>
    <w:p>
      <w:pPr/>
      <w:r>
        <w:rPr>
          <w:b/>
        </w:rPr>
        <w:t>POSSIBLE 2021:</w:t>
      </w:r>
      <w:r>
        <w:t xml:space="preserve"> LIGHTWEIGHT STRUCTURES FROM THE PERSPECTIVE OF FORM FINDING FOR ARCHITECTS AND DESIGNERS — https://doi.org/10.46529/darch.202121</w:t>
      </w:r>
    </w:p>
    <w:p>
      <w:pPr/>
      <w:r>
        <w:rPr>
          <w:b/>
        </w:rPr>
        <w:t>Shared claim-specific concepts:</w:t>
      </w:r>
      <w:r>
        <w:t xml:space="preserve"> increase, designers, work, view, different; EU scope not established. This is a provisional connection, not an outcome finding.</w:t>
      </w:r>
    </w:p>
    <w:p>
      <w:pPr>
        <w:pStyle w:val="SourceNote"/>
      </w:pPr>
      <w:r>
        <w:rPr>
          <w:b/>
        </w:rPr>
        <w:t>Available abstract (not full text):</w:t>
      </w:r>
      <w:r>
        <w:t xml:space="preserve"> Architecture always reflects the requirements of the time.The revolutionary progress in science and technology pushes the boundaries of technical unfeasibility.Construction and technological methods now often determine the architecture of the building.New technologies allow to realize structures that have larger spans and are more and more light.The differences between design, construction and its characteristic form are disappearing.Lightweight structures represent one of the popular architectural forms of today construction and design.They appeal especially by their non-traditional solution and exceptional shape.The concept of lightweight structures is very interesting for the needs of architects or designers from the view of Form Finding.Architects and engineers are studying, improving, and discovering.They are the creators of new spaces, forms, and structures.One category of them are lightweight structures that are seen in different forms, shapes, sizes, and variations in a broad spectrum of use.These structures developed over the years and together with advances in material engineering and technology they continue to progress.Lightweight structures may be internal, external, permanent, temporary, large, small, supported, etc.Their unique forms have played an important role in contemporary architecture and design since the time they first appeared in the 1960s as part of th</w:t>
      </w:r>
    </w:p>
    <w:p>
      <w:pPr/>
      <w:r>
        <w:rPr>
          <w:b/>
        </w:rPr>
        <w:t>POSSIBLE 2019:</w:t>
      </w:r>
      <w:r>
        <w:t xml:space="preserve"> The Education of Responsible Designers in a Male-oriented Society. — https://openalex.org/W3042680371</w:t>
      </w:r>
    </w:p>
    <w:p>
      <w:pPr/>
      <w:r>
        <w:rPr>
          <w:b/>
        </w:rPr>
        <w:t>Shared claim-specific concepts:</w:t>
      </w:r>
      <w:r>
        <w:t xml:space="preserve"> designers, sensitivity, work; EU scope visible. This is a provisional connection, not an outcome finding.</w:t>
      </w:r>
    </w:p>
    <w:p>
      <w:pPr>
        <w:pStyle w:val="SourceNote"/>
      </w:pPr>
      <w:r>
        <w:rPr>
          <w:b/>
        </w:rPr>
        <w:t>Available abstract (not full text):</w:t>
      </w:r>
      <w:r>
        <w:t xml:space="preserve"> This paper aims to provide a disciplinary contribution concerning the role \nthat Communication Design has and could play in Gender Studies, focusing on \nthe university educational context. The starting point is the issue of the women \nrepresentation in the media and the resulting need to promote actions aimed \nat media alphabetization. From this scenario the urgent need to “focus more on \nvocational training - of the communication designer - and on education activities \nas a vehicle to fight discriminations and promote gender equality” (European \nParliament Resolution, April 2018 - 2017/2210(INI)) emerges. \nThe environment in which we live and form ourselves is full with communicative \nartifacts (advertising, information, web, TV...) that convey and promote degrading \nstereotypes towards women, feeding gender inequalities. Media images act on \nthought, influencing the construction of individual and social biographies and \nconsequently the way they relate to themselves and the community. \nIn this context, the Communication Designer takes on a role of social and \ncultural responsibility and has the duty to act towards a socially “sustainable” \ncommunication. \nThe media message acts in a vicious circle, it draws on and simultaneously \ninfluences social reality by orienting thoughts and behaviors of individuals. \nCommunication Design can therefore operate on this </w:t>
      </w:r>
    </w:p>
    <w:p>
      <w:pPr>
        <w:pStyle w:val="Heading2"/>
      </w:pPr>
      <w:r>
        <w:t>744.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r>
        <w:rPr>
          <w:b/>
        </w:rPr>
        <w:t>POSSIBLE 2025:</w:t>
      </w:r>
      <w:r>
        <w:t xml:space="preserve"> The COMCARE Framework for Person‐Centred Communication—A Practical Caring Framework — https://doi.org/10.1111/scs.70074</w:t>
      </w:r>
    </w:p>
    <w:p>
      <w:pPr/>
      <w:r>
        <w:rPr>
          <w:b/>
        </w:rPr>
        <w:t>Shared claim-specific concepts:</w:t>
      </w:r>
      <w:r>
        <w:t xml:space="preserve"> practical, framework; EU scope not established. This is a provisional connection, not an outcome finding.</w:t>
      </w:r>
    </w:p>
    <w:p>
      <w:pPr>
        <w:pStyle w:val="SourceNote"/>
      </w:pPr>
      <w:r>
        <w:rPr>
          <w:b/>
        </w:rPr>
        <w:t>Available abstract (not full text):</w:t>
      </w:r>
      <w:r>
        <w:t xml:space="preserve"> AIM: This paper examines a theory and practice developed framework aimed at guiding person-centred communication in registered nurse-patient encounters. The primary objective is to refine and present a data- and theory-driven framework tailored to the demands of nursing practice and those receiving care. To achieve this, the COMCARE model is introduced, providing practical guidance for understanding and implementing strategies for nurses' communication and caring behaviours. DESIGN: This theoretical paper addresses theory and research on communication strategies during registered nurse-patient encounters based on the principles of caring and person-centredness. RESULTS: The COMCARE model outlines communication strategies to guide registered nurses to ensure caring and supportive interactions, aligning with the principles of person-centred care. COMCARE builds on the necessary communication skills for person-centred registered nurses-patient encounters and clarifies key components of such communication, with related goals. The key components proposed are related to empathic listening and asking questions, responding and acknowledging, guiding and using clear communication, supportive communication, and appraising and confirming communication. Person-centred communication requires a broad repertoire of skills to be applied and tailored to individuals in various situations and pra</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framework, region;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Advice from artificial intelligence: a review and practical implications — https://doi.org/10.3389/fpsyg.2024.1390182</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Despite considerable behavioral and organizational research on advice from human advisors, and despite the increasing study of artificial intelligence (AI) in organizational research, workplace-related applications, and popular discourse, an interdisciplinary review of advice from AI (vs. human) advisors has yet to be undertaken. We argue that the increasing adoption of AI to augment human decision-making would benefit from a framework that can characterize such interactions. Thus, the current research invokes judgment and decision-making research on advice from human advisors and uses a conceptual "fit"-based model to: (1) summarize how the characteristics of the AI advisor, human decision-maker, and advice environment influence advice exchanges and outcomes (including informed speculation about the durability of such findings in light of rapid advances in AI technology), (2) delineate future research directions (along with specific predictions), and (3) provide practical implications involving the use of AI advice by human decision-makers in applied settings.</w:t>
      </w:r>
    </w:p>
    <w:p>
      <w:pPr/>
      <w:r>
        <w:rPr>
          <w:b/>
        </w:rPr>
        <w:t>POSSIBLE 2024:</w:t>
      </w:r>
      <w:r>
        <w:t xml:space="preserve"> Bridging cultures in Europe: exploring language and shared values in interactions — https://doi.org/10.31893/multiscience.2024ss0705</w:t>
      </w:r>
    </w:p>
    <w:p>
      <w:pPr/>
      <w:r>
        <w:rPr>
          <w:b/>
        </w:rPr>
        <w:t>Shared claim-specific concepts:</w:t>
      </w:r>
      <w:r>
        <w:t xml:space="preserve"> practical, implications, conclusions, adequate, framework; EU scope visible. This is a provisional connection, not an outcome finding.</w:t>
      </w:r>
    </w:p>
    <w:p>
      <w:pPr>
        <w:pStyle w:val="SourceNote"/>
      </w:pPr>
      <w:r>
        <w:rPr>
          <w:b/>
        </w:rPr>
        <w:t>Available abstract (not full text):</w:t>
      </w:r>
      <w:r>
        <w:t xml:space="preserve"> The importance of intercultural communication is particularly significant in today's globalised world, given the continuous growth of cultural diversity and interactions among cultures at various levels, from personal relationships to global political processes. It is crucial to understand the mechanisms that facilitate or hinder effective intercultural exchange for the development of inclusive, tolerant, and respectful societies. This study analyses the impact of governance structures, digitalisation, and emotions on intercultural communication, using the theoretical framework of the theory of communicative action. The research focuses primarily on the European context. Governance structures and social hierarchies significantly shape conditions for intercultural dialogue, often creating barriers to equal exchange of ideas and hindering the voices of marginalized groups from being heard. Digitalisation provides new opportunities for intercultural exchange. However, it is important to ensure equal access to digital technologies and the development of digital literacy. Emotions have been found to influence intercultural communication strongly. Adequate expression and interpretation of emotions can contribute to greater mutual understanding and empathy among representatives of different cultures. The research findings suggest that it is necessary to integrate various strategies to</w:t>
      </w:r>
    </w:p>
    <w:p>
      <w:pPr/>
      <w:r>
        <w:rPr>
          <w:b/>
        </w:rPr>
        <w:t>POSSIBLE 2023:</w:t>
      </w:r>
      <w:r>
        <w:t xml:space="preserve"> Practical implications of workplace ostracism: a systematic literature review — https://doi.org/10.1108/baj-12-2022-0036</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pPr>
        <w:pStyle w:val="Heading2"/>
      </w:pPr>
      <w:r>
        <w:t>745.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aims, emissions, compared, energy;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pStyle w:val="Heading2"/>
      </w:pPr>
      <w:r>
        <w:t>746.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aims, emissions, compared, energy;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pStyle w:val="Heading2"/>
      </w:pPr>
      <w:r>
        <w:t>747.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r>
        <w:rPr>
          <w:b/>
        </w:rPr>
        <w:t>POSSIBLE 2024:</w:t>
      </w:r>
      <w:r>
        <w:t xml:space="preserve"> The Digitalization in Insurance Broker Industry: How Artificial Intelligence Affect This Industry — https://doi.org/10.52728/ijjm.v5i1.1032</w:t>
      </w:r>
    </w:p>
    <w:p>
      <w:pPr/>
      <w:r>
        <w:rPr>
          <w:b/>
        </w:rPr>
        <w:t>Shared claim-specific concepts:</w:t>
      </w:r>
      <w:r>
        <w:t xml:space="preserve"> affect, industry, especially; EU scope not established. This is a provisional connection, not an outcome finding.</w:t>
      </w:r>
    </w:p>
    <w:p>
      <w:pPr>
        <w:pStyle w:val="SourceNote"/>
      </w:pPr>
      <w:r>
        <w:rPr>
          <w:b/>
        </w:rPr>
        <w:t>Available abstract (not full text):</w:t>
      </w:r>
      <w:r>
        <w:t xml:space="preserve"> This qualitative research explores the impact of digitalization, with a particular focus on artificial intelligence (AI), on the insurance broker industry. In-depth interviews and focus group discussions were conducted with eight senior-level employee and eight younger participants from technology and operations departments, also from client-facing positions. The research aimed to analyze the impact of digitalization, especially artificial intelligence, to the insurance broker industry and to explore whether artificial intelligence is capable to replace an insurance broker role. The findings indicate that digitalization, including the adoption of AI, has brought about significant advancements in the industry. Digitalization efforts have led to streamlined processes, reduced costs, improved data analysis, and enhanced customer experiences. The findings of this research highlight the importance of taking a deliberate and strategic approach to digitalization and AI adoption in the insurance broker industry. Companies should use technology to increase efficiency while maintaining the human-centric elements that are essential for developing strong client relationships and providing tailored insurance solutions.</w:t>
      </w:r>
    </w:p>
    <w:p>
      <w:pPr/>
      <w:r>
        <w:rPr>
          <w:b/>
        </w:rPr>
        <w:t>POSSIBLE 2024:</w:t>
      </w:r>
      <w:r>
        <w:t xml:space="preserve"> In Search of an Electrified Future: The Affective Afterlife of the Extractive Industry in Mitrovica, Kosovo — https://doi.org/10.1515/soeu-2023-0055</w:t>
      </w:r>
    </w:p>
    <w:p>
      <w:pPr/>
      <w:r>
        <w:rPr>
          <w:b/>
        </w:rPr>
        <w:t>Shared claim-specific concepts:</w:t>
      </w:r>
      <w:r>
        <w:t xml:space="preserve"> affect, industry, different; EU scope not established. This is a provisional connection, not an outcome finding.</w:t>
      </w:r>
    </w:p>
    <w:p>
      <w:pPr>
        <w:pStyle w:val="SourceNote"/>
      </w:pPr>
      <w:r>
        <w:rPr>
          <w:b/>
        </w:rPr>
        <w:t>Available abstract (not full text):</w:t>
      </w:r>
      <w:r>
        <w:t xml:space="preserve"> Abstract This article analyses hopes around the promissory potential of mineral resources through the lens of affect. Building on ethnographic fieldwork conducted between 2018 and 2019 in South Mitrovica in Kosovo, it explores how citizens of a de-industrialised and politically unstable city envision the future around and beyond the extractive potential of the Trepça mine. It does so by examining two encounters with two different modes of electricity – a power cut and New Year lights – as instantiations of the mine’s affective force that evoke the historically specific promise of modernity shaped during Yugoslav socialism. Through the motif of electricity, the article demonstrates how this industrial past orients collective hopes towards an extractive future. Retrospectively shaped, these hopes remain intangible, however, and riddled with doubts, friction, and contestation. Divergent visions, then, attempt to ground a viable future amid the uncertainties triggered by postsocialism, the war and its aftermath, and de-industrialisation.</w:t>
      </w:r>
    </w:p>
    <w:p>
      <w:pPr>
        <w:pStyle w:val="Heading2"/>
      </w:pPr>
      <w:r>
        <w:t>748.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pStyle w:val="Heading2"/>
      </w:pPr>
      <w:r>
        <w:t>749.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approaches for future health shocks: integration into policy making and accompanying research priorities — https://doi.org/10.1136/bmj-2023-078647</w:t>
      </w:r>
    </w:p>
    <w:p>
      <w:pPr/>
      <w:r>
        <w:rPr>
          <w:b/>
        </w:rPr>
        <w:t>Shared claim-specific concepts:</w:t>
      </w:r>
      <w:r>
        <w:t xml:space="preserve"> foresight, health; EU scope not established. This is a provisional connection, not an outcome finding.</w:t>
      </w:r>
    </w:p>
    <w:p>
      <w:pPr>
        <w:pStyle w:val="SourceNote"/>
      </w:pPr>
      <w:r>
        <w:rPr>
          <w:b/>
        </w:rPr>
        <w:t>Available abstract (not full text):</w:t>
      </w:r>
      <w:r>
        <w:t xml:space="preserve"> Christina Pagel and colleagues argue that foresight approaches are key to preparedness for emergencies such as covid-19 and that these must be integrated within policy making at all levels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foresight, promise;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pStyle w:val="Heading2"/>
      </w:pPr>
      <w:r>
        <w:t>750.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2024:</w:t>
      </w:r>
      <w:r>
        <w:t xml:space="preserve"> The Edinburgh Companion to the New European Humanities — https://doi.org/10.1515/9781399505208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Assesses the rise of the ‘New’ Humanities alongside the traditional disciplines and inter-disciplinary ‘studies’ areas Takes an original approach in its European scope and institutional representation Focusses on the ‘New’ or ‘Post’ Humanities Incorporates an exceptional degree of inter and trans-disciplinarity, covering areas including the intercultural humanities, post- and decolonial perspectives, digital humanities, medical humanities, environmental humanities and more Draws from many European languages and traditions Combines theoretical speculation with policy-making pragmatism This is the first collection that highlights the strengths and contributions of the Humanities in the European region. The volume stresses the positive and multidimensional impact of the Humanities on core areas of human experience, and their ability to formulate new frames to represent our collective and individual relation to the world. Further, it explores new ethical social imaginaries, gendered scenarios and spaces of decolonial transculturality. This collection also confronts the threats the Humanities face today and proposes ways to respond. These threats include public discourses that question the value of the Humanities; the chronic underfunding of teaching and research at our universities and institutions, and the more fundamental risks to intellectual freedom, democracy and critical disc</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r>
        <w:rPr>
          <w:b/>
        </w:rPr>
        <w:t>POSSIBLE 2023:</w:t>
      </w:r>
      <w:r>
        <w:t xml:space="preserve"> Perspective Chapter: Implementation of MOOCs for Microcredentials and European University Alliances — https://doi.org/10.5772/intechopen.1001466</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MOOCs are seen as an important measure to open up universities to new target groups. In this chapter, two new variants of the usage of MOOCs in European higher education are highlighted: First, openly licensed MOOCs can be used as part of microcredential offers with university accreditation. Second, openly licensed MOOCs can be made available to other universities as an integrated resource and offer within European University alliances. This chapter discusses legal (such as copyright issues), organizational (such as processes), and technical issues (such as LTI, eduGAIN) for these new developments. An important requirement for this is that MOOCs are available as open educational resources (OER): Open licenses that allow the reuse, modification, and republication of educational resources (“open education resources”) are another opportunity to open up and share university offers. This chapter is based on experiences of the national Austrian MOOC platform iMooX.at, the microcredential implementation of Graz University of Technology, as well as first ideas concerning the integration of openly licensed MOOCs within the unite! University alliance of nine European technical universities.</w:t>
      </w:r>
    </w:p>
    <w:p>
      <w:pPr/>
      <w:r>
        <w:rPr>
          <w:b/>
        </w:rPr>
        <w:t>POSSIBLE 2023:</w:t>
      </w:r>
      <w:r>
        <w:t xml:space="preserve"> An institutional implementation of the new European reform of research assessment — https://doi.org/10.55835/64426bdc67b1730895c01156</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Agreement on Reforming Research Assessment (Coalition for Advancing Research Assessment, 2022) addresses the assessment of researchers, research proposals, and research performing organizations and units. Our contribution is relevant for the assessment of units within organizations. We describe how the main principles and requirements of the Agreement have inspired a new institutional-level framework at Aalborg University (DK) with the aim to deliver data, statistics, and indicators to support internal strategic development, research assessment and resource allocation. The framework was designed on request from the rectorate and in collaboration with the deans of the four faculties with feedback from their project steering group and the university’s representative bodies.</w:t>
      </w:r>
    </w:p>
    <w:p>
      <w:pPr/>
      <w:r>
        <w:rPr>
          <w:b/>
        </w:rPr>
        <w:t>POSSIBLE 2023:</w:t>
      </w:r>
      <w:r>
        <w:t xml:space="preserve"> European Public Prosecutor‘s Office - A New Beginning ? — https://openalex.org/W7220260034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The adoption of the Council Regulation 2017/1939 (entered into force on 20 November 2017) implementing enhanced cooperation on the establishment of the European Public Prosecutor's Office‘ (the EPPO) is a turning point in the development of the European Union as an Area of Freedom, Security and Justice, by setting - up of the first european investigating and prosecuting authority. The structure and functioning of the new authority, together with the limited scope of its competence make the EPPO as an authority whose legal environment largely builds on the national legal systems. The founding of the new investigative body is far from fully eradicating in itself the various difficulties of judicial cooperation in criminal matters. Its implementation strongly is putting into evidence the crucial necesity to foster mutual legal understanding and mutual trust that the experience showed is not achieved yet among the member states.</w:t>
      </w:r>
    </w:p>
    <w:p>
      <w:pPr/>
      <w:r>
        <w:rPr>
          <w:b/>
        </w:rPr>
        <w:t>POSSIBLE 2023:</w:t>
      </w:r>
      <w:r>
        <w:t xml:space="preserve"> FengWu: Pushing the Skillful Global Medium-range Weather Forecast beyond 10 Days Lead — https://doi.org/10.48550/arxiv.2304.02948</w:t>
      </w:r>
    </w:p>
    <w:p>
      <w:pPr/>
      <w:r>
        <w:rPr>
          <w:b/>
        </w:rPr>
        <w:t>Shared claim-specific concepts:</w:t>
      </w:r>
      <w:r>
        <w:t xml:space="preserve"> first, weather, able; EU scope not established. This is a provisional connection, not an outcome finding.</w:t>
      </w:r>
    </w:p>
    <w:p>
      <w:pPr>
        <w:pStyle w:val="SourceNote"/>
      </w:pPr>
      <w:r>
        <w:rPr>
          <w:b/>
        </w:rPr>
        <w:t>Available abstract (not full text):</w:t>
      </w:r>
      <w:r>
        <w:t xml:space="preserve"> We present FengWu, an advanced data-driven global medium-range weather forecast system based on Artificial Intelligence (AI). Different from existing data-driven weather forecast methods, FengWu solves the medium-range forecast problem from a multi-modal and multi-task perspective. Specifically, a deep learning architecture equipped with model-specific encoder-decoders and cross-modal fusion Transformer is elaborately designed, which is learned under the supervision of an uncertainty loss to balance the optimization of different predictors in a region-adaptive manner. Besides this, a replay buffer mechanism is introduced to improve medium-range forecast performance. With 39-year data training based on the ERA5 reanalysis, FengWu is able to accurately reproduce the atmospheric dynamics and predict the future land and atmosphere states at 37 vertical levels on a 0.25° latitude-longitude resolution. Hindcasts of 6-hourly weather in 2018 based on ERA5 demonstrate that FengWu performs better than GraphCast in predicting 80\% of the 880 reported predictands, e.g., reducing the root mean square error (RMSE) of 10-day lead global z500 prediction from 733 to 651 $m^{2}/s^2$. In addition, the inference cost of each iteration is merely 600ms on NVIDIA Tesla A100 hardware. The results suggest that FengWu can significantly improve the forecast skill and extend the skillful global medium-ran</w:t>
      </w:r>
    </w:p>
    <w:p>
      <w:pPr/>
      <w:r>
        <w:rPr>
          <w:b/>
        </w:rPr>
        <w:t>POSSIBLE 2022:</w:t>
      </w:r>
      <w:r>
        <w:t xml:space="preserve"> Implementation of European Drone Regulations - Status Quo and Assessment — https://doi.org/10.1007/s10846-022-01714-0</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pPr>
        <w:pStyle w:val="Heading2"/>
      </w:pPr>
      <w:r>
        <w:t>751.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2025:</w:t>
      </w:r>
      <w:r>
        <w:t xml:space="preserve"> A Uncertainty-Calibrated Transformer for Long-Horizon Forecasting with Missing and Irregular Observations — https://doi.org/10.71465/fair538</w:t>
      </w:r>
    </w:p>
    <w:p>
      <w:pPr/>
      <w:r>
        <w:rPr>
          <w:b/>
        </w:rPr>
        <w:t>Shared claim-specific concepts:</w:t>
      </w:r>
      <w:r>
        <w:t xml:space="preserve"> yet, energy, consumption, increasing, providing; EU scope not established. This is a provisional connection, not an outcome finding.</w:t>
      </w:r>
    </w:p>
    <w:p>
      <w:pPr>
        <w:pStyle w:val="SourceNote"/>
      </w:pPr>
      <w:r>
        <w:rPr>
          <w:b/>
        </w:rPr>
        <w:t>Available abstract (not full text):</w:t>
      </w:r>
      <w:r>
        <w:t xml:space="preserve"> The proliferation of Internet of Things (IoT) devices and distributed sensor networks has resulted in an explosion of time-series data, yet the utility of this data is frequently compromised by irregularities, such as missing observations, non-uniform sampling rates, and sensor failures. While Transformer-based architectures have established a new state-of-the-art in sequence modeling, standard implementations rely implicitly on fixed-interval discrete time steps, rendering them suboptimal for irregular temporal environments. Furthermore, long-horizon forecasting inherently involves accumulating errors, necessitating robust uncertainty quantification to support downstream decision-making processes. This paper introduces the Uncertainty-Calibrated Continuous Transformer (UCCT), a novel architecture designed to address these dual challenges simultaneously. We propose a continuous-time positional encoding mechanism that leverages the temporal timestamps directly, decoupling the model from the rigid index-based sequence assumption. Additionally, we integrate a probabilistic decoding head that outputs distributional parameters rather than point estimates, calibrated via a composite loss function balancing accuracy and aleatoric uncertainty estimation. Extensive experiments on real-world datasets, including energy consumption, meteorology, and healthcare telemetry, demonstrate that t</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horizon, all, renewable, energy, increasing, trend;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pStyle w:val="Heading2"/>
      </w:pPr>
      <w:r>
        <w:t>752.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2025:</w:t>
      </w:r>
      <w:r>
        <w:t xml:space="preserve"> Voices heard and unheard: Analizing legislative amendment proposals on underprivileged groups in Spain — https://doi.org/10.1093/pa/gsaf047</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Abstract This paper explores the circumstances under which parliamentary groups reference underprivileged groups—specifically, women, immigrants and people with disabilities –in their legislative amendment proposals. Drawing on a comprehensive dataset covering all executive bills passed in Spain between 1996 and 2023, we find that the presence of interest groups in parliamentary hearings significantly increases the visibility of the underprivileged in the amending activity of political parties, thereby enhancing their representation. Similarly, a higher proportion of women Members of Parliament (MPs) in a parliamentary group is associated with more frequent amendments referencing women and people with disabilities, while there is some evidence, albeit less conclusive, of a similar effect for immigrants. Media coverage boosts attention to women and people with disabilities, but has no significant impact on references to immigrants. Surprisingly, partisan preferences have no influence on references to women and immigrants in amendment proposals; however, right-wing parties are more likely to reference people with disabilities. These findings contribute fresh insights into the dynamics of legislative behavior, representation, and the presence of interest groups in parliamentary processes.</w:t>
      </w:r>
    </w:p>
    <w:p>
      <w:pPr/>
      <w:r>
        <w:rPr>
          <w:b/>
        </w:rPr>
        <w:t>POSSIBLE 2025:</w:t>
      </w:r>
      <w:r>
        <w:t xml:space="preserve"> A consensus model in legislative decision‐making: The council of the European Union — https://doi.org/10.1002/epa2.70005</w:t>
      </w:r>
    </w:p>
    <w:p>
      <w:pPr/>
      <w:r>
        <w:rPr>
          <w:b/>
        </w:rPr>
        <w:t>Shared claim-specific concepts:</w:t>
      </w:r>
      <w:r>
        <w:t xml:space="preserve"> legislative, set, council, union; EU scope visible. This is a provisional connection, not an outcome finding.</w:t>
      </w:r>
    </w:p>
    <w:p>
      <w:pPr>
        <w:pStyle w:val="SourceNote"/>
      </w:pPr>
      <w:r>
        <w:rPr>
          <w:b/>
        </w:rPr>
        <w:t>Available abstract (not full text):</w:t>
      </w:r>
      <w:r>
        <w:t xml:space="preserve"> Abstract The culture of consensus influences legislative decision‐making within the Council of the European Union, often leading to broad coalitions in which even the preferences of isolated member states are considered. Nevertheless, despite its significance, this culture has been insufficiently studied through formal models predicting EU legislative outcomes. This paper presents the Consensus model, a mixture of the procedural and bargaining approaches, accounting for the culture of consensus. This iterative model starts from the Commission's ideal stance and persists until no member state challenges a policy position, which then becomes the adopted outcome. The European Parliament contributes to shaping the trajectory from the Commission's proposal to the final result. Using the DEU‐III data set, I assess the Consensus model's predictive ability, demonstrating its superior performance compared to two random outcome models. Notably, the Consensus model performs on par with the Nash bargaining model.</w:t>
      </w:r>
    </w:p>
    <w:p>
      <w:pPr/>
      <w:r>
        <w:rPr>
          <w:b/>
        </w:rPr>
        <w:t>POSSIBLE 2025:</w:t>
      </w:r>
      <w:r>
        <w:t xml:space="preserve"> Exploring Maternity Leave Policies in European Union Countries: A Legislative Review — https://doi.org/10.2174/0118749445325867250107111901</w:t>
      </w:r>
    </w:p>
    <w:p>
      <w:pPr/>
      <w:r>
        <w:rPr>
          <w:b/>
        </w:rPr>
        <w:t>Shared claim-specific concepts:</w:t>
      </w:r>
      <w:r>
        <w:t xml:space="preserve"> however, legislative, number, set, union; EU scope visible. This is a provisional connection, not an outcome finding.</w:t>
      </w:r>
    </w:p>
    <w:p>
      <w:pPr>
        <w:pStyle w:val="SourceNote"/>
      </w:pPr>
      <w:r>
        <w:rPr>
          <w:b/>
        </w:rPr>
        <w:t>Available abstract (not full text):</w:t>
      </w:r>
      <w:r>
        <w:t xml:space="preserve"> Background The European Union promotes gender equality, and it has implemented comprehensive policies to support families and promote work-life balance, including maternity leave regulations. This paper aimed to provide a review of maternity leave regulations in the European Union. Methods A review of the legislative framework was carried out for each of the 27 EU member states by researching the online institutional repositories. Population size, gross domestic product, gross domestic product per capita, unemployment rate, and the average number of children in each family were the factors taken under consideration. Results The EU has set a minimum standard of 14 weeks of fully paid maternity leave. However, several EU countries offer over 30 weeks of paid maternity leave, as well as additional parental leave, paid paternity leave, and flexible work arrangements to support families. The country with the longest maternity leave is Sweden, whose laws grant a considerable number of days (up to 480 in between the two parents). This might be a crucial factor of the welfare system that sees the highest EU average in children per household percentage. Conclusion While progress has been made in Europe with regard to family policies and maternity leave, there is still room for a better promotion of workplace gender equality.</w:t>
      </w:r>
    </w:p>
    <w:p>
      <w:pPr/>
      <w:r>
        <w:rPr>
          <w:b/>
        </w:rPr>
        <w:t>POSSIBLE 2024:</w:t>
      </w:r>
      <w:r>
        <w:t xml:space="preserve"> DIGITALISED WORK OF WOMEN IN THE EUROPEAN UNION AND POLISH REGULATION AND LEGISLATIVE PROPOSALS — https://doi.org/10.31338/2544-3135.si.2024-99.4</w:t>
      </w:r>
    </w:p>
    <w:p>
      <w:pPr/>
      <w:r>
        <w:rPr>
          <w:b/>
        </w:rPr>
        <w:t>Shared claim-specific concepts:</w:t>
      </w:r>
      <w:r>
        <w:t xml:space="preserve"> however, legislative, proposals, union; EU scope visible. This is a provisional connection, not an outcome finding.</w:t>
      </w:r>
    </w:p>
    <w:p>
      <w:pPr>
        <w:pStyle w:val="SourceNote"/>
      </w:pPr>
      <w:r>
        <w:rPr>
          <w:b/>
        </w:rPr>
        <w:t>Available abstract (not full text):</w:t>
      </w:r>
      <w:r>
        <w:t xml:space="preserve">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pPr>
        <w:pStyle w:val="Heading2"/>
      </w:pPr>
      <w:r>
        <w:t>753.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r>
        <w:rPr>
          <w:b/>
        </w:rPr>
        <w:t>POSSIBLE 2019:</w:t>
      </w:r>
      <w:r>
        <w:t xml:space="preserve"> European Union Litigation — https://doi.org/10.1515/ercl-2019-0005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mid-July 2018 and the end of January 2019.</w:t>
      </w:r>
    </w:p>
    <w:p>
      <w:pPr/>
      <w:r>
        <w:rPr>
          <w:b/>
        </w:rPr>
        <w:t>POSSIBLE 2019:</w:t>
      </w:r>
      <w:r>
        <w:t xml:space="preserve"> THE TREATIES OF POŽAREVAC AND THEIR IMPACT ON EUROPE — https://doi.org/10.19090/i.2019.30.87-96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focuses on the three treaties which were signed in 1718 in Požarevac between Vienna, Constantinople and Venice. The reason for this is the large and long impact which can be observed until the present day, not only regarding these three powers or the Balkans, but the whole Europe. Although the political, juridical, economic and social consequences of these treaties ended mostly at the end of the First World War, the communication infrastructure, the knowledge culture and the mental effects have kept their actuality since the 18th century until today.</w:t>
      </w:r>
    </w:p>
    <w:p>
      <w:pPr>
        <w:pStyle w:val="Heading2"/>
      </w:pPr>
      <w:r>
        <w:t>754.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755.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pStyle w:val="Heading2"/>
      </w:pPr>
      <w:r>
        <w:t>756.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r>
        <w:rPr>
          <w:b/>
        </w:rPr>
        <w:t>POSSIBLE 2025:</w:t>
      </w:r>
      <w:r>
        <w:t xml:space="preserve"> Storylines reveal contrasting thermodynamic effects of climate change on 2020/21 East Asian cold extremes — https://doi.org/10.1038/s41612-025-01031-x</w:t>
      </w:r>
    </w:p>
    <w:p>
      <w:pPr/>
      <w:r>
        <w:rPr>
          <w:b/>
        </w:rPr>
        <w:t>Shared claim-specific concepts:</w:t>
      </w:r>
      <w:r>
        <w:t xml:space="preserve"> based, contrasting, storylines, different, here; EU scope not established. This is a provisional connection, not an outcome finding.</w:t>
      </w:r>
    </w:p>
    <w:p>
      <w:pPr>
        <w:pStyle w:val="SourceNote"/>
      </w:pPr>
      <w:r>
        <w:rPr>
          <w:b/>
        </w:rPr>
        <w:t>Available abstract (not full text):</w:t>
      </w:r>
      <w:r>
        <w:t xml:space="preserve"> Abstract The changing character of mid-latitude cold air outbreaks in a warming climate remains unclear, primarily due to uncertainty associated with changing atmospheric dynamics. Here, we employ an event-based storyline approach in which the evolution of the large-scale atmospheric circulation is nudged to reanalysis data at different global warming levels based on historical and medium-to-high-emission scenario simulations. We thereby quantify the thermodynamic climate-change effects of pre-industrial, 2 °C and 4 °C warmer climates compared to present-day climate for three cold surges in East Asia during winter 2020/21. The strongest warming occurs over northeast Asia, reaching up to +12 °C in a + 4 °C warmer climate and caused by the advection of less cold air from winter ice-free regions in the Arctic, where surface air temperature increases by over +20 °C. In contrast, over southern China, a moderate cooling is found from pre-industrial to present-day climates, due to the observed increase in aerosol concentration, peaking by the mid-21 st century and altering radiative balances. This cooling effect is likely to persist well into a + 2 °C-warmer climate; however, it may become undetectable at the end of the 21 st century (+4 °C warming). Our findings underscore the important thermodynamic impact associated with Arctic amplification and cooling effect of aerosol-induced ch</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r>
        <w:rPr>
          <w:b/>
        </w:rPr>
        <w:t>POSSIBLE 2024:</w:t>
      </w:r>
      <w:r>
        <w:t xml:space="preserve"> Use of synanthropic roosts by bats in Europe and North America — https://doi.org/10.1111/mam.12380</w:t>
      </w:r>
    </w:p>
    <w:p>
      <w:pPr/>
      <w:r>
        <w:rPr>
          <w:b/>
        </w:rPr>
        <w:t>Shared claim-specific concepts:</w:t>
      </w:r>
      <w:r>
        <w:t xml:space="preserve"> abstract, based, contrasting, used, ways; EU scope visible. This is a provisional connection, not an outcome finding.</w:t>
      </w:r>
    </w:p>
    <w:p>
      <w:pPr>
        <w:pStyle w:val="SourceNote"/>
      </w:pPr>
      <w:r>
        <w:rPr>
          <w:b/>
        </w:rPr>
        <w:t>Available abstract (not full text):</w:t>
      </w:r>
      <w:r>
        <w:t xml:space="preserve">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pPr/>
      <w:r>
        <w:rPr>
          <w:b/>
        </w:rPr>
        <w:t>POSSIBLE 2024:</w:t>
      </w:r>
      <w:r>
        <w:t xml:space="preserve"> Event-dependent changes of recent European droughts in a warming climate using event-based storyline simulations. — https://doi.org/10.5194/ems2024-902</w:t>
      </w:r>
    </w:p>
    <w:p>
      <w:pPr/>
      <w:r>
        <w:rPr>
          <w:b/>
        </w:rPr>
        <w:t>Shared claim-specific concepts:</w:t>
      </w:r>
      <w:r>
        <w:t xml:space="preserve"> explore, different, resources, recent; EU scope visible. This is a provisional connection, not an outcome finding.</w:t>
      </w:r>
    </w:p>
    <w:p>
      <w:pPr>
        <w:pStyle w:val="SourceNote"/>
      </w:pPr>
      <w:r>
        <w:rPr>
          <w:b/>
        </w:rPr>
        <w:t>Available abstract (not full text):</w:t>
      </w:r>
      <w:r>
        <w:t xml:space="preserve"> Climate change is increasing the intensity, frequency, and persistence of droughts, as observed by the recent record-breaking events in Europe. Two factors contribute to this intensification: dynamic changes —changes in the likelihood of weather patterns— and thermodynamic changes. While the former are uncertain in future climate projections, the latter are characterized by a high signal-to-noise ratio, as there is a robust and ubiquitous rise in land-surface temperatures.To better analyze the contributions of these factors, we utilize the so-called "event-based storyline approach". This involves nudging our global CMIP6 coupled climate model (AWI-CM1) towards the observed (according to ERA5) large-scale free-troposphere winds using various climate background conditions and initial states. In contrast, the model reproduces the circulation in the atmospheric boundary layer and the rest of the variables. This enables us to simulate the same weather conditions (including jet streams, ridges and blockings) in different climates: preindustrial, present, and 2 °C, 3 °C, and 4 ºC warmer worlds. This method creates an efficient way of showing experts and non-experts the consequences of climate change by describing the storyline of specific extreme events in different plausible climates using moderate computational resources.Focusing on Europe, our simulations successfully replicate rec</w:t>
      </w:r>
    </w:p>
    <w:p>
      <w:pPr>
        <w:pStyle w:val="Heading2"/>
      </w:pPr>
      <w:r>
        <w:t>757.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2024:</w:t>
      </w:r>
      <w:r>
        <w:t xml:space="preserve"> The Legal Governance of Geothermal Energy in Europe: A Historical Review and an Indicator Analysis — https://doi.org/10.4236/blr.2024.152048</w:t>
      </w:r>
    </w:p>
    <w:p>
      <w:pPr/>
      <w:r>
        <w:rPr>
          <w:b/>
        </w:rPr>
        <w:t>Shared claim-specific concepts:</w:t>
      </w:r>
      <w:r>
        <w:t xml:space="preserve"> historical, database, energy; EU scope visible. This is a provisional connection, not an outcome finding.</w:t>
      </w:r>
    </w:p>
    <w:p>
      <w:pPr>
        <w:pStyle w:val="SourceNote"/>
      </w:pPr>
      <w:r>
        <w:rPr>
          <w:b/>
        </w:rPr>
        <w:t>Available abstract (not full text):</w:t>
      </w:r>
      <w:r>
        <w:t xml:space="preserve"> Along with decarbonization, the importance of renewable energy has increased significantly in the European Union (EU) since the turn of the century, and even more during the war in Ukraine. This study is an indication of how legislation making can be more a driver than an obstacle for innovation. The applied methodology includes an in-depth review of ca. 200 pieces of the EU legislation of the last half century, and a text mining exercise in the EU EUR-LEX database to provide a quantitative set of scores independent of the subjective expert judgment. The historical review of the EU law (“acquis”) reveals that many aspects of the geothermal value chain are covered by the acquis. The quantitative text search of EU policy documents and legal pieces indicates how the intensity of policy making correlates with major drivers on energy and on renewable energy. The regulatory environment of exploration and extraction of high enthalpy geothermal energy is similar to that for hydrocarbons, so some EU member states apply the Hydrocarbons Directive (Annex 32) voluntarily. The legislation on low enthalpy geothermal projects is more detailed regarding technical safety, water management, environment and energy efficiency. Because of conflicts with other emerging subsurface resource uses, such as groundwater/gas/carbon storage and urban underground infrastructure, there is a need for coherent </w:t>
      </w:r>
    </w:p>
    <w:p>
      <w:pPr/>
      <w:r>
        <w:rPr>
          <w:b/>
        </w:rPr>
        <w:t>POSSIBLE 2024:</w:t>
      </w:r>
      <w:r>
        <w:t xml:space="preserve"> A global FAOSTAT reference database of cropland nutrient budgets and nutrient use efficiency (1961–2020): nitrogen, phosphorus and potassium — https://doi.org/10.5194/essd-16-525-2024</w:t>
      </w:r>
    </w:p>
    <w:p>
      <w:pPr/>
      <w:r>
        <w:rPr>
          <w:b/>
        </w:rPr>
        <w:t>Shared claim-specific concepts:</w:t>
      </w:r>
      <w:r>
        <w:t xml:space="preserve"> data, database, work; EU scope not established. This is a provisional connection, not an outcome finding.</w:t>
      </w:r>
    </w:p>
    <w:p>
      <w:pPr>
        <w:pStyle w:val="SourceNote"/>
      </w:pPr>
      <w:r>
        <w:rPr>
          <w:b/>
        </w:rPr>
        <w:t>Available abstract (not full text):</w:t>
      </w:r>
      <w:r>
        <w:t xml:space="preserve"> Abstract. Nutrient budgets help to identify excess or insufficient use of fertilizers and other nutrient sources in agriculture. They allow calculation of indicators such as the nutrient balance (surplus or deficit) and nutrient use efficiency that help in monitoring of agricultural productivity and sustainability across the world. We present a global database of country-level budget estimates for nitrogen (N), phosphorus (P) and potassium (K) in cropland. The database, disseminated in FAOSTAT, is meant to provide a global reference, synthesizing and continuously updating the state-of-the-art on this topic. The database covers 205 countries and territories, as well as regional and global aggregates, for the period 1961 to 2020. Results highlight the wide range in nutrient use and use efficiencies across geographic regions, nutrients, and time. For the year 2020, the data show regional average N surpluses that range from about 10 kg N ha-1 year-1 in Africa to more than 90 kg N ha-1 year-1 in Asia. Furthermore, they highlight P and K deficits in Africa in 2020 and K deficits for the Americas. This study introduces improvements over previous work in relation to key nutrient coefficients affecting nutrient budgets and use efficiency estimates, especially for nutrient removal in crop products, manure nutrient content, atmospheric deposition and crop biological N fixation rates. We c</w:t>
      </w:r>
    </w:p>
    <w:p>
      <w:pPr>
        <w:pStyle w:val="Heading2"/>
      </w:pPr>
      <w:r>
        <w:t>758.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r>
        <w:rPr>
          <w:b/>
        </w:rPr>
        <w:t>POSSIBLE 2025:</w:t>
      </w:r>
      <w:r>
        <w:t xml:space="preserve"> Dynamics of Lower–Middle Atmospheric Coupling in Climate and Weather Systems — https://doi.org/10.29070/hemd0a56</w:t>
      </w:r>
    </w:p>
    <w:p>
      <w:pPr/>
      <w:r>
        <w:rPr>
          <w:b/>
        </w:rPr>
        <w:t>Shared claim-specific concepts:</w:t>
      </w:r>
      <w:r>
        <w:t xml:space="preserve"> climate, atmospheric, progress, increase; EU scope not established. This is a provisional connection, not an outcome finding.</w:t>
      </w:r>
    </w:p>
    <w:p>
      <w:pPr>
        <w:pStyle w:val="SourceNote"/>
      </w:pPr>
      <w:r>
        <w:rPr>
          <w:b/>
        </w:rPr>
        <w:t>Available abstract (not full text):</w:t>
      </w:r>
      <w:r>
        <w:t xml:space="preserve"> Daily weather systems and global climate patterns are significantly influenced by the interaction between the lower and middle atmosphere. By facilitating the movement of momentum, energy, and heat across atmospheric layers, dynamic processes including gravity waves, planetary waves, and wave–mean flow interactions connect tropospheric disturbances with stratospheric and mesospheric reactions. Large-scale circulation characteristics like the quasi-biennial oscillation, stratospheric warming episodes, and meridional transport networks are shaped by even small-scale tropospheric disturbances, which have been shown to increase dramatically with altitude in both historical and modern studies. These processes show that the atmosphere functions as a single, interrelated system as opposed to separate levels. The progress of scientific knowledge about lower-middle atmospheric coupling is reviewed in this work, along with the main driving mechanisms governing vertical interactions and their significance for weather dynamics and climate variability. In order to increase forecasting and prediction accuracy, the research highlights the need of integrating these coupling mechanisms into climate models by combining observational data with theoretical advancements.</w:t>
      </w:r>
    </w:p>
    <w:p>
      <w:pPr/>
      <w:r>
        <w:rPr>
          <w:b/>
        </w:rPr>
        <w:t>POSSIBLE 2025:</w:t>
      </w:r>
      <w:r>
        <w:t xml:space="preserve"> Synergistic Effects and Optimization Strategies for Atmospheric Mercury Control under Global Climate Pathways Aligned with the 2℃ Target — https://doi.org/10.3724/j.issn.2097-4981.jecc-2025-0019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为实现全球2℃温控目标，各国正积极在能源与工业领域采取减少煤炭使用和推动能源转型等措施以降低二氧化碳（CO2）排放。由于CO2与大气汞排放具有同根同源性，能源与工业领域气候变化减缓策略将深刻影响大气汞排放的时空格局与来源结构。为协同推进全球《巴黎协定》2℃温控目标与《关于汞的水俣公约》履约要求，亟需揭示能源与工业领域碳减排措施对大气汞减排的协同效应机制并制定优化减排路径。鉴于此，本研究聚焦燃煤使用、工业生产（有色金属、钢铁、水泥和大规模黄金生产）以及手工和小规模金矿开采等关键活动，基于全球变化综合评估模型与排放清单核算模型，评估了全球31个国家或区域在2℃温控目标下气候变化减缓策略对汞排放的影响，刻画了2020-2050年汞排放的时空演化趋势与结构特征。研究表明，气候政策推动煤炭消耗减少显著降低了燃煤汞排放，预计燃煤汞排放将从2020年374吨降至2050年35吨。相比之下，清洁能源技术（如风力涡轮机和太阳能设备）等的大规模建设将推动关键工业产品需求的增加。结果显示，若保持现有污染控制水平，工业汞排放量将从479吨增至620吨。若提升污染控制设备安装率可使工业汞排放降低75.3%至118吨。研究为优化多污染减排策略、提高环境治理效能提供了理论依据，为各国实现碳中和目标并履行《关于汞的水俣公约》提供了重要参考。</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2024:</w:t>
      </w:r>
      <w:r>
        <w:t xml:space="preserve"> Understsanding the Effects of UV Radiation on Climate Change: A Comprehensive Review — https://doi.org/10.70436/nuijb.v3i02.303</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‌This review paper explores the intricate relationship between ultraviolet (UV) radiation and climate change, delving into its multifaceted effects on atmospheric processes, global temperature dynamics, biological entities, and the intricate feedback mechanisms that shape the Earth's climate. Beginning with an examination of UV radiation's interaction with the atmosphere, we uncover its role in ozone layer dynamics and its potential to influence atmospheric circulation patterns.The discussion extends to the impact of UV radiation on global temperature patterns, emphasizing its contribution to the Earth's energy balance and its interaction with greenhouse gases. Moving beyond climatic elements, we explore the biological impacts of UV radiation, encompassing its effects on human health, plant productivity, and aquatic ecosystems. We unveil the intricate feedback loops, revealing how changes induced by UV radiation can cascade through the atmosphere, ecosystems, and human societies.The technological and policy implications are scrutinized, highlighting innovations in monitoring and mitigation strategies alongside international policies crafted to address UV radiation's impact on climate change. Looking toward the future, the paper offers insights into potential advancements, challenges, and opportunities, emphasizing the need for ongoing research, global collaboration, and sustain</w:t>
      </w:r>
    </w:p>
    <w:p>
      <w:pPr>
        <w:pStyle w:val="Heading2"/>
      </w:pPr>
      <w:r>
        <w:t>759.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r>
        <w:rPr>
          <w:b/>
        </w:rPr>
        <w:t>POSSIBLE 2024:</w:t>
      </w:r>
      <w:r>
        <w:t xml:space="preserve"> Two decades of changing dependency on Russian gas in Central and Eastern Europe: strategies versus achievements — https://doi.org/10.1080/14782804.2024.2385978</w:t>
      </w:r>
    </w:p>
    <w:p>
      <w:pPr/>
      <w:r>
        <w:rPr>
          <w:b/>
        </w:rPr>
        <w:t>Shared claim-specific concepts:</w:t>
      </w:r>
      <w:r>
        <w:t xml:space="preserve"> energy, dependency, reduced; EU scope visible. This is a provisional connection, not an outcome finding.</w:t>
      </w:r>
    </w:p>
    <w:p>
      <w:pPr>
        <w:pStyle w:val="SourceNote"/>
      </w:pPr>
      <w:r>
        <w:rPr>
          <w:b/>
        </w:rPr>
        <w:t>Available abstract (not full text):</w:t>
      </w:r>
      <w:r>
        <w:t xml:space="preserve"> The Eastern enlargements of the EU increased the bloc’s dependency on Russian gas and contributed to a more cautious attitude towards these supplies. This paper assesses the Russian gas dependency of the 11 Central and East European new member states according to the ambition and execution of their national energy strategies and compares it to the gas dependency shifts in the old member states. Two composite indicators of gas dependency – one for supply and one for demand – based on nine individual indicators were used for this evaluation, calculated for 2004, 2019, and 2022. We find that the new member states mostly reduced gas dependency through supply-side measures, while old member states increased dependency through some combination of worsening supply- or demand-side situations until Russia’s 2022 invasion of Ukraine. The behaviour of member states was influenced by different perceptions of vulnerability and a varying sense of threat in the pre-war period. The old member states did not perceive their Russian gas dependency as a significant risk, whereas the new member states viewed this as a high-risk factor. New gas infrastructure capacity has contributed to diversification from Russia, but reducing gas demand did not receive much attention before the invasion.</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pStyle w:val="Heading2"/>
      </w:pPr>
      <w:r>
        <w:t>760.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2023:</w:t>
      </w:r>
      <w:r>
        <w:t xml:space="preserve"> Influence of Climate and Geographical Location on the Development of Scientific Knowledge In Europe and Asia — https://openalex.org/W7215669423</w:t>
      </w:r>
    </w:p>
    <w:p>
      <w:pPr/>
      <w:r>
        <w:rPr>
          <w:b/>
        </w:rPr>
        <w:t>Shared claim-specific concepts:</w:t>
      </w:r>
      <w:r>
        <w:t xml:space="preserve"> knowledge, natural, climate; EU scope visible. This is a provisional connection, not an outcome finding.</w:t>
      </w:r>
    </w:p>
    <w:p>
      <w:pPr>
        <w:pStyle w:val="SourceNote"/>
      </w:pPr>
      <w:r>
        <w:rPr>
          <w:b/>
        </w:rPr>
        <w:t>Available abstract (not full text):</w:t>
      </w:r>
      <w:r>
        <w:t xml:space="preserve"> Does this mean that geographical factors determine the fate of a country's development? If yes, to what extent? If not, what measures should be taken to ensure long-term economic growth? We will try to shed light on these and other questions in this article. Geographically isolated countries and their common problems, it is no secret that the development of a country is significantly influenced by its geographical location and natural features.</w:t>
      </w:r>
    </w:p>
    <w:p>
      <w:pPr/>
      <w:r>
        <w:rPr>
          <w:b/>
        </w:rPr>
        <w:t>POSSIBLE 2023:</w:t>
      </w:r>
      <w:r>
        <w:t xml:space="preserve"> Techno-economic analysis of underground hydrogen storage in Europe — https://doi.org/10.1016/j.isci.2023.108771</w:t>
      </w:r>
    </w:p>
    <w:p>
      <w:pPr/>
      <w:r>
        <w:rPr>
          <w:b/>
        </w:rPr>
        <w:t>Shared claim-specific concepts:</w:t>
      </w:r>
      <w:r>
        <w:t xml:space="preserve"> knowledge, information, three; EU scope visible. This is a provisional connection, not an outcome finding.</w:t>
      </w:r>
    </w:p>
    <w:p>
      <w:pPr>
        <w:pStyle w:val="SourceNote"/>
      </w:pPr>
      <w:r>
        <w:rPr>
          <w:b/>
        </w:rPr>
        <w:t>Available abstract (not full text):</w:t>
      </w:r>
      <w:r>
        <w:t xml:space="preserve"> Hydrogen storage is crucial to developing secure renewable energy systems to meet the European Union's 2050 carbon neutrality objectives. However, a knowledge gap exists concerning the site-specific performance and economic viability of utilizing underground gas storage (UGS) sites for hydrogen storage in Europe. We compile information on European UGS sites to assess potential hydrogen storage capacity and evaluate the associated current and future costs. The total hydrogen storage potential in Europe is 349 TWh of working gas energy (WGE), with site-specific capital costs ranging from $10 million to $1 billion. Porous media and salt caverns, boasting a minimum storage capacity of 0.5 TWh WGE, exhibit levelized costs of $1.5 and $0.8 per kilogram of hydrogen, respectively. It is estimated that future levelized costs associated with hydrogen storage can potentially decrease to as low as $0.4 per kilogram after three experience cycles. Leveraging these techno-economic considerations, we identify suitable storage sites.</w:t>
      </w:r>
    </w:p>
    <w:p>
      <w:pPr>
        <w:pStyle w:val="Heading2"/>
      </w:pPr>
      <w:r>
        <w:t>761.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qualitative;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Health at a Glance: Europe 2022 — https://doi.org/10.1787/507433b0-en</w:t>
      </w:r>
    </w:p>
    <w:p>
      <w:pPr/>
      <w:r>
        <w:rPr>
          <w:b/>
        </w:rPr>
        <w:t>Shared claim-specific concepts:</w:t>
      </w:r>
      <w:r>
        <w:t xml:space="preserve"> strong, set; EU scope visible. This is a provisional connection, not an outcome finding.</w:t>
      </w:r>
    </w:p>
    <w:p>
      <w:pPr>
        <w:pStyle w:val="SourceNote"/>
      </w:pPr>
      <w:r>
        <w:rPr>
          <w:b/>
        </w:rPr>
        <w:t>Available abstract (not full text):</w:t>
      </w:r>
      <w:r>
        <w:t xml:space="preserve"> The last two years have seen multiple crises considerably impacting citizens' physical and mental health, as well as posing a significant threat to the global economy and societal well-being.As EU and OECD economies gradually recover from the critical phase of the COVID-19 pandemic, their economic and social outlooks have become more uncertain following Russia's war of aggression against Ukraine.Major hikes in energy and commodity prices have aggravated inflationary pressures at a time when a cost-of-living crisis was already taking a heavy toll on economies and societies everywhere, and especially low-income households.It is in this uncertain geopolitical, economic and public health environment that we are releasing this 2022 edition of Health at a Glance: Europe, a visible output of the continued strong collaboration between the European Commission and the OECD.Promoting better public health and stronger health systems in Europe and around the world remain strategic priorities for both the European Commission and OECD.Moreover, for the first time, this edition of Health at a Glance: Europe reports key indicators of health and health systems for Ukraine and Moldova.The focus of this edition is on:  Strengthening the resilience of health systems, crisis preparedness and response capacity through targeted investments; Promoting better prevention and treatment of cancer and oth</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increase, climate, starting;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pStyle w:val="Heading2"/>
      </w:pPr>
      <w:r>
        <w:t>762.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European Beech Forests in Austria—Current Distribution and Possible Future Habitat — https://doi.org/10.3390/f14102019</w:t>
      </w:r>
    </w:p>
    <w:p>
      <w:pPr/>
      <w:r>
        <w:rPr>
          <w:b/>
        </w:rPr>
        <w:t>Shared claim-specific concepts:</w:t>
      </w:r>
      <w:r>
        <w:t xml:space="preserve"> business-as-usual, bau, increase, increases; EU scope visible. This is a provisional connection, not an outcome finding.</w:t>
      </w:r>
    </w:p>
    <w:p>
      <w:pPr>
        <w:pStyle w:val="SourceNote"/>
      </w:pPr>
      <w:r>
        <w:rPr>
          <w:b/>
        </w:rPr>
        <w:t>Available abstract (not full text):</w:t>
      </w:r>
      <w:r>
        <w:t xml:space="preserve"> A change in tree species composition in Central Europe to increase the resilience of forests when coping with climate change effects is imminent. We evaluated the present and expected future role of the European beech, (Fagus sylvatica L.), with respect to the expansion of its habitat and its stem. We assessed the current relevance of beech from data of the Austrian Forest Inventory 2007/09, and analyzed forest policies promoting the establishment of beech forests. We simulated forest growth with the model CALDIS, linked with the timber-market model FOHOW2. We used a business-as-usual (BAU) forest management strategy under moderate (RCP 4.5 BAU) or extreme (RCP 8.5 BAU) climate change. We also simulated an extreme climate change scenario with a forced change in the tree species composition (RCP 8.5 Change Species). Beech occurs in Austrian forests over the elevational gradient of 250 to 1600 m a.s.l. In low elevation, it forms beech-dominated forests, often for the supply of the domestic fuelwood demand. In mountain regions, beech enriches the diversity of Norway spruce, (Picea abies (L.) H. Karst.)-dominated forests. In a BAU setting, the habitat of beech increases only slightly in both climate scenarios. The scenario ‘RCP 8.5 Change Species’ increases the habitat of beech in the next 60 years considerably. With progressing warming, other broadleaved tree species gain relevanc</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r>
        <w:rPr>
          <w:b/>
        </w:rPr>
        <w:t>POSSIBLE 2022:</w:t>
      </w:r>
      <w:r>
        <w:t xml:space="preserve"> Ecosystem-based fisheries management increases catch and carbon sequestration through recovery of exploited stocks: The western Baltic Sea case study — https://doi.org/10.3389/fmars.2022.879998</w:t>
      </w:r>
    </w:p>
    <w:p>
      <w:pPr/>
      <w:r>
        <w:rPr>
          <w:b/>
        </w:rPr>
        <w:t>Shared claim-specific concepts:</w:t>
      </w:r>
      <w:r>
        <w:t xml:space="preserve"> bau, compared, increases; EU scope visible. This is a provisional connection, not an outcome finding.</w:t>
      </w:r>
    </w:p>
    <w:p>
      <w:pPr>
        <w:pStyle w:val="SourceNote"/>
      </w:pPr>
      <w:r>
        <w:rPr>
          <w:b/>
        </w:rPr>
        <w:t>Available abstract (not full text):</w:t>
      </w:r>
      <w:r>
        <w:t xml:space="preserve"> Legal requirement in Europe asks for Ecosystem-Based Fisheries Management (EBFM) in European seas, including consideration of trophic interactions and minimization of negative impacts of fishing on food webs and ecosystem functioning. This study presents the first mass-balanced ecosystem model focused on the western Baltic Sea (WBS). Results show that heavy fishing pressure exerted on the WBS has forced top predators such as harbour porpoise and cod to cover their dietary needs by shifting from forage fish to other prey or find food outside of the model area. The model was then developed to explore the dynamics of four future fishery scenarios: (1) business as usual (BAU), (2) maximum sustainable fishing (F = F MSY ), (3) half of F MSY , and (4) EBFM with F = 0.5 F MSY for forage fish and F = 0.8 F MSY for other fish. Simulations show that BAU would perpetuate low catches from depleted stocks with a high risk of extinction for harbour porpoise. In contrast, the EBFM scenario would allow the recovery of harbour porpoise, forage fish and cod with increases in catch of herring and cod. EBFM promotes ecosystem resilience to eutrophication and ocean warming, and through the rebuilding of commercial stocks increases by more than three times carbon sequestration compared to BAU. The model provides an interrelated assessment of trophic guilds in the WBS, as required by European law to </w:t>
      </w:r>
    </w:p>
    <w:p>
      <w:pPr>
        <w:pStyle w:val="Heading2"/>
      </w:pPr>
      <w:r>
        <w:t>763.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r>
        <w:rPr>
          <w:b/>
        </w:rPr>
        <w:t>POSSIBLE 2024:</w:t>
      </w:r>
      <w:r>
        <w:t xml:space="preserve"> Masonry systems: Past, present and future — https://doi.org/10.1051/matecconf/202440301003</w:t>
      </w:r>
    </w:p>
    <w:p>
      <w:pPr/>
      <w:r>
        <w:rPr>
          <w:b/>
        </w:rPr>
        <w:t>Shared claim-specific concepts:</w:t>
      </w:r>
      <w:r>
        <w:t xml:space="preserve"> article, presented, general; EU scope visible. This is a provisional connection, not an outcome finding.</w:t>
      </w:r>
    </w:p>
    <w:p>
      <w:pPr>
        <w:pStyle w:val="SourceNote"/>
      </w:pPr>
      <w:r>
        <w:rPr>
          <w:b/>
        </w:rPr>
        <w:t>Available abstract (not full text):</w:t>
      </w:r>
      <w:r>
        <w:t xml:space="preserve"> The article presents construction systems and material solutions used in masonry construction, both in European countries and in a broader geographical context covering other continents. Due to the very wide scope of this problem, is presented in necessity in an abbreviated form, the general directions of development and changes in the systems of masonry structures in historical terms, depending on the climatic conditions prevailing in given areas and the development of societies and the level of their economy. Referring to the current state, i.e. the end of the 20th and the beginning of the 21st century, the material and construction solutions most frequently used in various countries with variable climatic requirements and various dominant loads, including seismic ones, were presented. An attempt was also made, to the extent possible, to outline future directions of changes and development of masonry construction in the coming decades, taking into account the principles of the circular economy and sustainable development, as well as reduction of CO2 emissions and maximum use of natural (bio-based materials) and recycled raw materials.</w:t>
      </w:r>
    </w:p>
    <w:p>
      <w:pPr/>
      <w:r>
        <w:rPr>
          <w:b/>
        </w:rPr>
        <w:t>POSSIBLE 2024:</w:t>
      </w:r>
      <w:r>
        <w:t xml:space="preserve"> Article: Plurilateral Agreements and the Multilateral Trade System: Lessons from the Past and Present for the Future — https://doi.org/10.54648/trad2024041</w:t>
      </w:r>
    </w:p>
    <w:p>
      <w:pPr/>
      <w:r>
        <w:rPr>
          <w:b/>
        </w:rPr>
        <w:t>Shared claim-specific concepts:</w:t>
      </w:r>
      <w:r>
        <w:t xml:space="preserve"> article, system, general; EU scope not established. This is a provisional connection, not an outcome finding.</w:t>
      </w:r>
    </w:p>
    <w:p>
      <w:pPr>
        <w:pStyle w:val="SourceNote"/>
      </w:pPr>
      <w:r>
        <w:rPr>
          <w:b/>
        </w:rPr>
        <w:t>Available abstract (not full text):</w:t>
      </w:r>
      <w:r>
        <w:t xml:space="preserve"> The World Trade Organization (WTO) remains the leading international institution for global trade. As a member-driven organization, the WTO adopts decisions mainly by consensus. Whilst this promotes equality in decision-making between Members, it raises a challenge in a situation where Members are unable to achieve consensus required to adopt a decision. As a result, there is growing debate on whether WTO Members should adopt plurilateral agreements to advance their diverse interests in the system. This paper contributes to this argument by highlighting plurilateral agreements are part of the WTO system and have been used to strengthen the WTO, rather than weaken it and should be used in this manner. This paper highlights that plurilateral agreements are common concepts in the WTO and have been used to strengthen the multilateral trade system. This paper provides an overview of the use of plurilateral agreements during the General Agreement on Tariffs and Trade (GATT) era and under the WTO. It argues that plurilateral agreements have strengthened the trading system by operating as legally binding instruments for WTO plus commitments, a solution to multilateral inaction and an avenue for autonomy within the WTO. It concludes by emphasizing that discussions on the trade system’s reform should consider plurilateral agreements as an avenue to strengthen the multilateral trade syste</w:t>
      </w:r>
    </w:p>
    <w:p>
      <w:pPr/>
      <w:r>
        <w:rPr>
          <w:b/>
        </w:rPr>
        <w:t>POSSIBLE 2023:</w:t>
      </w:r>
      <w:r>
        <w:t xml:space="preserve"> PAST AND PRESENT PERIOD OF PRESCHOOL EDUCATION SYSTEM — https://openalex.org/W7215196589</w:t>
      </w:r>
    </w:p>
    <w:p>
      <w:pPr/>
      <w:r>
        <w:rPr>
          <w:b/>
        </w:rPr>
        <w:t>Shared claim-specific concepts:</w:t>
      </w:r>
      <w:r>
        <w:t xml:space="preserve"> article, system, general, education, first, second; EU scope not established. This is a provisional connection, not an outcome finding.</w:t>
      </w:r>
    </w:p>
    <w:p>
      <w:pPr>
        <w:pStyle w:val="SourceNote"/>
      </w:pPr>
      <w:r>
        <w:rPr>
          <w:b/>
        </w:rPr>
        <w:t>Available abstract (not full text):</w:t>
      </w:r>
      <w:r>
        <w:t xml:space="preserve"> In this article, the third paragraph entitled "Past and Present of the Preschool Education System" provides general information about the topics discussed throughout the article. First, it illuminates the historical background of preschool education, explaining how it emerged in response to a changing social and economic landscape. Second, various approaches and theories that shaped the development of preschool education, such as Montessori, Froebel, and Reggio Emilia, are discussed.</w:t>
      </w:r>
    </w:p>
    <w:p>
      <w:pPr/>
      <w:r>
        <w:rPr>
          <w:b/>
        </w:rPr>
        <w:t>POSSIBLE 2023:</w:t>
      </w:r>
      <w:r>
        <w:t xml:space="preserve"> GENERAL PRINCIPLES OF LAW FORMED WITHIN THE INTERNATIONAL LEGAL SYSTEM — https://doi.org/10.1017/s0020589323000362</w:t>
      </w:r>
    </w:p>
    <w:p>
      <w:pPr/>
      <w:r>
        <w:rPr>
          <w:b/>
        </w:rPr>
        <w:t>Shared claim-specific concepts:</w:t>
      </w:r>
      <w:r>
        <w:t xml:space="preserve"> article, system, general, first; EU scope not established. This is a provisional connection, not an outcome finding.</w:t>
      </w:r>
    </w:p>
    <w:p>
      <w:pPr>
        <w:pStyle w:val="SourceNote"/>
      </w:pPr>
      <w:r>
        <w:rPr>
          <w:b/>
        </w:rPr>
        <w:t>Available abstract (not full text):</w:t>
      </w:r>
      <w:r>
        <w:t xml:space="preserve"> Abstract In the work of the International Law Commission (ILC) on ‘the general principles of law’ in Article 38(1)(c) of the Statute of the International Court of Justice, one question has given rise to an inordinate amount of controversy: does this category of principles include principles formed within the international legal system or does it embrace only principles derived from national legal systems? In the draft conclusions adopted on first reading in 2023, the ILC accepts the existence of general principles of law formed within the international legal system, but only in a very narrow manner. Prominent commentators have argued that such a narrow approach is correct. It has been contended, furthermore, that the category of general principles of law formed within the international legal system is an innovation of the ILC's, and one that lacks any real support in State practice. These views are based on assumptions to the effect that the traditional view concerning the meaning of Article 38(1)(c) was that it referred only to general principles of law derived from national legal systems. The present article takes issue with these assumptions. It seeks to prove, by an analysis of the position in 1920 when the Statute was drafted, of the practice of States, both before and after 1920, and the writings of leading commentators, that general principles of law formed within the in</w:t>
      </w:r>
    </w:p>
    <w:p>
      <w:pPr/>
      <w:r>
        <w:rPr>
          <w:b/>
        </w:rPr>
        <w:t>POSSIBLE 2023:</w:t>
      </w:r>
      <w:r>
        <w:t xml:space="preserve"> Symbolism of the number “four” in English and Kazakh Languages — https://doi.org/10.31489/2023ph2/89-96</w:t>
      </w:r>
    </w:p>
    <w:p>
      <w:pPr/>
      <w:r>
        <w:rPr>
          <w:b/>
        </w:rPr>
        <w:t>Shared claim-specific concepts:</w:t>
      </w:r>
      <w:r>
        <w:t xml:space="preserve"> article, four, external, internal; EU scope not established. This is a provisional connection, not an outcome finding.</w:t>
      </w:r>
    </w:p>
    <w:p>
      <w:pPr>
        <w:pStyle w:val="SourceNote"/>
      </w:pPr>
      <w:r>
        <w:rPr>
          <w:b/>
        </w:rPr>
        <w:t>Available abstract (not full text):</w:t>
      </w:r>
      <w:r>
        <w:t xml:space="preserve"> The article considers the comparative study of the symbolism of English and Kazakh stable combinations, as well as proverbs and sayings with the numerical component “four”. The study revealed both similarities and differences in the symbolism of the number “four” in English and Kazakh languages, which is explained by the universality of the character of the symbols on the one hand and the fact that there is an ethnocultural specificity in the connotative meaning, which is reflected in the culture and language of the people. The universality of the symbolization of numbers is determined by the anthropocentric worldview and the universalsystem of human development, as well as the desire of a person to explain the structure of the world through the sacred power of numbers. At the end of the article the authors came to conclusion that the numerals with the component four as part of stable combinations in English and Kazakh Languages acquire a symbolic meaning. Stable combinations with the numeral component characterize various aspects of human life: its external qualities and internal properties, behavior, relationships with other people, as well as ideas related to the quantitative and spatial development of the world and the universe.</w:t>
      </w:r>
    </w:p>
    <w:p>
      <w:pPr/>
      <w:r>
        <w:rPr>
          <w:b/>
        </w:rPr>
        <w:t>POSSIBLE 2023:</w:t>
      </w:r>
      <w:r>
        <w:t xml:space="preserve"> DEEPENING THE PRINCIPLES OF MEDIA EDUCATION BASED ON THE GENERAL SYSTEMS THEORY — https://doi.org/10.35433/pedagogy.1(112).2023.29-38</w:t>
      </w:r>
    </w:p>
    <w:p>
      <w:pPr/>
      <w:r>
        <w:rPr>
          <w:b/>
        </w:rPr>
        <w:t>Shared claim-specific concepts:</w:t>
      </w:r>
      <w:r>
        <w:t xml:space="preserve"> article, presented, ukraine, general, education, each; EU scope not established. This is a provisional connection, not an outcome finding.</w:t>
      </w:r>
    </w:p>
    <w:p>
      <w:pPr>
        <w:pStyle w:val="SourceNote"/>
      </w:pPr>
      <w:r>
        <w:rPr>
          <w:b/>
        </w:rPr>
        <w:t>Available abstract (not full text):</w:t>
      </w:r>
      <w:r>
        <w:t xml:space="preserve"> The purpose of the article is to generalize and deepen the principles of media education (as a system-building basis for creating the theory and practice of media education) based on Yu. A. Urmantsev’s general systems theory. To achieve the goal, the following methodological tools are used: the philosophical principle of the unity of the world as the methodological basis of the research; the method of theoretical analysis of the problem field of the research; the general systems theory, which made it possible to generalize and deepen some principles of media education. In the article, the principles of the Concept of implementing media education in Ukraine were generalized and somewhat deepened, that is, they received a systemic meaning being based on certain meaningful elements of the general systems theory. This made it possible to carry out a systematic correlation of the principles of media education and some pedagogical phenomena on the basis of meaningful elements of the general systems theory. It is shown that the principles of media education, the elements of the model of a school as a social institution, and the elements of the model of a man as a subject of psychology are in system-correlation relations, which realizes the philosophical principle of the unity of the world and testifies to the fact that the procedure of systematic generalization of the principles of me</w:t>
      </w:r>
    </w:p>
    <w:p>
      <w:pPr>
        <w:pStyle w:val="Heading2"/>
      </w:pPr>
      <w:r>
        <w:t>764.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r>
        <w:rPr>
          <w:b/>
        </w:rPr>
        <w:t>POSSIBLE 2024:</w:t>
      </w:r>
      <w:r>
        <w:t xml:space="preserve"> Presenting Work Via PowerPoint — https://doi.org/10.4324/9781003526001-13</w:t>
      </w:r>
    </w:p>
    <w:p>
      <w:pPr/>
      <w:r>
        <w:rPr>
          <w:b/>
        </w:rPr>
        <w:t>Shared claim-specific concepts:</w:t>
      </w:r>
      <w:r>
        <w:t xml:space="preserve"> work, set; EU scope not established. This is a provisional connection, not an outcome finding.</w:t>
      </w:r>
    </w:p>
    <w:p>
      <w:pPr>
        <w:pStyle w:val="SourceNote"/>
      </w:pPr>
      <w:r>
        <w:rPr>
          <w:b/>
        </w:rPr>
        <w:t>Available abstract (not full text):</w:t>
      </w:r>
      <w:r>
        <w:t xml:space="preserve">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pPr/>
      <w:r>
        <w:rPr>
          <w:b/>
        </w:rPr>
        <w:t>POSSIBLE 2024:</w:t>
      </w:r>
      <w:r>
        <w:t xml:space="preserve"> Axiomatization of Non-Recursive Aggregates in First-Order Answer Set Programming — https://doi.org/10.1613/jair.1.15786</w:t>
      </w:r>
    </w:p>
    <w:p>
      <w:pPr/>
      <w:r>
        <w:rPr>
          <w:b/>
        </w:rPr>
        <w:t>Shared claim-specific concepts:</w:t>
      </w:r>
      <w:r>
        <w:t xml:space="preserve"> present, work, set, answer; EU scope not established. This is a provisional connection, not an outcome finding.</w:t>
      </w:r>
    </w:p>
    <w:p>
      <w:pPr>
        <w:pStyle w:val="SourceNote"/>
      </w:pPr>
      <w:r>
        <w:rPr>
          <w:b/>
        </w:rPr>
        <w:t>Available abstract (not full text):</w:t>
      </w:r>
      <w:r>
        <w:t xml:space="preserve"> This paper contributes to the development of theoretical foundations of answer set programming. Groundbreaking work on the SM operator by Ferraris, Lee, and Lifschitz proposed a definition/semantics for logic (answer set) programs based on a syntactic transformation similar to parallel circumscription. That definition radically differed from its predecessors by using classical (second-order) logic and avoiding reference to either grounding or fixpoints. Yet, the work lacked the formalization of crucial and commonly used answer set programming language constructs called aggregates. In this paper, we present a characterization of logic programs with aggregates based on a many-sorted generalization of the SM operator. This characterization introduces new function symbols for aggregate operations and aggregate elements, whose meaning can be fixed by adding appropriate axioms to the result of the SM transformation. We prove that our characterization coincides with the ASP-Core-2 semantics for logic programs and, if we allow non-positive recursion through aggregates, it coincides with the semantics of the answer set solver CLINGO.</w:t>
      </w:r>
    </w:p>
    <w:p>
      <w:pPr/>
      <w:r>
        <w:rPr>
          <w:b/>
        </w:rPr>
        <w:t>POSSIBLE 2024:</w:t>
      </w:r>
      <w:r>
        <w:t xml:space="preserve"> Higher-Order Model Checking of Effect-Handling Programs with Answer-Type Modification — https://doi.org/10.1145/3689805</w:t>
      </w:r>
    </w:p>
    <w:p>
      <w:pPr/>
      <w:r>
        <w:rPr>
          <w:b/>
        </w:rPr>
        <w:t>Shared claim-specific concepts:</w:t>
      </w:r>
      <w:r>
        <w:t xml:space="preserve"> work, implemented, approach; EU scope not established. This is a provisional connection, not an outcome finding.</w:t>
      </w:r>
    </w:p>
    <w:p>
      <w:pPr>
        <w:pStyle w:val="SourceNote"/>
      </w:pPr>
      <w:r>
        <w:rPr>
          <w:b/>
        </w:rPr>
        <w:t>Available abstract (not full text):</w:t>
      </w:r>
      <w:r>
        <w:t xml:space="preserve"> Since the seminal work by Ong, the model checking of higher-order programs—called higher-order model checking , or HOMC for short—has gained attention. It is also crucial for making HOMC applicable to real-world software to address programs involving computational effects. Recently, Dal Lago and Ghyselen considered an extension of HOMC to algebraic effect handlers , which enable programming the semantics of effects. They showed a negative result for HOMC with algebraic effect handlers—it is undecidable. In this work, we explore a restriction on programs with algebraic effect handlers which ensures the decidability of HOMC while allowing implementations of various effects. We identify the crux of the undecidability as the use of an unbounded number of algebraic effect handlers being active at the same time. To prevent it, we introduce answer-type modification (ATM), which can bound the number of algebraic effect handlers that can be active at the same time. We prove that ATM can ensure the decidability of HOMC and show that it accommodates a wide range of effects. To evaluate our approach, we implemented an automated verifier EffCaml based on the presented techniques and confirmed that the program examples discussed in this paper can be automatically verified.</w:t>
      </w:r>
    </w:p>
    <w:p>
      <w:pPr/>
      <w:r>
        <w:rPr>
          <w:b/>
        </w:rPr>
        <w:t>POSSIBLE 2024:</w:t>
      </w:r>
      <w:r>
        <w:t xml:space="preserve"> A systematization of Álvaro Vieira Pinto's philosophical work — https://openalex.org/W7120406114</w:t>
      </w:r>
    </w:p>
    <w:p>
      <w:pPr/>
      <w:r>
        <w:rPr>
          <w:b/>
        </w:rPr>
        <w:t>Shared claim-specific concepts:</w:t>
      </w:r>
      <w:r>
        <w:t xml:space="preserve"> present, work, set, education, national, technology; EU scope not established. This is a provisional connection, not an outcome finding.</w:t>
      </w:r>
    </w:p>
    <w:p>
      <w:pPr>
        <w:pStyle w:val="SourceNote"/>
      </w:pPr>
      <w:r>
        <w:rPr>
          <w:b/>
        </w:rPr>
        <w:t>Available abstract (not full text):</w:t>
      </w:r>
      <w:r>
        <w:t xml:space="preserve"> This work consists of an investigation about the thought of the Brazilian philosopher Álvaro Vieira Pinto. It is a systematical exposition (always interpretative) oriented by the systematic reconstitution of the essential of Álvaro Vieira Pinto’s thought. Our investigation is situated in the context of the works written by the author, chronologically, from the booklet Ideology and National Development (1956) onwards, including later texts that we have available today. We present the thesis that throughout these works, a systematic and unitary philosophical thought unfolds, but whose synthetic exposition must be produced, and this is what our work consists of. As a result, we want, precisely, from the systematic interpretation of his texts, to expose the foundations of this philosophical conception and present how his thought is structured and developed internally. There is no work by the author that is dedicated exclusively and specifically to the systematization we undertake here, which collects elements left over from all the author’s works investigated by us, and that’s why this thesis may shed new light on the set of problems involving the author and his work. The fact that the Brazilian thinker has written about a great variety of themes, such as Work, Nation, Science, Technology, Cybernetics, Education, Politics etc., seems to demand some kind of interpretation that allow</w:t>
      </w:r>
    </w:p>
    <w:p>
      <w:pPr>
        <w:pStyle w:val="Heading2"/>
      </w:pPr>
      <w:r>
        <w:t>765.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r>
        <w:rPr>
          <w:b/>
        </w:rPr>
        <w:t>POSSIBLE 2024:</w:t>
      </w:r>
      <w:r>
        <w:t xml:space="preserve"> Landscape approach to the formation of land protection measures in the system of agriculture and land use — https://doi.org/10.31073/agrovisnyk202411-08</w:t>
      </w:r>
    </w:p>
    <w:p>
      <w:pPr/>
      <w:r>
        <w:rPr>
          <w:b/>
        </w:rPr>
        <w:t>Shared claim-specific concepts:</w:t>
      </w:r>
      <w:r>
        <w:t xml:space="preserve"> approach, measures, aimed, technological, environmental; EU scope not established. This is a provisional connection, not an outcome finding.</w:t>
      </w:r>
    </w:p>
    <w:p>
      <w:pPr>
        <w:pStyle w:val="SourceNote"/>
      </w:pPr>
      <w:r>
        <w:rPr>
          <w:b/>
        </w:rPr>
        <w:t>Available abstract (not full text):</w:t>
      </w:r>
      <w:r>
        <w:t xml:space="preserve"> Goal. To substantiate the theoretical and scientific-methodical provisions regarding the formation of measures of soil protection systems of land use, aimed at increasing the efficiency of the organization of land plots on a landscape basis. Methods. Monographic (for a detailed study of the conditions for the formation of organizational and economic components of ecologically safe land use); system analysis (study of the theoretical and methodological basis of the formation of elements of the organizational-economic mechanism of ecologically safe land use at various organizational and management levels); complex analysis (establishing general laws and identifying modern trends in the development of agricultural land use); statistical; graphic-analytical (to study the relationships between economic and environmental indicators). Results. Systematization was carried out and the theoretical and methodological provisions were deepened, practical measures were proposed regarding the main directions of ecological optimization of the use of land resource potential of erosion-dangerous agro-landscapes by working out and developing the theoretical and applied basis of adaptive landscape farming systems, the latest land use systems aimed at the rational use and protection of agricultural land, differentiated adaptation of technological means to soil, landscape, climatic factors and econo</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r>
        <w:rPr>
          <w:b/>
        </w:rPr>
        <w:t>POSSIBLE 2022:</w:t>
      </w:r>
      <w:r>
        <w:t xml:space="preserve"> Methodological approaches to measuring quality of life — https://doi.org/10.1590/0101-31572022-3256</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r>
        <w:rPr>
          <w:b/>
        </w:rPr>
        <w:t>POSSIBLE 2022:</w:t>
      </w:r>
      <w:r>
        <w:t xml:space="preserve"> Methodological approaches to measuring quality of life — https://doi.org/10.6084/m9.figshare.19965475</w:t>
      </w:r>
    </w:p>
    <w:p>
      <w:pPr/>
      <w:r>
        <w:rPr>
          <w:b/>
        </w:rPr>
        <w:t>Shared claim-specific concepts:</w:t>
      </w:r>
      <w:r>
        <w:t xml:space="preserve"> approach, used, measures, aimed; EU scope not established. This is a provisional connection, not an outcome finding.</w:t>
      </w:r>
    </w:p>
    <w:p>
      <w:pPr>
        <w:pStyle w:val="SourceNote"/>
      </w:pPr>
      <w:r>
        <w:rPr>
          <w:b/>
        </w:rPr>
        <w:t>Available abstract (not full text):</w:t>
      </w:r>
      <w:r>
        <w:t xml:space="preserve"> ABSTRACT The ultimate goal of the present work lay in creating a vector methodology for measuring QoL. Application of an integrated approach to the results of the classification analysis and SWOT analysis enabled elaborating a vector methodology of a recommendatory type aimed at improving QoL measurement approaches. It was established that this methodology should include four major updates taking into account the challenges of tomorrow. The study results may be of interest to public authorities responsible for taking measures directed at raising the country’s international ranking as well as be used for reducing contradictions on the part of QoL measuring procedures.</w:t>
      </w:r>
    </w:p>
    <w:p>
      <w:pPr>
        <w:pStyle w:val="Heading2"/>
      </w:pPr>
      <w:r>
        <w:t>766.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r>
        <w:rPr>
          <w:b/>
        </w:rPr>
        <w:t>POSSIBLE 2025:</w:t>
      </w:r>
      <w:r>
        <w:t xml:space="preserve"> The Role of Economic and Social Factors in Achieving Climate Neutrality in the European Union — https://openalex.org/W7199976049</w:t>
      </w:r>
    </w:p>
    <w:p>
      <w:pPr/>
      <w:r>
        <w:rPr>
          <w:b/>
        </w:rPr>
        <w:t>Shared claim-specific concepts:</w:t>
      </w:r>
      <w:r>
        <w:t xml:space="preserve"> assesses, role, achieve, co2; EU scope visible. This is a provisional connection, not an outcome finding.</w:t>
      </w:r>
    </w:p>
    <w:p>
      <w:pPr>
        <w:pStyle w:val="SourceNote"/>
      </w:pPr>
      <w:r>
        <w:rPr>
          <w:b/>
        </w:rPr>
        <w:t>Available abstract (not full text):</w:t>
      </w:r>
      <w:r>
        <w:t xml:space="preserve"> У роботі досліджено процес декарбонізації країн ЄС-27, соціальні та економічні чинники, що впливають на зміну обсягу викидів CO2 у даних країнах. Проаналізовано юридичні нормативні акти ЄС, що стосуються досягнення вуглецевої нейтральності та декарбонізації; визначено економічні та соціальні характеристики країн, що потенційно впливають на зміну обсягу викидів CO2; вивчено наявні кількісні моделі, спрямовані на оцінку впливу людської діяльності на навколишнє середовище; на основі економетричного аналізу виявлено основні чинники, що впливають на зміни обсягу викидів CO2; проаналізовано результати кількісного дослідження та оцінено можливості країн ЄС у досягненні вуглецевої нейтральності до 2050 року. The paper examines the process of decarbonisation of the EU-27 countries, social and economic factors that influence the change in CO2 emissions in these countries. The article analyses the EU legal regulations related to achieving carbon neutrality and decarbonisation; identifies the economic and social characteristics of countries that potentially affect changes in CO2 emissions; studies the existing quantitative models aimed at assessing the impact of human activity on the environment; identifies the main factors influencing changes in CO2 emissions based on econometric analysis; analyses the results of a quantitative study and assesses the capabilities of EU countries to achiev</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pathways;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pStyle w:val="Heading2"/>
      </w:pPr>
      <w:r>
        <w:t>767.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2025:</w:t>
      </w:r>
      <w:r>
        <w:t xml:space="preserve"> A taste of tomorrow: Predicting food demand elasticities under different Shared Socioeconomic Pathways — https://doi.org/10.1016/j.gloenvcha.2025.103049</w:t>
      </w:r>
    </w:p>
    <w:p>
      <w:pPr/>
      <w:r>
        <w:rPr>
          <w:b/>
        </w:rPr>
        <w:t>Shared claim-specific concepts:</w:t>
      </w:r>
      <w:r>
        <w:t xml:space="preserve"> shared, socioeconomic, pathways, ssps, alternative, assessments; EU scope not established. This is a provisional connection, not an outcome finding.</w:t>
      </w:r>
    </w:p>
    <w:p>
      <w:pPr>
        <w:pStyle w:val="SourceNote"/>
      </w:pPr>
      <w:r>
        <w:rPr>
          <w:b/>
        </w:rPr>
        <w:t>Available abstract (not full text):</w:t>
      </w:r>
      <w:r>
        <w:t xml:space="preserve"> Food policy assessments and food demand projections rely on demand elasticities. The elasticities used, however, often lack granularity and depend on ad hoc adjustments to make them evolve over time. In this study we explore an alternative approach using a meta -analysis database and the XGBoost machine learning algorithm to predict food demand elasticities. Next, we use the Shared Socioeconomic Pathways (SSPs) database to project the elasticities to 2030, 2040, and 2050. The elasticities are then calibrated to comply with theoretical conditions and used to parameterize the demand system in a Computable General Equilibrium (CGE) model. Finally, using the CGE model, we illustrate the implications of the new parameters by simulating four sets of simple scenarios. As output files we provide (1) income, own-price, and cross-price (both compensated and uncompensated) elasticities for 12 food groups, 138 countries, and 5 SSPs, (2) their calibrated counterparts, and (3) the equivalent expansion and substitution parameters for a CDE demand system. These parameters can be applied in a wide range of scenario building and policy assessments.</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IPCC Shared Socioeconomic Pathways (SSPs): Explained, Evaluated, Replaced — https://doi.org/10.3386/w32178</w:t>
      </w:r>
    </w:p>
    <w:p>
      <w:pPr/>
      <w:r>
        <w:rPr>
          <w:b/>
        </w:rPr>
        <w:t>Shared claim-specific concepts:</w:t>
      </w:r>
      <w:r>
        <w:t xml:space="preserve"> shared, socioeconomic, pathways, ssps, alternative; EU scope not established. This is a provisional connection, not an outcome finding.</w:t>
      </w:r>
    </w:p>
    <w:p>
      <w:pPr>
        <w:pStyle w:val="SourceNote"/>
      </w:pPr>
      <w:r>
        <w:rPr>
          <w:b/>
        </w:rPr>
        <w:t>Available abstract (not full text):</w:t>
      </w:r>
      <w:r>
        <w:t xml:space="preserve"> Shared socioeconomic pathways (SSPs) are perhaps the most influential economic policy analyses today.My paper evaluates their development, natural associations, logical consequences, and economic identification.All five SSP baseline scenarios are predicting scenarios that historical time-series analysis would consider empirically highly implausible.This alternative -econometric time-series analysis based on worldwide IPAT componentssuggests alternative emission scenarios, mapping into expected radiative forcing of about RCP 6.5, with a reasonable plausibility range from RCP 4.5 to RCP 7.0.</w:t>
      </w:r>
    </w:p>
    <w:p>
      <w:pPr/>
      <w:r>
        <w:rPr>
          <w:b/>
        </w:rPr>
        <w:t>POSSIBLE 2024:</w:t>
      </w:r>
      <w:r>
        <w:t xml:space="preserve"> Developing an integrated assessment model to explore optimal cost-benefit paths for Shared Socioeconomic Pathways scenarios — https://doi.org/10.5194/egusphere-2024-1640</w:t>
      </w:r>
    </w:p>
    <w:p>
      <w:pPr/>
      <w:r>
        <w:rPr>
          <w:b/>
        </w:rPr>
        <w:t>Shared claim-specific concepts:</w:t>
      </w:r>
      <w:r>
        <w:t xml:space="preserve"> shared, socioeconomic, pathways, set, climate, potential; EU scope not established. This is a provisional connection, not an outcome finding.</w:t>
      </w:r>
    </w:p>
    <w:p>
      <w:pPr>
        <w:pStyle w:val="SourceNote"/>
      </w:pPr>
      <w:r>
        <w:rPr>
          <w:b/>
        </w:rPr>
        <w:t>Available abstract (not full text):</w:t>
      </w:r>
      <w:r>
        <w:t xml:space="preserve"> Abstract. Most recent cost-benefit Integrated Assessment Models have used only one reference scenario and focused on reducing mainly CO2 emissions. This goal may not adequately account for the uncertainties arising from diverse socioeconomic developments and the potential for mitigating the effects of emissions of individual greenhouse gases, aerosols, and pollutants. We developed an Integrated Assessment Model framework by combining a socioeconomic module with a reduced-complexity climate module. We represented the Shared Socioeconomic Pathways (SSP) scenarios by 1) calculating a new set of marginal abatement cost curves based on the most recent integrated assessment model, 2) creating a new SSP-dependent damage function based on process-based impact simulation results, and 3) extending the evaluation time to the year 2450. The cost-benefit analysis revealed that the SSP scenarios achieved various rates of control for emissions of individual greenhouse gases, aerosols, and pollutants. The result was diverse patterns of optimal temperatures, including maximum temperature achieved and stabilized temperature by the end of the evaluation period. The model simulations showed the importance of distinguishing options for reducing emissions of greenhouse gases based on distinct socioeconomic growth scenarios. We also show an example of a long-term socioeconomic projection spanning sev</w:t>
      </w:r>
    </w:p>
    <w:p>
      <w:pPr/>
      <w:r>
        <w:rPr>
          <w:b/>
        </w:rPr>
        <w:t>POSSIBLE 2024:</w:t>
      </w:r>
      <w:r>
        <w:t xml:space="preserve"> Global terrestrial moisture recycling in Shared Socioeconomic Pathways — https://doi.org/10.5194/egusphere-egu24-8049</w:t>
      </w:r>
    </w:p>
    <w:p>
      <w:pPr/>
      <w:r>
        <w:rPr>
          <w:b/>
        </w:rPr>
        <w:t>Shared claim-specific concepts:</w:t>
      </w:r>
      <w:r>
        <w:t xml:space="preserve"> shared, socioeconomic, pathways, ssps, climate; EU scope visible. This is a provisional connection, not an outcome finding.</w:t>
      </w:r>
    </w:p>
    <w:p>
      <w:pPr>
        <w:pStyle w:val="SourceNote"/>
      </w:pPr>
      <w:r>
        <w:rPr>
          <w:b/>
        </w:rPr>
        <w:t>Available abstract (not full text):</w:t>
      </w:r>
      <w:r>
        <w:t xml:space="preserve"> The global water cycle has undergone considerable changes since pre-industrial times due to global climate change and land-use changes. These drivers will almost certainly continue to change during the course of this century. However, where, how, and to which extent terrestrial moisture recycling will change as a result remains unclear.Mutually consistent scenarios of climate change and land-use changes for the 21st century are provided by the Shared Socioeconomic Pathways (SSPs). The SSPs provide a framework of five different narratives involving varying degrees of challenges associated with mitigation or adaptation. From each narrative follow different implications for emissions, energy, and land use. The SSPs serve as the conceptual framework behind the sixth generation of the Coupled Model Intercomparison Project, CMIP6.Terrestrial moisture recycling is often assessed using atmospheric moisture tracking models. An example is UTrack, a Lagrangian model to track moisture through three-dimensional space. Here we present a new forward-tracking version of UTrack that is forced by output of a CMIP6 model to study how terrestrial moisture recycling may change across the globe until the end of the 21st century in a range of SSPs, from mild to severe: SSP1-2.6, SSP2-4.5, SSP3-7.0, and SSP5-8.5. For this forcing, we chose the Norwegian Earth System Model version 2, or NorESM2. It has</w:t>
      </w:r>
    </w:p>
    <w:p>
      <w:pPr/>
      <w:r>
        <w:rPr>
          <w:b/>
        </w:rPr>
        <w:t>POSSIBLE 2023:</w:t>
      </w:r>
      <w:r>
        <w:t xml:space="preserve"> The ‘conflict trap’ reduces economic growth in the shared socioeconomic pathways — https://doi.org/10.1088/1748-9326/acb163</w:t>
      </w:r>
    </w:p>
    <w:p>
      <w:pPr/>
      <w:r>
        <w:rPr>
          <w:b/>
        </w:rPr>
        <w:t>Shared claim-specific concepts:</w:t>
      </w:r>
      <w:r>
        <w:t xml:space="preserve"> shared, socioeconomic, pathways, ssps, regional, climate; EU scope not established. This is a provisional connection, not an outcome finding.</w:t>
      </w:r>
    </w:p>
    <w:p>
      <w:pPr>
        <w:pStyle w:val="SourceNote"/>
      </w:pPr>
      <w:r>
        <w:rPr>
          <w:b/>
        </w:rPr>
        <w:t>Available abstract (not full text):</w:t>
      </w:r>
      <w:r>
        <w:t xml:space="preserve"> Abstract Armed conflict and economic growth are inherently coupled; armed conflict substantially reduces economic growth, while economic growth is strongly correlated with a reduction in the propensity of armed conflict. Here, we simulate the incidence of armed conflict and its effect on economic growth simultaneously along the economic pathways defined by the shared socioeconomic pathways (SSPs). We argue that gross domestic product per capita projections through the 21st century currently in use are too optimistic since they disregard the harm to growth caused by conflict. Our analysis indicates that the correction required to account for this is substantial—expected income is 25% lower on average across countries when taking conflict into account. The correction is particularly strong for the more pessimistic SSP3 and SSP4 where expected future incidence of armed conflict is high. There are strong regional patterns with countries with contemporaneous conflicts experiencing much higher conflict burdens and reduced economic growth by the end of the century. The implications of this research indicate that today’s most marginalized societies will be substantially more vulnerable to the impact of climate change than indicated by existing income projections.</w:t>
      </w:r>
    </w:p>
    <w:p>
      <w:pPr>
        <w:pStyle w:val="Heading2"/>
      </w:pPr>
      <w:r>
        <w:t>768.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r>
        <w:rPr>
          <w:b/>
        </w:rPr>
        <w:t>POSSIBLE 2024:</w:t>
      </w:r>
      <w:r>
        <w:t xml:space="preserve"> Time Series Analysis PM2•5 Concentration for Capital City Dhaka from 2016 to 2023 — https://doi.org/10.11648/sf.20240501.15</w:t>
      </w:r>
    </w:p>
    <w:p>
      <w:pPr/>
      <w:r>
        <w:rPr>
          <w:b/>
        </w:rPr>
        <w:t>Shared claim-specific concepts:</w:t>
      </w:r>
      <w:r>
        <w:t xml:space="preserve"> pm2, significant, biomass, burning, range; EU scope not established. This is a provisional connection, not an outcome finding.</w:t>
      </w:r>
    </w:p>
    <w:p>
      <w:pPr>
        <w:pStyle w:val="SourceNote"/>
      </w:pPr>
      <w:r>
        <w:rPr>
          <w:b/>
        </w:rPr>
        <w:t>Available abstract (not full text):</w:t>
      </w:r>
      <w:r>
        <w:t xml:space="preserve">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pPr/>
      <w:r>
        <w:rPr>
          <w:b/>
        </w:rPr>
        <w:t>POSSIBLE 2024:</w:t>
      </w:r>
      <w:r>
        <w:t xml:space="preserve"> Estimates of global mortality burden associated with short-term exposure to fine particulate matter (PM2·5) — https://doi.org/10.1016/s2542-5196(24)00003-2</w:t>
      </w:r>
    </w:p>
    <w:p>
      <w:pPr/>
      <w:r>
        <w:rPr>
          <w:b/>
        </w:rPr>
        <w:t>Shared claim-specific concepts:</w:t>
      </w:r>
      <w:r>
        <w:t xml:space="preserve"> concentrations, pm2, not; EU scope not established. This is a provisional connection, not an outcome finding.</w:t>
      </w:r>
    </w:p>
    <w:p>
      <w:pPr>
        <w:pStyle w:val="SourceNote"/>
      </w:pPr>
      <w:r>
        <w:rPr>
          <w:b/>
        </w:rPr>
        <w:t>Available abstract (not full text):</w:t>
      </w:r>
      <w:r>
        <w:t xml:space="preserve">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pPr/>
      <w:r>
        <w:rPr>
          <w:b/>
        </w:rPr>
        <w:t>POSSIBLE 2024:</w:t>
      </w:r>
      <w:r>
        <w:t xml:space="preserve"> Estimating the effect of annual PM2·5 exposure on mortality in India: a difference-in-differences approach — https://doi.org/10.1016/s2542-5196(24)00248-1</w:t>
      </w:r>
    </w:p>
    <w:p>
      <w:pPr/>
      <w:r>
        <w:rPr>
          <w:b/>
        </w:rPr>
        <w:t>Shared claim-specific concepts:</w:t>
      </w:r>
      <w:r>
        <w:t xml:space="preserve"> concentrations, pm2, not, increase, use, system; EU scope not established. This is a provisional connection, not an outcome finding.</w:t>
      </w:r>
    </w:p>
    <w:p>
      <w:pPr>
        <w:pStyle w:val="SourceNote"/>
      </w:pPr>
      <w:r>
        <w:rPr>
          <w:b/>
        </w:rPr>
        <w:t>Available abstract (not full text):</w:t>
      </w:r>
      <w:r>
        <w:t xml:space="preserve">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pPr>
        <w:pStyle w:val="Heading2"/>
      </w:pPr>
      <w:r>
        <w:t>769.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r>
        <w:rPr>
          <w:b/>
        </w:rPr>
        <w:t>POSSIBLE 2024:</w:t>
      </w:r>
      <w:r>
        <w:t xml:space="preserve"> European guidelines for the treatment of arterial hypertension 2023: new trends — https://doi.org/10.21518/ms2024-090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The treatment strategy for arterial hypertension is aimed at controlling blood pressure levels, as well as preventing serious cardiovascular complications and affecting the prognosis of the disease. Therefore, pharmacotherapy of arterial hypertension is given great importance as a guide to the treatment of patients in real practice. The new 2023 European Society Guidelines for the diagnosis and treatment of hypertension were developed after a thorough analysis of studies in the field of arterial hypertension, and were not limited to RCTs only, but also included realistic studies (observational, cohort, administrative databases). The 2023 Guidelines support the proven value of five major classes of antihypertensive drugs: thiazide/thiazide-like diuretics, ACEIs, ARBs, calcium antagonists, and β-blockers. New data from meta-analyses support the greater clinical relevance of RAS blockers, calcium channel blockers, and thiazide/thiazide-like diuretics in preventing hypertension-related outcomes, leading to their preferred use in the pharmacotherapy of arterial hypertension, including various combinations of drugs. A new trend in the pharmacotherapy of arterial hypertension has been the inclusion of β-blockers among the main antihypertensive drugs, including their preferred use for a number of clinical conditions. New classes of drugs, such as SGLT2 inhibitors and non-steroidal mine</w:t>
      </w:r>
    </w:p>
    <w:p>
      <w:pPr/>
      <w:r>
        <w:rPr>
          <w:b/>
        </w:rPr>
        <w:t>POSSIBLE 2024:</w:t>
      </w:r>
      <w:r>
        <w:t xml:space="preserve"> Roadmap Towards A New European Culture Of Mobility — https://openalex.org/W4400666844</w:t>
      </w:r>
    </w:p>
    <w:p>
      <w:pPr/>
      <w:r>
        <w:rPr>
          <w:b/>
        </w:rPr>
        <w:t>Shared claim-specific concepts:</w:t>
      </w:r>
      <w:r>
        <w:t xml:space="preserve"> outcomes, support, roadmap; EU scope visible. This is a provisional connection, not an outcome finding.</w:t>
      </w:r>
    </w:p>
    <w:p>
      <w:pPr>
        <w:pStyle w:val="SourceNote"/>
      </w:pPr>
      <w:r>
        <w:rPr>
          <w:b/>
        </w:rPr>
        <w:t>Available abstract (not full text):</w:t>
      </w:r>
      <w:r>
        <w:t xml:space="preserve"> Everyday mobility differs from place to place, but it can have certain commonalities. It is influenced or even characterised by an array of spatial, social, economic and even cultural conditions. We have, therefore, started from the assumption that mobility itself can be considered as a ‘culture’ and that in Europe the culture of mobility is currently evolving. In this context, REBALANCE, a Horizon 2020 project, was carried out by 6 participants from 6 European countries until the end of 2022. It aimed to identify the values and culture of future mobility. The project included a foresight exercise aiming at a paradigm shift in transport policy, leading to greater consideration of societal values, which are not fully taken into account in the development of transport policies, and greater alignment with the SDGs.The project initiated a discussion on the foundations of current transport policy paradigms. By reviewing the present, it mobilised a broad network of experts and stakeholders around new cultures and policies to discuss and converge on a common, more sustainable vision and to design a roadmap for a new transport paradigm. What made REBALANCE original was the massive mobilisation of high-level, multidisciplinary thinkers. The project has drawn on contributions from philosophers, sociologists, social psychologists, geographers and lawyers who have not necessarily been invo</w:t>
      </w:r>
    </w:p>
    <w:p>
      <w:pPr/>
      <w:r>
        <w:rPr>
          <w:b/>
        </w:rPr>
        <w:t>POSSIBLE 2024:</w:t>
      </w:r>
      <w:r>
        <w:t xml:space="preserve"> Illuminating data: how the new ESC Atlas can help chart a healthier future across Europe — https://doi.org/10.1093/eurheartj/ehae865</w:t>
      </w:r>
    </w:p>
    <w:p>
      <w:pPr/>
      <w:r>
        <w:rPr>
          <w:b/>
        </w:rPr>
        <w:t>Shared claim-specific concepts:</w:t>
      </w:r>
      <w:r>
        <w:t xml:space="preserve"> national, showing; EU scope visible. This is a provisional connection, not an outcome finding.</w:t>
      </w:r>
    </w:p>
    <w:p>
      <w:pPr>
        <w:pStyle w:val="SourceNote"/>
      </w:pPr>
      <w:r>
        <w:rPr>
          <w:b/>
        </w:rPr>
        <w:t>Available abstract (not full text):</w:t>
      </w:r>
      <w:r>
        <w:t xml:space="preserve"> First launched in 2017, the ESC Atlas of Cardiology has become an invaluable resource for healthcare professionals and policy-makers in the fight to reduce cardiovascular disease (CVD). Adam Timmis is Emeritus Professor of Clinical Cardiology at Queen Mary University, London, UK, and Chair of the European Heart Health Institute in Brussels, Belgium. He describes the Atlas as follows: ‘A repository of CVD-related data from organisations such as the World Health Organization (WHO), the Institute for Health Metrics and Evaluation (IHME) and the World Bank. It also includes novel ESC-sponsored data on human and capital infrastructure and cardiovascular healthcare delivery. This 2023 report is the 4th in a biennial ESC Atlas Project series updating and expanding on previous reports.’ Prof. Timmis explains how the current report shows continuing inequalities in the epidemiology and management of CVD between middle- and high-income ESC member countries. Contemporary risk factor exposure at the national level receives detailed attention which emphasizes the continuing high prevalence of CVD attributable to ageing populations, urbanization, as well as air and noise pollution. These socio-demographic and environmental risk factors are not readily amenable to change and are likely to remain important drivers of poor cardiovascular health in many ESC member countries. Lifestyle risk factor</w:t>
      </w:r>
    </w:p>
    <w:p>
      <w:pPr/>
      <w:r>
        <w:rPr>
          <w:b/>
        </w:rPr>
        <w:t>POSSIBLE 2023:</w:t>
      </w:r>
      <w:r>
        <w:t xml:space="preserve"> European Consensus Guidelines on the Management of Respiratory Distress Syndrome: 2022 Update — https://doi.org/10.1159/000528914</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pPr/>
      <w:r>
        <w:rPr>
          <w:b/>
        </w:rPr>
        <w:t>POSSIBLE 2023:</w:t>
      </w:r>
      <w:r>
        <w:t xml:space="preserve"> Spatial planning systems in Europe — https://doi.org/10.2298/gsgd2302177t</w:t>
      </w:r>
    </w:p>
    <w:p>
      <w:pPr/>
      <w:r>
        <w:rPr>
          <w:b/>
        </w:rPr>
        <w:t>Shared claim-specific concepts:</w:t>
      </w:r>
      <w:r>
        <w:t xml:space="preserve"> national, system; EU scope visible. This is a provisional connection, not an outcome finding.</w:t>
      </w:r>
    </w:p>
    <w:p>
      <w:pPr>
        <w:pStyle w:val="SourceNote"/>
      </w:pPr>
      <w:r>
        <w:rPr>
          <w:b/>
        </w:rPr>
        <w:t>Available abstract (not full text):</w:t>
      </w:r>
      <w:r>
        <w:t xml:space="preserve"> The paper aims to present the most significant classifications of spatial planning systems and territorial management in Europe. After the first attempts, from the end of the last century, at the beginning of the new millennium, extensive analyses of the spatial planning system were carried out through several ESPON projects. Their results were based on the dominance of one of four approaches: urbanism, land use, regional-economic or comprehensive integrated planning. Some countries have a combination of two or three approaches. The second research also refers to the development trends observed in the national systems of territorial management and spatial planning. Recent research include the classification of states according to the way of management, the level of integration of sectoral policies, the degree of adaptability in planning, as well as the degree of engagement of citizens in the planning process. Knowing the basic characteristics of the spatial planning system, as well as the classifications based on them, creates a clearer perspective of spatial planning as a socially important activity and makes it easier for every country to review and improve its planning practice.</w:t>
      </w:r>
    </w:p>
    <w:p>
      <w:pPr/>
      <w:r>
        <w:rPr>
          <w:b/>
        </w:rPr>
        <w:t>POSSIBLE 2023:</w:t>
      </w:r>
      <w:r>
        <w:t xml:space="preserve"> Transition to legume-supported farming in Europe through redesigning cropping systems — https://doi.org/10.1007/s13593-022-00861-w</w:t>
      </w:r>
    </w:p>
    <w:p>
      <w:pPr/>
      <w:r>
        <w:rPr>
          <w:b/>
        </w:rPr>
        <w:t>Shared claim-specific concepts:</w:t>
      </w:r>
      <w:r>
        <w:t xml:space="preserve"> support, energy, system; EU scope visible. This is a provisional connection, not an outcome finding.</w:t>
      </w:r>
    </w:p>
    <w:p>
      <w:pPr>
        <w:pStyle w:val="SourceNote"/>
      </w:pPr>
      <w:r>
        <w:rPr>
          <w:b/>
        </w:rPr>
        <w:t>Available abstract (not full text):</w:t>
      </w:r>
      <w:r>
        <w:t xml:space="preserve"> Abstract Legume-supported cropping systems affect environmental, production, and economic impacts. In Europe, legume production is still marginal with grain legumes covering less than 3% of arable land. A transition towards legume-supported systems could contribute to a higher level of protein self-sufficiency and lower environmental impacts of agriculture. Suitable approaches for designing legume-supported cropping systems are required that go beyond the production of prescriptive solutions. We applied the DEED framework with scientists and advisors in 17 study areas in nine European countries, enabling us to describe, explain, explore, and redesign cropping systems. The results of 31 rotation comparisons showed that legume integration decreased N fertilizer use and nitrous oxide emissions (N2O) in more than 90% of the comparisons with reductions ranging from 6 to 142 kg N ha−1 and from 1 to 6 kg N2O ha−1, respectively. In over 75% of the 24 arable cropping system comparisons, rotations with legumes had lower nitrate leaching and higher protein yield per hectare. The assessment of above-ground biodiversity showed no considerable difference between crop rotations with and without legumes in most comparisons. Energy yields were lower in legume-supported systems in more than 90% of all comparisons. Feasibility and adaptation needs of legume systems were discussed in joint worksho</w:t>
      </w:r>
    </w:p>
    <w:p>
      <w:pPr>
        <w:pStyle w:val="Heading2"/>
      </w:pPr>
      <w:r>
        <w:t>770.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2024:</w:t>
      </w:r>
      <w:r>
        <w:t xml:space="preserve"> Effects of different renewable electricity diffusion paths and restricted european cooperation on Europe's hydrogen supply — https://doi.org/10.1016/j.esr.2024.101589</w:t>
      </w:r>
    </w:p>
    <w:p>
      <w:pPr/>
      <w:r>
        <w:rPr>
          <w:b/>
        </w:rPr>
        <w:t>Shared claim-specific concepts:</w:t>
      </w:r>
      <w:r>
        <w:t xml:space="preserve"> show, increase, technologies, renewable, union, based; EU scope visible. This is a provisional connection, not an outcome finding.</w:t>
      </w:r>
    </w:p>
    <w:p>
      <w:pPr>
        <w:pStyle w:val="SourceNote"/>
      </w:pPr>
      <w:r>
        <w:rPr>
          <w:b/>
        </w:rPr>
        <w:t>Available abstract (not full text):</w:t>
      </w:r>
      <w:r>
        <w:t xml:space="preserve"> Today, most hydrogen production is based on natural gas and occurs locally at the demand sites. However, according to many studies, hydrogen generation will shift to greenhouse gas (GHG)-neutral sources and supply, substantially increasing demands to meet ambitious climate protection targets in the European Union. Therefore, the model-based analysis in this paper addresses where hydrogen will come from in a GHG-neutral target system. A scenario study examines different expansion paths of renewable energy generation technologies and variations in European cooperation regarding energy trading. The model results show that a domestic European hydrogen supply strategy is cost-efficient. This result is robust even with higher self-sufficiency shares of individual countries. However, delayed or restricted expansions of renewable electricity generation technologies lead to increased hydrogen demands for power generation and increased pipeline-bound hydrogen imports in winter from the Middle East and North Africa in the model results. Furthermore, scenarios with higher photovoltaic shares exhibit increased demand for hydrogen storage for seasonal energy supply and demand balancing and increased hydrogen demands for power generation. A cost-efficient hydrogen supply strategy should, therefore, particularly focus on the expansion of onshore wind energy and hydrogen supply technologies in </w:t>
      </w:r>
    </w:p>
    <w:p>
      <w:pPr/>
      <w:r>
        <w:rPr>
          <w:b/>
        </w:rPr>
        <w:t>POSSIBLE 2024:</w:t>
      </w:r>
      <w:r>
        <w:t xml:space="preserve"> Bioenergy in Europe is unlikely to make a timely contribution to climate change targets — https://doi.org/10.1088/1748-9326/ad2d11</w:t>
      </w:r>
    </w:p>
    <w:p>
      <w:pPr/>
      <w:r>
        <w:rPr>
          <w:b/>
        </w:rPr>
        <w:t>Shared claim-specific concepts:</w:t>
      </w:r>
      <w:r>
        <w:t xml:space="preserve"> abstract, fuel, union; EU scope visible. This is a provisional connection, not an outcome finding.</w:t>
      </w:r>
    </w:p>
    <w:p>
      <w:pPr>
        <w:pStyle w:val="SourceNote"/>
      </w:pPr>
      <w:r>
        <w:rPr>
          <w:b/>
        </w:rPr>
        <w:t>Available abstract (not full text):</w:t>
      </w:r>
      <w:r>
        <w:t xml:space="preserve"> Abstract Increasing bioenergy production is a significant component of European efforts to mitigate climate change, but has contested potential for reducing emissions. We use an integrated land system model to explore the effects of large-scale bioenergy production within the European Union on carbon balances. We find that increased bioenergy crop production is likely to cause substantial deforestation and a commensurate loss of associated carbon stocks largely due to displacement of food production from other areas. Deforestation would occur either within the EU if European forests were not protected, or in other parts of the world arising from indirect land use change if European forests were protected. The net carbon benefit of bioenergy production is largely negative, or uncertain, even under the most optimistic levels of fossil fuel replacement, and will not offset initial carbon losses over the coming 50 yr. The growth of intensive agriculture required to satisfy the demand for bioenergy and food will have negative impacts on crucial ecosystem services. Overall, we identify substantial disadvantages to increasing bioenergy production relative to freeing land for natural succession. At best, large-scale bioenergy production is likely to be irrelevant to time-sensitive climate targets.</w:t>
      </w:r>
    </w:p>
    <w:p>
      <w:pPr/>
      <w:r>
        <w:rPr>
          <w:b/>
        </w:rPr>
        <w:t>POSSIBLE 2024:</w:t>
      </w:r>
      <w:r>
        <w:t xml:space="preserve"> Effects of Different Renewable Electricity Diffusion Paths and Restricted European Cooperation on Europe's Hydrogen Supply — https://doi.org/10.2139/ssrn.4788598</w:t>
      </w:r>
    </w:p>
    <w:p>
      <w:pPr/>
      <w:r>
        <w:rPr>
          <w:b/>
        </w:rPr>
        <w:t>Shared claim-specific concepts:</w:t>
      </w:r>
      <w:r>
        <w:t xml:space="preserve"> renewable;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Optimizing Supply Chain Financing Development Prospects of Digital Ecosystems in the European Logistics Industry — https://doi.org/10.1145/3726122.3726200</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The rapid digitalization of the logistics industry has significantly changed the way companies manage and finance their supply chains. This article examines the prospects for digital ecosystems to improve supply chain finance in logistics companies, with a particular focus on the role of digital payment platforms, high-speed internet, and e-marketplaces. Looking at the period from 2018 to 2022 in ten European countries, the study analyzes how these digital tools affect the profitability and efficiency of logistics operations. The study uses econometric models to assess the relationship between key digital factors and the return on investment (ROI) for logistics companies. The results show that digital payment platforms and e-marketplaces increase financial transparency, reduce operating costs, and optimize resource allocation. In addition, high-speed internet access is shown to play a critical role in supporting the integration of digital tools in supply chains. The results highlight the significant potential of digital ecosystems to drive innovation and profitability in logistics, offering valuable insights for policymakers and businesses looking to invest in digital transformation.</w:t>
      </w:r>
    </w:p>
    <w:p>
      <w:pPr/>
      <w:r>
        <w:rPr>
          <w:b/>
        </w:rPr>
        <w:t>POSSIBLE 2024:</w:t>
      </w:r>
      <w:r>
        <w:t xml:space="preserve"> Modeling of sustainable integrated supply chains under the consideration of European Union regulations — https://doi.org/10.1007/s10100-024-00910-7</w:t>
      </w:r>
    </w:p>
    <w:p>
      <w:pPr/>
      <w:r>
        <w:rPr>
          <w:b/>
        </w:rPr>
        <w:t>Shared claim-specific concepts:</w:t>
      </w:r>
      <w:r>
        <w:t xml:space="preserve"> developed, abstract, union; EU scope visible. This is a provisional connection, not an outcome finding.</w:t>
      </w:r>
    </w:p>
    <w:p>
      <w:pPr>
        <w:pStyle w:val="SourceNote"/>
      </w:pPr>
      <w:r>
        <w:rPr>
          <w:b/>
        </w:rPr>
        <w:t>Available abstract (not full text):</w:t>
      </w:r>
      <w:r>
        <w:t xml:space="preserve"> Abstract This work introduces a multi-period, multi-commodity, inventory-routing problem with strategic fleet scheduling decisions, under the consideration of speed limits, as well as strict European Union regulations on truck drivers’ working and driving time. To address the new problem, a mixed integer linear programming model was developed. Several artificial but realistic problem instances were randomly generated following relative guidelines from the open literature, to validate and assess the performance of the novel mathematical model. Furthermore, in an effort to produce useful managerial insights, several sensitivity analyses were performed considering different fluctuation rates on key model parameters.</w:t>
      </w:r>
    </w:p>
    <w:p>
      <w:pPr/>
      <w:r>
        <w:rPr>
          <w:b/>
        </w:rPr>
        <w:t>POSSIBLE 2024:</w:t>
      </w:r>
      <w:r>
        <w:t xml:space="preserve"> A unifying modelling of multiple land degradation pathways in Europe — https://doi.org/10.1038/s41467-024-48252-x</w:t>
      </w:r>
    </w:p>
    <w:p>
      <w:pPr/>
      <w:r>
        <w:rPr>
          <w:b/>
        </w:rPr>
        <w:t>Shared claim-specific concepts:</w:t>
      </w:r>
      <w:r>
        <w:t xml:space="preserve"> million, present, abstract;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pStyle w:val="Heading2"/>
      </w:pPr>
      <w:r>
        <w:t>771.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2025:</w:t>
      </w:r>
      <w:r>
        <w:t xml:space="preserve"> The impact of the European Union on graphic design — https://doi.org/10.58534/3eg54v9evz</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study investigates the presence of the concept of Europe in the naming of Spanish companies, examining how the word “Europe” and its derivatives are represented in imagotypes, along with the accompanying graphic elements. The methodology employed is known as content analysis, applied with a quantitative approach. The research corpus sample consists of eighteen elements, which are the brand images of private educational institutions in Madrid for the year 2023, according to the website of the Ministry of Education and Vocational Training (educacion.gob.es). The results show recurring patterns in the design of brand images through the imagotypes that evoke the idea of Europe, confirming the cultural and business link between Spain and Europe.</w:t>
      </w:r>
    </w:p>
    <w:p>
      <w:pPr/>
      <w:r>
        <w:rPr>
          <w:b/>
        </w:rPr>
        <w:t>POSSIBLE 2025:</w:t>
      </w:r>
      <w:r>
        <w:t xml:space="preserve"> Exploring the future of Mobility as a Service (MaaS): A co-design approach to scenario planning in European cities — https://doi.org/10.1016/j.urbmob.2025.100133</w:t>
      </w:r>
    </w:p>
    <w:p>
      <w:pPr/>
      <w:r>
        <w:rPr>
          <w:b/>
        </w:rPr>
        <w:t>Shared claim-specific concepts:</w:t>
      </w:r>
      <w:r>
        <w:t xml:space="preserve"> methodology, approach, employs, experts; EU scope visible. This is a provisional connection, not an outcome finding.</w:t>
      </w:r>
    </w:p>
    <w:p>
      <w:pPr>
        <w:pStyle w:val="SourceNote"/>
      </w:pPr>
      <w:r>
        <w:rPr>
          <w:b/>
        </w:rPr>
        <w:t>Available abstract (not full text):</w:t>
      </w:r>
      <w:r>
        <w:t xml:space="preserve"> This article contributes to the discourse on Mobility as a Service (MaaS) by presenting four plausible scenarios for its development in Europe up to 2030. Unlike previous scenario studies, which often relied on desk research or focused on narrow contexts, this study employs a co-design methodology that involved interdisciplinary experts from both public and private sectors across Europe. Their perspectives are integrated throughout the process, from identifying key uncertainties to building the scenario narratives. This approach supports a comprehensive understanding of the challenges and opportunities shaping MaaS futures. The four resulting scenarios (i.e. Mobility Walled Garden, Open Data Power in Standby, Everyone on Their Own , and Open Ecosystem ) reflect how different configurations of market competition and API openness shape the trajectory of MaaS. While open standards and interoperability emerge as key enablers, their impact depends on the presence of supportive governance and institutional coordination. Imbalances, such as strong data frameworks without market diversity, or open competition with fragmented and poorly coordinated services, can weaken long-term system resilience. The scenario framework offers a structured lens for anticipating these tensions and guiding strategic decisions in MaaS development.</w:t>
      </w:r>
    </w:p>
    <w:p>
      <w:pPr/>
      <w:r>
        <w:rPr>
          <w:b/>
        </w:rPr>
        <w:t>POSSIBLE 2025:</w:t>
      </w:r>
      <w:r>
        <w:t xml:space="preserve"> Facilitating the Reverse Triage Selection Process: A European Delphi — https://doi.org/10.1017/dmp.2025.62</w:t>
      </w:r>
    </w:p>
    <w:p>
      <w:pPr/>
      <w:r>
        <w:rPr>
          <w:b/>
        </w:rPr>
        <w:t>Shared claim-specific concepts:</w:t>
      </w:r>
      <w:r>
        <w:t xml:space="preserve"> design, delphi, them; EU scope visible. This is a provisional connection, not an outcome finding.</w:t>
      </w:r>
    </w:p>
    <w:p>
      <w:pPr>
        <w:pStyle w:val="SourceNote"/>
      </w:pPr>
      <w:r>
        <w:rPr>
          <w:b/>
        </w:rPr>
        <w:t>Available abstract (not full text):</w:t>
      </w:r>
      <w:r>
        <w:t xml:space="preserve"> OBJECTIVE: To reach a European consensus about terminology, criteria, and cutoffs regarding the reverse triage selection process in Mass Casualty Incidents (MCI) and crowding. METHODS: An e-Delphi study with a 2-part design was set up. Part 1a aimed to develop a theoretical framework of a Patient Disposition Classification Model (PDCM). Part 1b facilitated a European expert panel review of the original critical interventions and a consensus regarding their definitions and terminology. In part 2, the final critical interventions needed to be ranked on a 10-point linear numeric scale to what extent withholding or withdrawing them would lead to a Consequential Medical Event (CME). Finally, an upper limit of risk tolerance needed to be assigned to each PDCM category. RESULTS: A 5-category PDCM and a universal list of 18 critical interventions, applicable for both MCI and daily crowding situations. Furthermore, an upper limit of acceptable CME risk was assigned to each PDCM category and a 10-point linear numeric scale ranking of the 18 critical interventions was achieved. CONCLUSIONS: The Delphi study achieved its objectives with a European consensus on terminology, criteria, and cutoffs regarding the reverse triage selection process in MCI and crowding.</w:t>
      </w:r>
    </w:p>
    <w:p>
      <w:pPr/>
      <w:r>
        <w:rPr>
          <w:b/>
        </w:rPr>
        <w:t>POSSIBLE 2025:</w:t>
      </w:r>
      <w:r>
        <w:t xml:space="preserve"> Brazilian Consensus Statement on Lipedema using the Delphi methodology — https://doi.org/10.1590/1677-5449.202301832</w:t>
      </w:r>
    </w:p>
    <w:p>
      <w:pPr/>
      <w:r>
        <w:rPr>
          <w:b/>
        </w:rPr>
        <w:t>Shared claim-specific concepts:</w:t>
      </w:r>
      <w:r>
        <w:t xml:space="preserve"> methodology, delphi, experts, then; EU scope not established. This is a provisional connection, not an outcome finding.</w:t>
      </w:r>
    </w:p>
    <w:p>
      <w:pPr>
        <w:pStyle w:val="SourceNote"/>
      </w:pPr>
      <w:r>
        <w:rPr>
          <w:b/>
        </w:rPr>
        <w:t>Available abstract (not full text):</w:t>
      </w:r>
      <w:r>
        <w:t xml:space="preserve"> Lipedema, historically underrecognized, has recently gained attention due to advancements in research and growing public awareness. The Brazilian Consensus Statement on Lipedema, developed by the Brazilian Society of Angiology and Vascular Surgery, aims to establish clear recommendations for the diagnosis, treatment, and management of lipedema. Using the Delphi methodology, experts elaborated 90 statements about lipedema, which were then evaluated by a panel of 113 professionals. The statements were analyzed using SurveyMonkey, with a 75% agreement threshold required for their inclusion in the consensus statement. Most statements achieved significant consensus, with only 9 topics requiring further investigation. This consensus statement highlights the complexity of lipedema, the effectiveness of conservative treatment over surgery, the need for multidisciplinary approaches, and the importance of awareness to reduce underdiagnosis and stigma. It also underscores the ongoing need for research to develop more effective management strategies.</w:t>
      </w:r>
    </w:p>
    <w:p>
      <w:pPr>
        <w:pStyle w:val="Heading2"/>
      </w:pPr>
      <w:r>
        <w:t>772.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2024:</w:t>
      </w:r>
      <w:r>
        <w:t xml:space="preserve"> Islamophobia in Europe and its Global Impact — https://doi.org/10.31947/gs.v1i1.36628</w:t>
      </w:r>
    </w:p>
    <w:p>
      <w:pPr/>
      <w:r>
        <w:rPr>
          <w:b/>
        </w:rPr>
        <w:t>Shared claim-specific concepts:</w:t>
      </w:r>
      <w:r>
        <w:t xml:space="preserve"> key, policies, region; EU scope visible. This is a provisional connection, not an outcome finding.</w:t>
      </w:r>
    </w:p>
    <w:p>
      <w:pPr>
        <w:pStyle w:val="SourceNote"/>
      </w:pPr>
      <w:r>
        <w:rPr>
          <w:b/>
        </w:rPr>
        <w:t>Available abstract (not full text):</w:t>
      </w:r>
      <w:r>
        <w:t xml:space="preserve"> Europe is the region with the highest incidence of anti-Muslim discrimination worldwide, primarily driven by policy issues, according to the 14th report on Islamophobia by the OIC, which documents Islamophobic attacks and anti-Muslim hatred between December 2020 and January 2022. The influence of European Islamophobia extends globally, contributing to what is known as the globalization of Islamophobia. This trend is significant as it illustrates the spread of anti-Muslim sentiment across the political spectrum on a global scale. This study aims to explore the development and manifestation of Islamophobia in Europe and analyze its impact on the rise of global Islamophobia. Utilizing a qualitative approach, the research was conducted from August 2023 to August 2024, with data gathered through a literature review. The paper argues that Islamophobia in Europe is expanding and manifests through six key indicators: discrimination, hate speech and online hatred, Islamophobic policies, right-wing political movements, verbal and physical attacks, and insults directed at the niqab, hijab, and burqa. Key factors influencing the global spread of Islamophobia include the Great Replacement conspiracy theory, white supremacist manifestos, right-wing parties promoting Islamophobic discourse, and the adoption of Islamophobic policies by other countries.</w:t>
      </w:r>
    </w:p>
    <w:p>
      <w:pPr/>
      <w:r>
        <w:rPr>
          <w:b/>
        </w:rPr>
        <w:t>POSSIBLE 2024:</w:t>
      </w:r>
      <w:r>
        <w:t xml:space="preserve"> Economy-wide impacts of socio-politically driven net-zero energy systems in europe — https://doi.org/10.1016/j.energy.2024.130425</w:t>
      </w:r>
    </w:p>
    <w:p>
      <w:pPr/>
      <w:r>
        <w:rPr>
          <w:b/>
        </w:rPr>
        <w:t>Shared claim-specific concepts:</w:t>
      </w:r>
      <w:r>
        <w:t xml:space="preserve"> system, impacts, energy; EU scope visible. This is a provisional connection, not an outcome finding.</w:t>
      </w:r>
    </w:p>
    <w:p>
      <w:pPr>
        <w:pStyle w:val="SourceNote"/>
      </w:pPr>
      <w:r>
        <w:rPr>
          <w:b/>
        </w:rPr>
        <w:t>Available abstract (not full text):</w:t>
      </w:r>
      <w:r>
        <w:t xml:space="preserve"> Net-zero energy system configurations can be met in numerous ways, implying diverse economic effects. However, what is usually ignored in techno-economic and economy-wide analysis are the distinct social-political drivers and barriers, which might constrain certain elements of future energy systems. We thus apply a model ensemble that defines social-political storylines which constrain feasible net-zero configurations of the European energy system. Using these configurations in a macroeconomic general equilibrium model allows us to explore economy-wide effects and ultimately the cost-effectiveness of different systems. We find that social-political storylines provide valuable boundary conditions for feasible net-zero designs of the energy system and that the costliest energy sector configuration in fact leads to the highest European-wide welfare levels. This result originates in indirect effects, particularly positive employment effects, covered by the macroeconomic model. However, adverse public budget effects on the transition to net-zero energy may limit the willingness of policymakers who focus on shorter time-horizons to foster such a development. Our results highlight the relevance of considering the interaction of energy system-changes with labor, emission allowance and capital markets, as well as considering long-term perspectives.</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also, system, high;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Exploring Energy Sufficiency Benefits, Limitations, Deployment, and Opportunities in Europe — https://doi.org/10.51505/ijaemr.2023.8316</w:t>
      </w:r>
    </w:p>
    <w:p>
      <w:pPr/>
      <w:r>
        <w:rPr>
          <w:b/>
        </w:rPr>
        <w:t>Shared claim-specific concepts:</w:t>
      </w:r>
      <w:r>
        <w:t xml:space="preserve"> also, deployment, energy; EU scope visible. This is a provisional connection, not an outcome finding.</w:t>
      </w:r>
    </w:p>
    <w:p>
      <w:pPr>
        <w:pStyle w:val="SourceNote"/>
      </w:pPr>
      <w:r>
        <w:rPr>
          <w:b/>
        </w:rPr>
        <w:t>Available abstract (not full text):</w:t>
      </w:r>
      <w:r>
        <w:t xml:space="preserve">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policies, both, national;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pStyle w:val="Heading2"/>
      </w:pPr>
      <w:r>
        <w:t>773.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2024:</w:t>
      </w:r>
      <w:r>
        <w:t xml:space="preserve"> Learning Transitions in Studying Development: Design, Methodologies/Approaches, Tools in the Digital and Hybrid Platforms — https://doi.org/10.58887/ijodel.v10i1.254</w:t>
      </w:r>
    </w:p>
    <w:p>
      <w:pPr/>
      <w:r>
        <w:rPr>
          <w:b/>
        </w:rPr>
        <w:t>Shared claim-specific concepts:</w:t>
      </w:r>
      <w:r>
        <w:t xml:space="preserve"> design, hybrid, methodologies, but; EU scope not established. This is a provisional connection, not an outcome finding.</w:t>
      </w:r>
    </w:p>
    <w:p>
      <w:pPr>
        <w:pStyle w:val="SourceNote"/>
      </w:pPr>
      <w:r>
        <w:rPr>
          <w:b/>
        </w:rPr>
        <w:t>Available abstract (not full text):</w:t>
      </w:r>
      <w:r>
        <w:t xml:space="preserve">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pPr/>
      <w:r>
        <w:rPr>
          <w:b/>
        </w:rPr>
        <w:t>POSSIBLE 2024:</w:t>
      </w:r>
      <w:r>
        <w:t xml:space="preserve"> Using a co-design methodological approach to optimize perioperative nursing care for older adult patients from ethnically diverse backgrounds: a study protocol — https://doi.org/10.1080/17482631.2024.2349438</w:t>
      </w:r>
    </w:p>
    <w:p>
      <w:pPr/>
      <w:r>
        <w:rPr>
          <w:b/>
        </w:rPr>
        <w:t>Shared claim-specific concepts:</w:t>
      </w:r>
      <w:r>
        <w:t xml:space="preserve"> methodology, approach, findings; EU scope not established. This is a provisional connection, not an outcome finding.</w:t>
      </w:r>
    </w:p>
    <w:p>
      <w:pPr>
        <w:pStyle w:val="SourceNote"/>
      </w:pPr>
      <w:r>
        <w:rPr>
          <w:b/>
        </w:rPr>
        <w:t>Available abstract (not full text):</w:t>
      </w:r>
      <w:r>
        <w:t xml:space="preserve">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pPr>
        <w:pStyle w:val="Heading2"/>
      </w:pPr>
      <w:r>
        <w:t>774.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r>
        <w:rPr>
          <w:b/>
        </w:rPr>
        <w:t>POSSIBLE 2025:</w:t>
      </w:r>
      <w:r>
        <w:t xml:space="preserve"> Money Laundering linked to organized crime as a priority in the EU Integration of Albania: The Role of the Albanian Parliament — https://doi.org/10.58944/ockd7066</w:t>
      </w:r>
    </w:p>
    <w:p>
      <w:pPr/>
      <w:r>
        <w:rPr>
          <w:b/>
        </w:rPr>
        <w:t>Shared claim-specific concepts:</w:t>
      </w:r>
      <w:r>
        <w:t xml:space="preserve"> organized, engagement; EU scope visible. This is a provisional connection, not an outcome finding.</w:t>
      </w:r>
    </w:p>
    <w:p>
      <w:pPr>
        <w:pStyle w:val="SourceNote"/>
      </w:pPr>
      <w:r>
        <w:rPr>
          <w:b/>
        </w:rPr>
        <w:t>Available abstract (not full text):</w:t>
      </w:r>
      <w:r>
        <w:t xml:space="preserve"> This research paper investigates the pivotal role of the Albanian Parliament in addressing money laundering linked to organized crime, positioning it as a critical priority in Albania’s European Union (EU) integration process. It aims to examine how parliamentary functions, particularly legislative, oversight and accountability, contribute to meeting the EU accession criteria with regard to the fights against money laundering of criminal activities. The paper employs qualitative research methods, relying on the collection and analysis of official documents from international institutions, academic literature, policy briefs, legal resolutions, and national legislative instruments. Findings suggest that while notable steps have been taken, including the adoption of relevant laws in line with international standards and approximation with the EU acquis in the field of money laundering, it is important to ensure consistent engagement of the Albanian Parliament in advancing the progress towards meeting EU accession criteria. The paper is limited by the availability of analyses exploring the chosen topic and the challenge of elucidating it in a limited number of words. Nonetheless, it offers valuable insight into the strengthened role of the Albanian Parliament to influence and oversight EU accession path.</w:t>
      </w:r>
    </w:p>
    <w:p>
      <w:pPr/>
      <w:r>
        <w:rPr>
          <w:b/>
        </w:rPr>
        <w:t>POSSIBLE 2024:</w:t>
      </w:r>
      <w:r>
        <w:t xml:space="preserve"> Editorial: European Optical Society Annual Meeting (EOSAM) 2023 — https://doi.org/10.1051/jeos/2024037</w:t>
      </w:r>
    </w:p>
    <w:p>
      <w:pPr/>
      <w:r>
        <w:rPr>
          <w:b/>
        </w:rPr>
        <w:t>Shared claim-specific concepts:</w:t>
      </w:r>
      <w:r>
        <w:t xml:space="preserve"> organized, meetings, experts, three, challenges, between; EU scope visible. This is a provisional connection, not an outcome finding.</w:t>
      </w:r>
    </w:p>
    <w:p>
      <w:pPr>
        <w:pStyle w:val="SourceNote"/>
      </w:pPr>
      <w:r>
        <w:rPr>
          <w:b/>
        </w:rPr>
        <w:t>Available abstract (not full text):</w:t>
      </w:r>
      <w:r>
        <w:t xml:space="preserve">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pPr/>
      <w:r>
        <w:rPr>
          <w:b/>
        </w:rPr>
        <w:t>POSSIBLE 2024:</w:t>
      </w:r>
      <w:r>
        <w:t xml:space="preserve"> Biodiversity monitoring in Europe: User and policy needs — https://doi.org/10.1111/conl.13038</w:t>
      </w:r>
    </w:p>
    <w:p>
      <w:pPr/>
      <w:r>
        <w:rPr>
          <w:b/>
        </w:rPr>
        <w:t>Shared claim-specific concepts:</w:t>
      </w:r>
      <w:r>
        <w:t xml:space="preserve"> experts, engagement, challenges, four, identified; EU scope visible. This is a provisional connection, not an outcome finding.</w:t>
      </w:r>
    </w:p>
    <w:p>
      <w:pPr>
        <w:pStyle w:val="SourceNote"/>
      </w:pPr>
      <w:r>
        <w:rPr>
          <w:b/>
        </w:rPr>
        <w:t>Available abstract (not full text):</w:t>
      </w:r>
      <w:r>
        <w:t xml:space="preserve"> Abstract To achieve the goals of the 2030 Global Biodiversity Framework, the European Biodiversity Strategy, and the EU Green Deal, biodiversity monitoring is critical. Monitoring efforts in Europe, however, suffer from gaps and biases in taxonomy, spatial coverage, and temporal resolution, resulting in fragmented and disconnected data. To assess user and policy needs in biodiversity monitoring, we employed a four‐step user‐centered stakeholder engagement process with over 300 stakeholders including a public stakeholder workshop, online survey, interviews, and a meeting with experts from 18 EU member states, the European Commission, and the European Environment Agency. The stakeholders identified policy needs, current challenges, and potential solutions. Based on the policy and stakeholder assessment, we recommend establishing a European Biodiversity Observation Coordinating Centre to optimize existing observation efforts, harmonize data, and enhance our ability to predict and respond to key challenges related to biodiversity loss in Europe.</w:t>
      </w:r>
    </w:p>
    <w:p>
      <w:pPr>
        <w:pStyle w:val="Heading2"/>
      </w:pPr>
      <w:r>
        <w:t>775.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r>
        <w:rPr>
          <w:b/>
        </w:rPr>
        <w:t>POSSIBLE 2025:</w:t>
      </w:r>
      <w:r>
        <w:t xml:space="preserve"> Projections of Public Spending on Pharmaceuticals: A Review of Methods — https://doi.org/10.1007/s40273-024-01465-w</w:t>
      </w:r>
    </w:p>
    <w:p>
      <w:pPr/>
      <w:r>
        <w:rPr>
          <w:b/>
        </w:rPr>
        <w:t>Shared claim-specific concepts:</w:t>
      </w:r>
      <w:r>
        <w:t xml:space="preserve"> projections, spending, union, trends; EU scope visible. This is a provisional connection, not an outcome finding.</w:t>
      </w:r>
    </w:p>
    <w:p>
      <w:pPr>
        <w:pStyle w:val="SourceNote"/>
      </w:pPr>
      <w:r>
        <w:rPr>
          <w:b/>
        </w:rPr>
        <w:t>Available abstract (not full text):</w:t>
      </w:r>
      <w:r>
        <w:t xml:space="preserve"> BACKGROUND: Forecasting future public pharmaceutical expenditure is a challenge for healthcare payers, particularly owing to the unpredictability of new market introductions and their economic impact. No best-practice forecasting methods have been established so far. The literature distinguishes between the top-down approach, based on historical trends, and the bottom-up approach, using a combination of historical and horizon scanning data. The objective of this review is to describe the methods for projections of pharmaceutical expenditure that apply the "bottom-up" approach and to synthesize the knowledge of their predictive accuracy. METHODS: Projections of public pharmaceutical expenditure applicable to Western economies including a comprehensive method description and published 2000-2024 were searched in scientific databases (MEDLINE, EMBASE, and EconLit) and in gray literature (websites of international health organizations and national healthcare authorities). The data sources, assumptions about the future market dynamics, analytical approaches, and the projection results are summarized. RESULTS: Twenty-four out of 3492 screened publications were included, associated with nine expenditure projection models. Four models were developed for all reimbursable drugs in the USA, the UK, the Stockholm region (Sweden), and seven European Union (EU) countries: France, Germany, Gre</w:t>
      </w:r>
    </w:p>
    <w:p>
      <w:pPr/>
      <w:r>
        <w:rPr>
          <w:b/>
        </w:rPr>
        <w:t>POSSIBLE 2025:</w:t>
      </w:r>
      <w:r>
        <w:t xml:space="preserve"> Economic implications of Demographic Dividend in India: An Analysis — https://doi.org/10.36948/ijfmr.2025.v07i02.42666</w:t>
      </w:r>
    </w:p>
    <w:p>
      <w:pPr/>
      <w:r>
        <w:rPr>
          <w:b/>
        </w:rPr>
        <w:t>Shared claim-specific concepts:</w:t>
      </w:r>
      <w:r>
        <w:t xml:space="preserve"> implications, demographic, population, labour; EU scope not established. This is a provisional connection, not an outcome finding.</w:t>
      </w:r>
    </w:p>
    <w:p>
      <w:pPr>
        <w:pStyle w:val="SourceNote"/>
      </w:pPr>
      <w:r>
        <w:rPr>
          <w:b/>
        </w:rPr>
        <w:t>Available abstract (not full text):</w:t>
      </w:r>
      <w:r>
        <w:t xml:space="preserve"> The Economists and Demographers are debating for a long on the Population Change and Economic Growth nexus that whether population growth promotes, hinders or nothing doing in the development process. In the population dynamics, the changing in the age structure has a number of socio, economic and political implications and hence policymakers with a broad view of development and the complex relation between economic and human development must factor these effects of changing age structure into decisions about their countries’ future. In most of the developing and emerging economies whose mortality and fertility rates are beginning to fall, there is an opportunity for governments to capitalize on the consequent demographic transition, where the number of working age adults grows large relative to the dependent population and potentially acts as a major economic spur. The demographic dividend is the consequence of the demographic transition, this phenomenon occurs when the birth rate begins to decline and the age structure shifts to the working-age group. Number of empirical studies indicates that the overall effect of an ageing national population on total labour productivity is quite small compared to the influence of other factors such as education and institutional support. Generally, a youthful and dynamic population brings fresh ideas and energy to the economy, fostering in</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pStyle w:val="Heading2"/>
      </w:pPr>
      <w:r>
        <w:t>776.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r>
        <w:rPr>
          <w:b/>
        </w:rPr>
        <w:t>POSSIBLE 2024:</w:t>
      </w:r>
      <w:r>
        <w:t xml:space="preserve"> The Link between Gulf Stream Precipitation and European Blocking in General Circulation Models and the Role of Horizontal Resolution — https://doi.org/10.48550/arxiv.2406.12597</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Past studies show that coupled model biases in European blocking and North Atlantic eddy-driven jet variability decrease as one increases the horizontal resolution in the atmospheric and oceanic model components. This has commonly been argued to be related to an alleviation of sea surface temperature (SST) biases due to increased oceanic resolution in particular, with a physical pathway via changes to surface baroclinicity. On the other hand, many studies have now highlighted the key role of diabatic processes in the Gulf Stream region on blocking formation and maintenance. Here, following recent work by Schemm, we leverage a large multi-model ensemble to show that Gulf Stream precipitation variability in coupled models is tightly linked to the simulated frequency of European blocking and northern jet excursions. Furthermore, the reduced biases in blocking and jet variability are consistent with greater precipitation variability as a result of increased atmospheric horizontal resolution.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emphasise here that models run with prescribed SSTs experience greatly reduced precipitation variabili</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2023:</w:t>
      </w:r>
      <w:r>
        <w:t xml:space="preserve"> Overview of interpretive modelling of fusion performance in JET DTE2 discharges with TRANSP — https://doi.org/10.1088/1741-4326/ad0310</w:t>
      </w:r>
    </w:p>
    <w:p>
      <w:pPr/>
      <w:r>
        <w:rPr>
          <w:b/>
        </w:rPr>
        <w:t>Shared claim-specific concepts:</w:t>
      </w:r>
      <w:r>
        <w:t xml:space="preserve"> jet, over, large, characteristics; EU scope not established. This is a provisional connection, not an outcome finding.</w:t>
      </w:r>
    </w:p>
    <w:p>
      <w:pPr>
        <w:pStyle w:val="SourceNote"/>
      </w:pPr>
      <w:r>
        <w:rPr>
          <w:b/>
        </w:rPr>
        <w:t>Available abstract (not full text):</w:t>
      </w:r>
      <w:r>
        <w:t xml:space="preserve"> Abstract In the paper we present an overview of interpretive modelling of a database of JET-ILW 2021 D-T discharges using the TRANSP code. The main aim is to assess our capability of computationally reproducing the fusion performance of various D-T plasma scenarios using different external heating and D-T mixtures, and to understand the performance driving mechanisms. We find that interpretive simulations confirm a general power-law relationship between increasing external heating power and fusion output, which is supported by absolutely calibrated neutron yield measurements. A comparison of measured and computed D-T neutron rates shows that the calculations’ discrepancy depends on the absolute neutron yield. The calculations are found to agree well with measurements for higher performing discharges with external heating power above ∼20 M W , while low-neutron shots display an average discrepancy of around +40% compared to measured neutron yields. A similar trend is found for the ratio between thermal and beam-target fusion, where larger discrepancies are seen in shots with dominant beam-driven performance. We compare the observations to studies of JET-ILW D discharges, to find that on average the fusion performance is well modelled over a range of heating power, although an increased unsystematic deviation for lower-performing shots is observed. The ratio between thermal and b</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several, over, northern, characteristics;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2022:</w:t>
      </w:r>
      <w:r>
        <w:t xml:space="preserve"> Accuracy of numerical wave model results: application to the Atlantic coasts of Europe — https://doi.org/10.5194/os-18-1665-2022</w:t>
      </w:r>
    </w:p>
    <w:p>
      <w:pPr/>
      <w:r>
        <w:rPr>
          <w:b/>
        </w:rPr>
        <w:t>Shared claim-specific concepts:</w:t>
      </w:r>
      <w:r>
        <w:t xml:space="preserve"> propagation, waves; EU scope visible. This is a provisional connection, not an outcome finding.</w:t>
      </w:r>
    </w:p>
    <w:p>
      <w:pPr>
        <w:pStyle w:val="SourceNote"/>
      </w:pPr>
      <w:r>
        <w:rPr>
          <w:b/>
        </w:rPr>
        <w:t>Available abstract (not full text):</w:t>
      </w:r>
      <w:r>
        <w:t xml:space="preserve"> Abstract. Numerical wave models are generally less accurate in the coastal ocean than offshore. It is generally suspected that a number of factors specific to coastal environments can be blamed for these larger model errors: complex shoreline and topography, relatively short fetches, combination of remote swells and local wind seas, less accurate wind fields, presence of strong currents, bottom friction, etc. These factors generally have strong local variations, making it all the more difficult to adapt a particular model setup from one area to another. Here we investigate a wide range of modelling choices including forcing fields, spectral resolution and parameterizations of physical processes in a regional model that covers most of the Atlantic and North Sea coasts. We show that the accurate propagation of waves from offshore is probably the most important factor on exposed shorelines, while other specific effects can be important locally, including winds, currents and bottom friction.</w:t>
      </w:r>
    </w:p>
    <w:p>
      <w:pPr/>
      <w:r>
        <w:rPr>
          <w:b/>
        </w:rPr>
        <w:t>POSSIBLE 2022:</w:t>
      </w:r>
      <w:r>
        <w:t xml:space="preserve"> The evolving story of Borrelia burgdorferi sensu lato transmission in Europe — https://doi.org/10.1007/s00436-022-07445-3</w:t>
      </w:r>
    </w:p>
    <w:p>
      <w:pPr/>
      <w:r>
        <w:rPr>
          <w:b/>
        </w:rPr>
        <w:t>Shared claim-specific concepts:</w:t>
      </w:r>
      <w:r>
        <w:t xml:space="preserve"> several, northern, hemisphere; EU scope visible. This is a provisional connection, not an outcome finding.</w:t>
      </w:r>
    </w:p>
    <w:p>
      <w:pPr>
        <w:pStyle w:val="SourceNote"/>
      </w:pPr>
      <w:r>
        <w:rPr>
          <w:b/>
        </w:rPr>
        <w:t>Available abstract (not full text):</w:t>
      </w:r>
      <w:r>
        <w:t xml:space="preserve"> Beside mosquitoes, ticks are well-known vectors of different human pathogens. In the Northern Hemisphere, Lyme borreliosis (Eurasia, LB) or Lyme disease (North America, LD) is the most commonly occurring vector-borne infectious disease caused by bacteria of the genus Borrelia which are transmitted by hard ticks of the genus Ixodes. The reported incidence of LB in Europe is about 22.6 cases per 100,000 inhabitants annually with a broad range depending on the geographical area analyzed. However, the epidemiological data are largely incomplete, because LB is not notifiable in all European countries. Furthermore, not only differ reporting procedures between countries, there is also variation in case definitions and diagnostic procedures. Lyme borreliosis is caused by several species of the Borrelia (B.) burgdorferi sensu lato (s.l.) complex which are maintained in complex networks including ixodid ticks and different reservoir hosts. Vector and host influence each other and are affected by multiple factors including climate that have a major impact on their habitats and ecology. To classify factors that influence the risk of transmission of B. burgdorferi s.l. to their different vertebrate hosts as well as to humans, we briefly summarize the current knowledge about the pathogens including their astonishing ability to overcome various host immune responses, regarding the main vector</w:t>
      </w:r>
    </w:p>
    <w:p>
      <w:pPr/>
      <w:r>
        <w:rPr>
          <w:b/>
        </w:rPr>
        <w:t>POSSIBLE 2022:</w:t>
      </w:r>
      <w:r>
        <w:t xml:space="preserve"> Species Distribution Modeling Reveals Recent Shifts in Suitable Habitat for Six North American Cypripedium spp. (Orchidaceae) — https://doi.org/10.3390/d14090694</w:t>
      </w:r>
    </w:p>
    <w:p>
      <w:pPr/>
      <w:r>
        <w:rPr>
          <w:b/>
        </w:rPr>
        <w:t>Shared claim-specific concepts:</w:t>
      </w:r>
      <w:r>
        <w:t xml:space="preserve"> shifted, northwards, over; EU scope not established. This is a provisional connection, not an outcome finding.</w:t>
      </w:r>
    </w:p>
    <w:p>
      <w:pPr>
        <w:pStyle w:val="SourceNote"/>
      </w:pPr>
      <w:r>
        <w:rPr>
          <w:b/>
        </w:rPr>
        <w:t>Available abstract (not full text):</w:t>
      </w:r>
      <w:r>
        <w:t xml:space="preserve"> Accelerating climate change is expected to cause range shifts of numerous taxa worldwide. While climatic projections and predicted consequences typically focus on the future (2050 or later), a measurable change in climatic conditions has occurred over recent decades. We investigate whether recent climate change has caused measurable shifts in suitable habitat for six North American species in the highly threatened genus Cypripedium (Orchidaceae). We constructed species distribution models using a maximum entropy approach from species occurrence records, 19 bioclimatic variables, land cover data, and soil data for two decadal time intervals (1980–1989 and 2010–2019). Models were compared between time intervals to assess shifts in locality, size, fragmentation, and mean elevation of suitable habitat. For all six congeners, the centroids of suitable habitat shifted between time intervals, although the directionality varied. There was, however, consistency among species within geographic regions. Consistent with our expectations, the optimal habitat for most species shifted to a higher elevation and for western species it shifted northwards. However, the habitat for one northwestern species shifted southwards and the habitat for eastern species converged on the Great Lakes region from different directions. This work illustrates the somewhat idiosyncratic responses of congeneric spe</w:t>
      </w:r>
    </w:p>
    <w:p>
      <w:pPr>
        <w:pStyle w:val="Heading2"/>
      </w:pPr>
      <w:r>
        <w:t>777.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r>
        <w:rPr>
          <w:b/>
        </w:rPr>
        <w:t>POSSIBLE 2023:</w:t>
      </w:r>
      <w:r>
        <w:t xml:space="preserve"> PREVALENCE OF OBESITY AND METABOLIC SYNDROME IN YOUNG PEOPLE: CURRENT STATE OF THE PROBLEM — https://doi.org/10.32782/2522-1795.2023.14.5</w:t>
      </w:r>
    </w:p>
    <w:p>
      <w:pPr/>
      <w:r>
        <w:rPr>
          <w:b/>
        </w:rPr>
        <w:t>Shared claim-specific concepts:</w:t>
      </w:r>
      <w:r>
        <w:t xml:space="preserve"> increase, prevalence, obesity, every; EU scope visible. This is a provisional connection, not an outcome finding.</w:t>
      </w:r>
    </w:p>
    <w:p>
      <w:pPr>
        <w:pStyle w:val="SourceNote"/>
      </w:pPr>
      <w:r>
        <w:rPr>
          <w:b/>
        </w:rPr>
        <w:t>Available abstract (not full text):</w:t>
      </w:r>
      <w:r>
        <w:t xml:space="preserve"> The purpose of the article is to study the current state of the problem related to prevalence of obesity and metabolic syndrome in young people. Research methods. The theoretical analysis of special literature sources involved the use of a number of the following methods: reconstruction, apperception, aspect analysis, hermeneutic analysis and critical analysis. Results. Previously, it was believed that the problem of obesity is relevant for countries with a high living standards, but now the number of young people suffering from excess body weight and obesity is increasing in low- and middle-income countries, especially in urban settings. The prevalence of metabolic syndrome among young people causes concern among specialists. According to the results of numerous studies, every fourth person in the population has signs of metabolic syndrome, the prevalence of which increases over the time. In recent years, the world’s leading health organizations - WHO, National Cholesterol Education Program, International Diabetes Federation – studied the problem of metabolic syndrome emergence, developed approaches to its diagnosis and treatment, as a result of which the concept of metabolic syndrome as a cluster of risk factors for type 2 diabetes type and cardiovascular diseases, underwent a number of evolutionary transformations. In the historical aspect, the most significant identificatio</w:t>
      </w:r>
    </w:p>
    <w:p>
      <w:pPr/>
      <w:r>
        <w:rPr>
          <w:b/>
        </w:rPr>
        <w:t>POSSIBLE 2022:</w:t>
      </w:r>
      <w:r>
        <w:t xml:space="preserve"> Prevalence and Correlates of Overweight and Obesity in 12 European Countries in 2017–2018 — https://doi.org/10.1159/000525792</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pPr/>
      <w:r>
        <w:rPr>
          <w:b/>
        </w:rPr>
        <w:t>POSSIBLE 2022:</w:t>
      </w:r>
      <w:r>
        <w:t xml:space="preserve"> A 2022 update on the epidemiology of obesity and a call to action: as its twin COVID-19 pandemic appears to be receding, the obesity and dysmetabolism pandemic continues to rage on — https://doi.org/10.1016/j.metabol.2022.155217</w:t>
      </w:r>
    </w:p>
    <w:p>
      <w:pPr/>
      <w:r>
        <w:rPr>
          <w:b/>
        </w:rPr>
        <w:t>Shared claim-specific concepts:</w:t>
      </w:r>
      <w:r>
        <w:t xml:space="preserve"> increase, prevalence, obesity, obese; EU scope visible. This is a provisional connection, not an outcome finding.</w:t>
      </w:r>
    </w:p>
    <w:p>
      <w:pPr>
        <w:pStyle w:val="SourceNote"/>
      </w:pPr>
      <w:r>
        <w:rPr>
          <w:b/>
        </w:rPr>
        <w:t>Available abstract (not full text):</w:t>
      </w:r>
      <w:r>
        <w:t xml:space="preserve">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pPr/>
      <w:r>
        <w:rPr>
          <w:b/>
        </w:rPr>
        <w:t>POSSIBLE 2022:</w:t>
      </w:r>
      <w:r>
        <w:t xml:space="preserve"> Prevalence and Socioeconomic Correlates of Adult Obesity in Europe: The Feel4Diabetes Study — https://doi.org/10.3390/ijerph191912572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pPr/>
      <w:r>
        <w:rPr>
          <w:b/>
        </w:rPr>
        <w:t>POSSIBLE 2022:</w:t>
      </w:r>
      <w:r>
        <w:t xml:space="preserve"> Supplementary Material for: Prevalence and correlates of overweight and obesity in 12 European Countries in 2017-2018 — https://doi.org/10.6084/m9.figshare.20417997</w:t>
      </w:r>
    </w:p>
    <w:p>
      <w:pPr/>
      <w:r>
        <w:rPr>
          <w:b/>
        </w:rPr>
        <w:t>Shared claim-specific concepts:</w:t>
      </w:r>
      <w:r>
        <w:t xml:space="preserve"> prevalence, obesity, adult, obese; EU scope visible. This is a provisional connection, not an outcome finding.</w:t>
      </w:r>
    </w:p>
    <w:p>
      <w:pPr>
        <w:pStyle w:val="SourceNote"/>
      </w:pPr>
      <w:r>
        <w:rPr>
          <w:b/>
        </w:rPr>
        <w:t>Available abstract (not full text):</w:t>
      </w:r>
      <w:r>
        <w:t xml:space="preserve">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pPr>
        <w:pStyle w:val="Heading2"/>
      </w:pPr>
      <w:r>
        <w:t>778.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2022:</w:t>
      </w:r>
      <w:r>
        <w:t xml:space="preserve"> Educational divides and class coalitions: How mainstream party voters divide and unite over immigration issues — https://doi.org/10.1080/1369183x.2022.2134989</w:t>
      </w:r>
    </w:p>
    <w:p>
      <w:pPr/>
      <w:r>
        <w:rPr>
          <w:b/>
        </w:rPr>
        <w:t>Shared claim-specific concepts:</w:t>
      </w:r>
      <w:r>
        <w:t xml:space="preserve"> mainstream, academic, internal; EU scope visible. This is a provisional connection, not an outcome finding.</w:t>
      </w:r>
    </w:p>
    <w:p>
      <w:pPr>
        <w:pStyle w:val="SourceNote"/>
      </w:pPr>
      <w:r>
        <w:rPr>
          <w:b/>
        </w:rPr>
        <w:t>Available abstract (not full text):</w:t>
      </w:r>
      <w:r>
        <w:t xml:space="preserve"> At the extremes of the transnational cleavage in Western European democracies, voters for far-right and green parties tend to hold polarising immigration attitudes. Yet, the extent to which immigration concerns divide mainstream left and right voters, and drive vote-choice at the ballot box for mainstream parties, is under-researched. In this article, I disentangle both immigration attitudes and mainstream electorates to answer these questions. I show that immigration issues divide electorates within the mainstream left and right along educational lines. Yet, the divide between low-educated and highly-educated voters, in particular regarding their cultural immigration concerns, is larger for the mainstream left. Secondly, turning to the drivers of vote choice, I find that cultural immigration issues explain voting for the mainstream right, particularly for lower educated voters, whereas economic concerns are associated with voting for the mainstream left, despite education level. The paper contributes to ongoing debates about immigration issues and voting by recalibrating the academic focus towards mainstream party electorates and internal divisions therein.</w:t>
      </w:r>
    </w:p>
    <w:p>
      <w:pPr/>
      <w:r>
        <w:rPr>
          <w:b/>
        </w:rPr>
        <w:t>POSSIBLE 2021:</w:t>
      </w:r>
      <w:r>
        <w:t xml:space="preserve"> Freedom for me and, perhaps, you – but surely not them? Attitudes to new religions in contemporary democracies — https://doi.org/10.32420/rs.2020.25.2169</w:t>
      </w:r>
    </w:p>
    <w:p>
      <w:pPr/>
      <w:r>
        <w:rPr>
          <w:b/>
        </w:rPr>
        <w:t>Shared claim-specific concepts:</w:t>
      </w:r>
      <w:r>
        <w:t xml:space="preserve"> but, surely, united; EU scope visible. This is a provisional connection, not an outcome finding.</w:t>
      </w:r>
    </w:p>
    <w:p>
      <w:pPr>
        <w:pStyle w:val="SourceNote"/>
      </w:pPr>
      <w:r>
        <w:rPr>
          <w:b/>
        </w:rPr>
        <w:t>Available abstract (not full text):</w:t>
      </w:r>
      <w:r>
        <w:t xml:space="preserve"> Throughout history, new religious movements (NRMs) have been treated with suspicion and fear. Although contemporary democracies do not throw members of NRMs to the lions or burn them at the stake, they have ways and means of making it clear that pluralism and freedom of religion have their limits. The limits to pluralism are evident enough in countries such as Saudi Arabia or North Korea that have regimes stipulating that citizens must adhere exclusively to their one and only True religion or ideology. Limitations to pluralism have also been manifest in countries such as Northern Nigeria, Sri Lanka or Myanmar (Burma), where terrorists have used violence to eliminate religions other than their own. Even otherwise peaceful democracies – that have signed the United Nations Universal Declaration of Human Rights, the European Convention on Human Rights, and other statements affirming freedom of belief (and non-belief) for all – can discriminate against religions, especially the new religious movements in their midst, and this they do in a variety of ways [Richardson 1994; Lindholm 2004; Kirkham 2013]. This paper outlines, from the perspective of a sociologist of religion, some of the ways in which such attitudes toward, and treatment of, NRMs can demonstrate more subtle, but nevertheless marked and serious limitations to freedom, even in societies that pride themselves on their prog</w:t>
      </w:r>
    </w:p>
    <w:p>
      <w:pPr/>
      <w:r>
        <w:rPr>
          <w:b/>
        </w:rPr>
        <w:t>POSSIBLE 2020:</w:t>
      </w:r>
      <w:r>
        <w:t xml:space="preserve"> The future of the European Union : demisting the debate — https://openalex.org/W3048134530</w:t>
      </w:r>
    </w:p>
    <w:p>
      <w:pPr/>
      <w:r>
        <w:rPr>
          <w:b/>
        </w:rPr>
        <w:t>Shared claim-specific concepts:</w:t>
      </w:r>
      <w:r>
        <w:t xml:space="preserve"> debate, union, brexit; EU scope visible. This is a provisional connection, not an outcome finding.</w:t>
      </w:r>
    </w:p>
    <w:p>
      <w:pPr>
        <w:pStyle w:val="SourceNote"/>
      </w:pPr>
      <w:r>
        <w:rPr>
          <w:b/>
        </w:rPr>
        <w:t>Available abstract (not full text):</w:t>
      </w:r>
      <w:r>
        <w:t xml:space="preserve"> Does Europe have a collective future, or will the coming years be marked by increasingly incoherent developments within the heterogeneous EU? There is no denying that the second decade of this century has seen a strong mood shift away from the inter-dependence and concerted actions that guided Europe’s national governments since the end of World War II, and then since the fall of the Berlin Wall. What connections, if any, are there between the paroxysms of Brexit in the UK and the varying shades of populism in continental Europe? The common denominator may simply be the painful economic pressures resulting from waning global competitiveness. It is clear that the high ideals of the European project no longer exert the same political pull. The EU’s dreams of progressing almost seamlessly from a trading zone to a shared political economy are not being realised. Where are the convergence policies that would exert centripetal rather than centrifugal forces? Where is the appetite for reforms leading to political union, and whatever happened to the idea of Europeans speaking with one voice? If the EU continues along its present path, the verdict of history may well be that it achieved little more than the welter of regulations needed to ensure trade flows. In geopolitical terms, Europe as a major player on the world stage may have been an illusion largely created by aggregating nation</w:t>
      </w:r>
    </w:p>
    <w:p>
      <w:pPr/>
      <w:r>
        <w:rPr>
          <w:b/>
        </w:rPr>
        <w:t>POSSIBLE 2020:</w:t>
      </w:r>
      <w:r>
        <w:t xml:space="preserve"> The Rise of Green Finance in Europe : Opportunities and Challenges for Issuers, Investors and Marketplaces — https://openalex.org/W3206542167</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book offers a comprehensive discussion of how green finance has been growing thus far and explores the opportunities and key developments ahead, with particular emphasis on Europe. The main features of the market, the key products, the issue of correctly defining green finance, the main policy actions undertaken, the risk of green washing and the necessary steps to mainstream green finance are discussed in depth. In addition, the book analyses some highly relevant aspects of the market that so far have not been sufficiently explored in the policy, industry and academic debate. This includes the potential role of digitalisation and blockchain in fostering green finance, the crucial role of the effective financing of the agriculture to reach climate and environmental targets and the possible relationship between sustainable finance and other forms of "alternative" finance. This book will be of interest to academics, practitioners, financial institutions and policy makers involved in green finance and to the finance industry in general.</w:t>
      </w:r>
    </w:p>
    <w:p>
      <w:pPr>
        <w:pStyle w:val="Heading2"/>
      </w:pPr>
      <w:r>
        <w:t>779.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r>
        <w:rPr>
          <w:b/>
        </w:rPr>
        <w:t>POSSIBLE 2025:</w:t>
      </w:r>
      <w:r>
        <w:t xml:space="preserve"> Beyond Automation: The Emergence of Agentic Urban AI — https://doi.org/10.3390/automation6030029</w:t>
      </w:r>
    </w:p>
    <w:p>
      <w:pPr/>
      <w:r>
        <w:rPr>
          <w:b/>
        </w:rPr>
        <w:t>Shared claim-specific concepts:</w:t>
      </w:r>
      <w:r>
        <w:t xml:space="preserve"> emergence, urban, city, need; EU scope not established. This is a provisional connection, not an outcome finding.</w:t>
      </w:r>
    </w:p>
    <w:p>
      <w:pPr>
        <w:pStyle w:val="SourceNote"/>
      </w:pPr>
      <w:r>
        <w:rPr>
          <w:b/>
        </w:rPr>
        <w:t>Available abstract (not full text):</w:t>
      </w:r>
      <w:r>
        <w:t xml:space="preserve"> Urban systems are transforming as artificial intelligence (AI) evolves from automation to Agentic Urban AI (AI systems with autonomous goal-setting and decision-making capabilities), which independently define and pursue urban objectives. This shift necessitates reassessing governance, planning, and ethics. Using a conceptual-methodological approach, this study integrates urban studies, AI ethics, and governance theory. Through a literature review and case studies of platforms like Alibaba’s City Brain and CityMind AI Agent, it identifies early agency indicators, such as strategic adaptation and goal re-prioritisation. A typology distinguishing automation, autonomy, and agency clarifies AI-driven urban decision-making. Three trajectories are proposed: fully autonomous Agentic AI, collaborative Hybrid Urban Agency, and constrained Non-Agentic AI to mitigate ethical risks. The findings highlight the need for participatory, transparent governance to ensure democratic accountability and social equity in cognitive urban ecosystems.</w:t>
      </w:r>
    </w:p>
    <w:p>
      <w:pPr/>
      <w:r>
        <w:rPr>
          <w:b/>
        </w:rPr>
        <w:t>POSSIBLE 2025:</w:t>
      </w:r>
      <w:r>
        <w:t xml:space="preserve"> The Evolution of Restoration Ideologies: The Emergence, Disappearance, and Revival of the Palatine Gate as an Urban Axis Node — https://doi.org/10.56397/saa.2025.04.01</w:t>
      </w:r>
    </w:p>
    <w:p>
      <w:pPr/>
      <w:r>
        <w:rPr>
          <w:b/>
        </w:rPr>
        <w:t>Shared claim-specific concepts:</w:t>
      </w:r>
      <w:r>
        <w:t xml:space="preserve"> emergence, urban, city, techniques, focuses; EU scope visible. This is a provisional connection, not an outcome finding.</w:t>
      </w:r>
    </w:p>
    <w:p>
      <w:pPr>
        <w:pStyle w:val="SourceNote"/>
      </w:pPr>
      <w:r>
        <w:rPr>
          <w:b/>
        </w:rPr>
        <w:t>Available abstract (not full text):</w:t>
      </w:r>
      <w:r>
        <w:t xml:space="preserve"> This paper focuses on the Porta Palatina in Turin, Italy, analyzing its emergence, disappearance, and revival as a node of the urban axis. Using this as a central thread, it explores the evolution of restoration ideologies in Italy. Constructed in the 1st century BCE, Porta Palatina served as a crucial gateway to the ancient Roman city of Turin, marking the starting point of Caesar’s Gallic Wars and the spread of Roman civilization. Over the course of Turin’s urban transformation, the role of Porta Palatina as a city axis shifted through three distinct phases: from being a military and political center in Roman times, to being abandoned during the Baroque period, and finally, to its revival and rediscovery in modern times. This study delves into the restoration journey of Porta Palatina, spanning from stylistic restoration in the mid-19th century to scientific restoration in the 20th century, and culminating in archaeological park design in the 21st century. It illustrates the transition of Italian restoration ideologies from Romanticism to modern scientific conservation. By examining restoration practices across different eras, this paper uncovers the interactions between restoration theory and culture, history, and technology. It emphasizes that restoration is not only an advancement in architectural techniques but also a respect for and preservation of historical culture. Th</w:t>
      </w:r>
    </w:p>
    <w:p>
      <w:pPr/>
      <w:r>
        <w:rPr>
          <w:b/>
        </w:rPr>
        <w:t>POSSIBLE 2025:</w:t>
      </w:r>
      <w:r>
        <w:t xml:space="preserve"> Urban systems in medium-sized cities: the two forces and the emergence of a flower structure — https://doi.org/10.1016/j.cities.2025.106099</w:t>
      </w:r>
    </w:p>
    <w:p>
      <w:pPr/>
      <w:r>
        <w:rPr>
          <w:b/>
        </w:rPr>
        <w:t>Shared claim-specific concepts:</w:t>
      </w:r>
      <w:r>
        <w:t xml:space="preserve"> emergence, urban, city, need; EU scope visible. This is a provisional connection, not an outcome finding.</w:t>
      </w:r>
    </w:p>
    <w:p>
      <w:pPr>
        <w:pStyle w:val="SourceNote"/>
      </w:pPr>
      <w:r>
        <w:rPr>
          <w:b/>
        </w:rPr>
        <w:t>Available abstract (not full text):</w:t>
      </w:r>
      <w:r>
        <w:t xml:space="preserve"> This article discovers the unique dynamics shaping medium-sized cities (populations between 100,000 and 500,000) and addresses a less explored area: understanding how the balance between centralization and population density creates distinct urban forms. Medium-sized cities often exhibit a predominantly monocentric structure, with central hub concentrating economic activities, government services or cultural institutions. But as they expand, population density begins to shape more localized clusters of amenities in outlying areas, forming what we term a “flower structure.” In this setup, a central hub is surrounded by “petals” or clusters that each offer services close to home while staying connected to the city centre. This research positions medium-sized cities between the polycentricity often observed in larger urban centres and the monocentric patterns typical of smaller towns. Using Košice, Slovakia, as a case study, we employ regression models to trace how distance from the core and population density work together to shape these service clusters. The findings reveal a blend of centralized and decentralized spaces that offer practical accessibility in different parts of the city. This model encourages urban planners to think beyond a single core, opening up new strategies for the 15-minute city concept, which emphasizes self-sufficient neighbourhoods. The study also sugge</w:t>
      </w:r>
    </w:p>
    <w:p>
      <w:pPr>
        <w:pStyle w:val="Heading2"/>
      </w:pPr>
      <w:r>
        <w:t>780.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2025:</w:t>
      </w:r>
      <w:r>
        <w:t xml:space="preserve"> Analyzing Long-Term Trends in Air Temperature and Precipitation in Bel-Ksiri, Morocco (1980–2024) — https://doi.org/10.22194/jgias/25.1707</w:t>
      </w:r>
    </w:p>
    <w:p>
      <w:pPr/>
      <w:r>
        <w:rPr>
          <w:b/>
        </w:rPr>
        <w:t>Shared claim-specific concepts:</w:t>
      </w:r>
      <w:r>
        <w:t xml:space="preserve"> long-term, temperature, summer, precipitation; EU scope not established. This is a provisional connection, not an outcome finding.</w:t>
      </w:r>
    </w:p>
    <w:p>
      <w:pPr>
        <w:pStyle w:val="SourceNote"/>
      </w:pPr>
      <w:r>
        <w:rPr>
          <w:b/>
        </w:rPr>
        <w:t>Available abstract (not full text):</w:t>
      </w:r>
      <w:r>
        <w:t xml:space="preserve"> The study analyzes climate change in Bel-Ksiri. It provides an understanding of long-term trends (1980-2024) and changes between the last two standard twenty-year climate periods: 1980-2000 and 2001-2020.In this study, we determined the trend of the two variables studied using the Mann-Kendall test and calculated the difference and relative variations in temperature and precipitation. The Kolmogorov-Smirnov test (KS test) was used to compare the two climate periods studied (1980-2000 and 2001-2020). Data analysis was performed using the Python language. Climate trends from 1980 to 2024 reveal a marked warming, particularly in spring and summer, with an increase in daily temperature variations, exacerbating the risk of drought and impacting agriculture, water resources and health. The periods 1980-2000 and 2001-2020 show significant differences, notably an increase in maximum and minimum night-time temperatures, particularly during summer and spring. Analysis of climate indices, such as TX90p and TN90p, shows increases in temperature extremes, with notable rises in hot days and warm nights, underlining gradual warming. The TX30, TX35, TX37 and TX39 indices also show significant increases. Hot spells (WSDI) and cold spells (CSDI) have intensified, although some trends are not statistically significant. These results confirm a marked climate change, with significant impacts on eco</w:t>
      </w:r>
    </w:p>
    <w:p>
      <w:pPr/>
      <w:r>
        <w:rPr>
          <w:b/>
        </w:rPr>
        <w:t>POSSIBLE 2025:</w:t>
      </w:r>
      <w:r>
        <w:t xml:space="preserve"> Regional climate projections using a deep-learning–based model-ranking and downscaling framework: application to European climate zones — https://doi.org/10.1007/s11356-025-36872-9</w:t>
      </w:r>
    </w:p>
    <w:p>
      <w:pPr/>
      <w:r>
        <w:rPr>
          <w:b/>
        </w:rPr>
        <w:t>Shared claim-specific concepts:</w:t>
      </w:r>
      <w:r>
        <w:t xml:space="preserve"> temperature, txx, multi-model, projections; EU scope visible. This is a provisional connection, not an outcome finding.</w:t>
      </w:r>
    </w:p>
    <w:p>
      <w:pPr>
        <w:pStyle w:val="SourceNote"/>
      </w:pPr>
      <w:r>
        <w:rPr>
          <w:b/>
        </w:rPr>
        <w:t>Available abstract (not full text):</w:t>
      </w:r>
      <w:r>
        <w:t xml:space="preserve">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pPr>
        <w:pStyle w:val="Heading2"/>
      </w:pPr>
      <w:r>
        <w:t>781.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2025:</w:t>
      </w:r>
      <w:r>
        <w:t xml:space="preserve"> Interdisciplinary and interdisciplinary integration in mathematics teaching — https://doi.org/10.56334/sei/8.3.72</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Improving the quality of education is always one of the priority issues.High school math teaching and related topics are always relevant.Learning to solve problems increases students' interest in the subject being studied.Various methods and tools are widely used in teaching problem solving in high school mathematics.To analyze the problem and its solution, you can change the data in the problem, find it, replace it with others, which can be viewed as a situation that increases the skill of students.Determining the dependencies between lines of content and their integration is one of the basic learning conditions.Students often have difficulty applying algebraic and geometric content strings at the same time when solving word problems.To overcome this difficulty, consideration should be given to the use of interdisciplinary and interdisciplinary integration.In solving such problems, it is important that students, in addition to theoretical material, have knowledge based on deductive reasoning.Although the teaching approach based on general pedagogical laws is the same for all subjects, each subject has its own characteristics.Given these similarities and differences, the development of interdisciplinary and interdisciplinary relationships should be seen as one of the key factors in improving the quality of education.The high school mathematics course covers many of the subjects</w:t>
      </w:r>
    </w:p>
    <w:p>
      <w:pPr/>
      <w:r>
        <w:rPr>
          <w:b/>
        </w:rPr>
        <w:t>POSSIBLE 2025:</w:t>
      </w:r>
      <w:r>
        <w:t xml:space="preserve"> Critical thinking as an interdisciplinary scientific problem — https://doi.org/10.17072/2078-7898/2025-2-182-195</w:t>
      </w:r>
    </w:p>
    <w:p>
      <w:pPr/>
      <w:r>
        <w:rPr>
          <w:b/>
        </w:rPr>
        <w:t>Shared claim-specific concepts:</w:t>
      </w:r>
      <w:r>
        <w:t xml:space="preserve"> interdisciplinary, creation, three, based; EU scope not established. This is a provisional connection, not an outcome finding.</w:t>
      </w:r>
    </w:p>
    <w:p>
      <w:pPr>
        <w:pStyle w:val="SourceNote"/>
      </w:pPr>
      <w:r>
        <w:rPr>
          <w:b/>
        </w:rPr>
        <w:t>Available abstract (not full text):</w:t>
      </w:r>
      <w:r>
        <w:t xml:space="preserve"> Critical thinking is one of the rapidly developing fields in practical pedagogy, state educational policy, personality psychology, and professional activities. However, research on critical thinking has not yet formed a system of scientific approaches, while existing solutions are limited to identifying the disciplines in which critical thinking is studied. Disciplinary division contributes to the accumulation of concepts but does not lead to scientific discussion, competition of theories, or historical change of ideas (i.e., to the emergence of scientific approaches). As an alternative, the paper proposes creation of an interdisciplinary foundation for critical thinking research. The study aims to identify contradictions in existing descriptions of critical thinking research as an interdisciplinary problem and to find a way to resolve these contradictions. Methodologically, the analysis is based on V.V. Matskevich’s concept of approach (strategies and programs in science, politics, or in the organization of life and activity of people through which paradigm structures and mechanisms in cognition and/or practice are expressed) and the system of historical types of scientific rationality proposed by V.S. Stepin (classical, non-classical, and post-non-classical). According to the classical approach, critical thinking is based on objective scientific standards independent of socio</w:t>
      </w:r>
    </w:p>
    <w:p>
      <w:pPr/>
      <w:r>
        <w:rPr>
          <w:b/>
        </w:rPr>
        <w:t>POSSIBLE 2025:</w:t>
      </w:r>
      <w:r>
        <w:t xml:space="preserve"> Integrating Generative Artificial Intelligence into Interdisciplinary Research: Cognitive Requirements and Implications for Design — https://doi.org/10.1177/10711813251376982</w:t>
      </w:r>
    </w:p>
    <w:p>
      <w:pPr/>
      <w:r>
        <w:rPr>
          <w:b/>
        </w:rPr>
        <w:t>Shared claim-specific concepts:</w:t>
      </w:r>
      <w:r>
        <w:t xml:space="preserve"> interdisciplinary, creation, three; EU scope not established. This is a provisional connection, not an outcome finding.</w:t>
      </w:r>
    </w:p>
    <w:p>
      <w:pPr>
        <w:pStyle w:val="SourceNote"/>
      </w:pPr>
      <w:r>
        <w:rPr>
          <w:b/>
        </w:rPr>
        <w:t>Available abstract (not full text):</w:t>
      </w:r>
      <w:r>
        <w:t xml:space="preserve"> This paper describes a cognitive task analysis (CTA) for developing design recommendations to inform the design of a tool that supports interdisciplinary research using generative artificial intelligence (GenAI). The Generative Embeddings Network-based Semantic Inference and Search (GENESIS) prototype is being developed to enable researchers to explore and understand fields of knowledge beyond their areas of specialization. CTA findings include a task diagram outlining three main tasks of interdisciplinary research (information seeking, integration, and creation), cognitive requirements associated with each task, and design recommendations for integrating GenAI into the interdisciplinary research process.</w:t>
      </w:r>
    </w:p>
    <w:p>
      <w:pPr/>
      <w:r>
        <w:rPr>
          <w:b/>
        </w:rPr>
        <w:t>POSSIBLE 2024:</w:t>
      </w:r>
      <w:r>
        <w:t xml:space="preserve"> Explainable Artificial Intelligence (XAI) 2.0: A manifesto of open challenges and interdisciplinary research directions — https://doi.org/10.1016/j.inffus.2024.102301</w:t>
      </w:r>
    </w:p>
    <w:p>
      <w:pPr/>
      <w:r>
        <w:rPr>
          <w:b/>
        </w:rPr>
        <w:t>Shared claim-specific concepts:</w:t>
      </w:r>
      <w:r>
        <w:t xml:space="preserve"> interdisciplinary, road, map, based; EU scope not established. This is a provisional connection, not an outcome finding.</w:t>
      </w:r>
    </w:p>
    <w:p>
      <w:pPr>
        <w:pStyle w:val="SourceNote"/>
      </w:pPr>
      <w:r>
        <w:rPr>
          <w:b/>
        </w:rPr>
        <w:t>Available abstract (not full text):</w:t>
      </w:r>
      <w:r>
        <w:t xml:space="preserve">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pPr>
        <w:pStyle w:val="Heading2"/>
      </w:pPr>
      <w:r>
        <w:t>782.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r>
        <w:rPr>
          <w:b/>
        </w:rPr>
        <w:t>POSSIBLE 2023:</w:t>
      </w:r>
      <w:r>
        <w:t xml:space="preserve"> Designing Corpus-Creation Tools for Language Revitalization — https://doi.org/10.1353/dic.2023.a915069</w:t>
      </w:r>
    </w:p>
    <w:p>
      <w:pPr/>
      <w:r>
        <w:rPr>
          <w:b/>
        </w:rPr>
        <w:t>Shared claim-specific concepts:</w:t>
      </w:r>
      <w:r>
        <w:t xml:space="preserve"> describe, use, tool; EU scope not established. This is a provisional connection, not an outcome finding.</w:t>
      </w:r>
    </w:p>
    <w:p>
      <w:pPr>
        <w:pStyle w:val="SourceNote"/>
      </w:pPr>
      <w:r>
        <w:rPr>
          <w:b/>
        </w:rPr>
        <w:t>Available abstract (not full text):</w:t>
      </w:r>
      <w:r>
        <w:t xml:space="preserve"> ABSTRACT: We have developed a set of corpus-creation tools to support the documentation and revitalization of Isga I?abi (also known as Stoney ), a Siouan language spoken in Alberta. This project has emerged from a collaboration between community language champions and university-based researchers, with the goal of creating a new generation of Stoney speakers. The initial phase of the project has focused on expanding the documentary record of the language by creating a corpus of spoken Isga I?abi, recorded from nearly a dozen fluent speakers. We describe the particular constraints that informed the design of the project and how they led us to create several new tools for elicitation. First was an adaptation of the Summer Institute of Linguistics' Rapid Words Collection method, where, instead of focusing on individual lexemes, we collected thematically organized sentences displaying targeted grammatical properties. Next, we developed a photo prompter tool, which allows speakers to describe what they see in a photo, but also to discuss the photo with other speakers in spontaneous discourse. These simple tools allow the speakers to handle the day-to-day work of language documentation themselves, without needing a linguist to be present during those sessions. The outputs from this process (currently over fifty hours of audio) will find their way into various resources and activitie</w:t>
      </w:r>
    </w:p>
    <w:p>
      <w:pPr/>
      <w:r>
        <w:rPr>
          <w:b/>
        </w:rPr>
        <w:t>POSSIBLE 2023:</w:t>
      </w:r>
      <w:r>
        <w:t xml:space="preserve"> CREATION OF YOUR OWN TOOLS IN THE GEOGEBRA SOFTWARE — https://doi.org/10.32782/2663-6085/2023/56.2.5</w:t>
      </w:r>
    </w:p>
    <w:p>
      <w:pPr/>
      <w:r>
        <w:rPr>
          <w:b/>
        </w:rPr>
        <w:t>Shared claim-specific concepts:</w:t>
      </w:r>
      <w:r>
        <w:t xml:space="preserve"> use, effective, creation; EU scope not established. This is a provisional connection, not an outcome finding.</w:t>
      </w:r>
    </w:p>
    <w:p>
      <w:pPr>
        <w:pStyle w:val="SourceNote"/>
      </w:pPr>
      <w:r>
        <w:rPr>
          <w:b/>
        </w:rPr>
        <w:t>Available abstract (not full text):</w:t>
      </w:r>
      <w:r>
        <w:t xml:space="preserve"> Успіхи науковців та інженерів у сфері комп’ютерної графіки дозволяють дедалі легше та комфортніше працювати з тривимірними об’єктами за допомогою різного програмного забезпечення. Причому чим далі, тим простішими у використанні стають інтерфейси даних програмних розробок. Якщо раніше для опанування такими програмами вимагались місяці або роки навчання, то зараз на це витрачається значно менше часу. Наприклад, викладач математики, який мало знайомий з програмуванням та не є спеціалістом з комп’ютерної графіки, здатний самостійно опанувати більшість сервісів, які допомагають у поданні матеріалу учням. Це особливо вдало застосовується при вивченні курсу стереометрії як при дистанційній, так і при очній формі навчання. У даній роботі розглядається середовище динамічної математики GeoGebra як ефективний засіб вивчення стереометрії та розвитку просторової уяви учнів та студентів. GeoGebra – вільнопоширюване (доступне на багатьох мовах) динамічне геометричне середовище, яке дає можливість створювати «живі моделі» для використання в геометрії та алгебрі. Використання даного програмного забезпечення сприяє активізації пізнавальної діяльності учнів та студентів, зацікавленню учнів процесом навчання та розвитку їх дослідницької діяльності. Розробниками запропоновано досить широкий арсенал інструментів для побудови різних геометричних фігур та тіл, але він є загальним та неповним. Користув</w:t>
      </w:r>
    </w:p>
    <w:p>
      <w:pPr/>
      <w:r>
        <w:rPr>
          <w:b/>
        </w:rPr>
        <w:t>POSSIBLE 2022:</w:t>
      </w:r>
      <w:r>
        <w:t xml:space="preserve"> Creation of new tools and their use for analytical-synthetic method of reading — https://openalex.org/W7135751639</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The aim of the diploma thesis is to create new tools for analytical-synthetic method of reading. In the theoretical part, I present mainly the analytical-synthetic method of reading, but also other alternative methods of reading that are used in schools today. I also analyze in detail the individual stages of the analytical-synthetic method of reading and possible evaluation or diagnostics of reading. Based on the literature, I present the benefits but also the problems that may occur in teaching analytical-synthetic method. I also present teaching aids that can be used in teaching, which support this method. For comparison with aids to teaching reading by the analytical-synthetic method, I present typical aids used in the practice of reading by the genetic method. In the practical part I describe the procedures of creating teaching aids and state the appropriate use of aids in practice. I verified the functionality and usability of the aids at the primary and kindergarten school in Božičany in the district of Karlovy Vary. I created a didactic commentary for each aid, which serves as a guide to a specific aid. I consider the overview of specific activities usable in practice to be the most practical and usable for other colleagues. Thanks to this part, my diploma thesis can serve other colleagues...</w:t>
      </w:r>
    </w:p>
    <w:p>
      <w:pPr/>
      <w:r>
        <w:rPr>
          <w:b/>
        </w:rPr>
        <w:t>POSSIBLE 2022:</w:t>
      </w:r>
      <w:r>
        <w:t xml:space="preserve"> Land use planning and regulation — https://doi.org/10.4324/9781003262756-4</w:t>
      </w:r>
    </w:p>
    <w:p>
      <w:pPr/>
      <w:r>
        <w:rPr>
          <w:b/>
        </w:rPr>
        <w:t>Shared claim-specific concepts:</w:t>
      </w:r>
      <w:r>
        <w:t xml:space="preserve"> use, planning, effective; EU scope not established. This is a provisional connection, not an outcome finding.</w:t>
      </w:r>
    </w:p>
    <w:p>
      <w:pPr>
        <w:pStyle w:val="SourceNote"/>
      </w:pPr>
      <w:r>
        <w:rPr>
          <w:b/>
        </w:rPr>
        <w:t>Available abstract (not full text):</w:t>
      </w:r>
      <w:r>
        <w:t xml:space="preserve"> The land use development of a city or county has tremendous implications for not only the amount of greenhouse gases emitted by the community but also the cost of public infrastructure and support of lifestyle choices. In the context of a rapidly urbanizing population, this chapter describes approaches to developing a desirable land use pattern that will positively address global warming and minimize the cost of public infrastructure such as water, wastewater and transportation services as well provide suitable environments for families and other households. The chapter also describes effective methods for managing growth and ensuring that adequate public facilities exist to support new development. Additionally, the importance and value of managers being directly engaged with comprehensive planning and land use controls is described.</w:t>
      </w:r>
    </w:p>
    <w:p>
      <w:pPr>
        <w:pStyle w:val="Heading2"/>
      </w:pPr>
      <w:r>
        <w:t>783.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2022:</w:t>
      </w:r>
      <w:r>
        <w:t xml:space="preserve"> Embedding-Based Potential Sales Forecasting of Bread Product — https://doi.org/10.20965/jaciii.2022.p0236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this study, we investigate the potential sales forecasts of unhandled bread products in retail stores based on factory shipment data. An embedding-based forecasting method that uses large-scale information network embedding (LINE) and simultaneously considers first- and second-order proximities is developed to define similar neighboring stores using their product–store relationship and to predict their potential sales volume. LINE is a network-embedding method that transforms network data into a low-dimensional distributed representation and requires a low computation time, even when applied to large networks. The results show that our proposed method outperforms a simple prediction method (Baseline) and t-SNE, a well-known dimensionality reduction method for high-dimensional data, in terms of accurate product sales prediction via simulation experiments. Furthermore, we conduct a sensitivity analysis to verify the applicability of our proposed method when the forecasting target is expanded to products sold in fewer stores and in stores with less product variety.</w:t>
      </w:r>
    </w:p>
    <w:p>
      <w:pPr/>
      <w:r>
        <w:rPr>
          <w:b/>
        </w:rPr>
        <w:t>POSSIBLE 2022:</w:t>
      </w:r>
      <w:r>
        <w:t xml:space="preserve"> An overview of the gaming industry across nations: using analytics with power BI to forecast and identify key influencers — https://doi.org/10.1016/j.heliyon.2022.e08959</w:t>
      </w:r>
    </w:p>
    <w:p>
      <w:pPr/>
      <w:r>
        <w:rPr>
          <w:b/>
        </w:rPr>
        <w:t>Shared claim-specific concepts:</w:t>
      </w:r>
      <w:r>
        <w:t xml:space="preserve"> forecasts, show, just; EU scope visible. This is a provisional connection, not an outcome finding.</w:t>
      </w:r>
    </w:p>
    <w:p>
      <w:pPr>
        <w:pStyle w:val="SourceNote"/>
      </w:pPr>
      <w:r>
        <w:rPr>
          <w:b/>
        </w:rPr>
        <w:t>Available abstract (not full text):</w:t>
      </w:r>
      <w:r>
        <w:t xml:space="preserve"> Esports has seen a phenomenal explosion in popularity in recent years, gaining increasing interest from the media, sports, and technology industries. The purpose of this study is to show an overview of the recent evolution of the gaming market in representative countries in Eastern Asia, Western Europe, and North America during 2017-2019, and the corresponding growth projections for the next five years. For this purpose, descriptive, correlational, and forecasting analyses were used to assess the relationships among key variables associated with the growth of the gaming industry and to show different possibilities to address the data using data analytics. The games market revenues, total number of players, Google trends data, GDP per capita and online population were studied as possible key influencers to explain the industry's growth. Predictive analytics with MS Power BI revealed a positive correlation between GDP per capita and market revenues and players in European and North American countries, while in Asia was just the opposite. Also, a positive relationship between Google trends in esports and the games market revenues is noted. Forecasts showed significant growth for each region. Practical implications and future research directions are discussed.</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2021:</w:t>
      </w:r>
      <w:r>
        <w:t xml:space="preserve"> An Evaluation of World Economic Outlook Growth Forecasts, 2004–17 — https://doi.org/10.5089/9781513587172.001</w:t>
      </w:r>
    </w:p>
    <w:p>
      <w:pPr/>
      <w:r>
        <w:rPr>
          <w:b/>
        </w:rPr>
        <w:t>Shared claim-specific concepts:</w:t>
      </w:r>
      <w:r>
        <w:t xml:space="preserve"> forecasts, output; EU scope not established. This is a provisional connection, not an outcome finding.</w:t>
      </w:r>
    </w:p>
    <w:p>
      <w:pPr>
        <w:pStyle w:val="SourceNote"/>
      </w:pPr>
      <w:r>
        <w:rPr>
          <w:b/>
        </w:rPr>
        <w:t>Available abstract (not full text):</w:t>
      </w:r>
      <w:r>
        <w:t xml:space="preserve"> This paper examines the performance of World Economic Outlook (WEO) growth forecasts for 2004-17. Short-term real GDP growth forecasts over that period exhibit little bias, and their accuracy is broadly similar to those of Consensus Economics forecasts. By contrast, two- to five-year ahead WEO growth forecasts in 2004-17 tend to be upward biased, and in up to half of countries less accurate than a naïve forecast given by the average growth rate in the recent past. The analysis suggests that a more efficient use of available information on internal and external factors—such as the estimated output gap, projected terms of trade, and the growth forecasts of major trading partners—can improve the accuracy of some economies’ growth forecasts.</w:t>
      </w:r>
    </w:p>
    <w:p>
      <w:pPr/>
      <w:r>
        <w:rPr>
          <w:b/>
        </w:rPr>
        <w:t>POSSIBLE 2021:</w:t>
      </w:r>
      <w:r>
        <w:t xml:space="preserve"> Growth in Emerging Market Economies and the Commodity Boom of 2003–2008: Evidence from Growth Forecast Revisions — https://doi.org/10.34989/swp-2012-8</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Demand for industrial raw materials from emerging economies, particularly emerging Asia, is widely believed to have fueled the surge in oil and industrial commodity prices during 2002-2008. The paper first presents a simple storage model in which commodity prices respond to market participant’s changing expectations of the future macroeconomic environment. In the model, the change in the price of a commodity depends on the unanticipated changes in demand factors, along with the real exchange rate, the real interest rate, and other factors that affect the marginal convenience yield. It then focuses on the role of demand factors by using a newly constructed monthly measure of unanticipated demand shocks for commodities based on revisions to professional forecasts of industrial production growth for a large group of emerging market and advanced economies. The empirical framework also controls for other macroeconomic factors that affect commodity prices, such as the real effective exchange rate (REER) of the U.S. dollar and the real interest rate. The results show that revisions to growth forecasts for emerging Asia play an important role in explaining movements in the real prices of industrial metals. In addition, the REER of the U.S. dollar is an important determinant of industrial commodity prices. For crude oil, growth forecast revisions for the U.S. and the real interest rate </w:t>
      </w:r>
    </w:p>
    <w:p>
      <w:pPr/>
      <w:r>
        <w:rPr>
          <w:b/>
        </w:rPr>
        <w:t>POSSIBLE 2020:</w:t>
      </w:r>
      <w:r>
        <w:t xml:space="preserve"> Load probability density forecasting by transforming and combining quantile forecasts — https://doi.org/10.1016/j.apenergy.2020.115600</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pPr/>
      <w:r>
        <w:rPr>
          <w:b/>
        </w:rPr>
        <w:t>POSSIBLE 2020:</w:t>
      </w:r>
      <w:r>
        <w:t xml:space="preserve"> Forecasting cycles of seizure likelihood — https://doi.org/10.1111/epi.16485</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pPr>
        <w:pStyle w:val="Heading2"/>
      </w:pPr>
      <w:r>
        <w:t>784.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r>
        <w:rPr>
          <w:b/>
        </w:rPr>
        <w:t>POSSIBLE 2023:</w:t>
      </w:r>
      <w:r>
        <w:t xml:space="preserve"> The right to education: international standards and their influence on the constitutional legislation of the member states of the Council of Europe — https://doi.org/10.24144/2307-3322.2023.79.2.47</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The article draws attention to the UN Charter, which proclaims the task of reaffirming faith in basic human rights, in the dignity and value of the human person, in the equality of men and women, and in the equality of rights of large and small nations. Attention is focused on the principle of UN activity - implementation of international cooperation in the promotion and development of respect for human rights and basic freedoms for all, without distinction of race, sex, language and religion. International acts on human rights of a universal nature are characterized, in which for the first time at the international level everyone’s right to education was enshrined: the Universal Declaration of Human Rights, the International Covenant on Economic, Social and Cultural Rights of 1966, the Convention against Discrimination in Education of 1960, the Convention on the rights of the child of 1989. Attention is drawn to the minimum standards of the right to education that the state must ensure. The relationship between the right to education, which was first enshrined at the international level in the Universal Declaration of Human Rights, and human dignity and the value of the human personality is defined. Emphasis is placed on the right to education and criteria for determining the degree of respect and observance of fundamental norms related to this human right throughout the world</w:t>
      </w:r>
    </w:p>
    <w:p>
      <w:pPr/>
      <w:r>
        <w:rPr>
          <w:b/>
        </w:rPr>
        <w:t>POSSIBLE 2023:</w:t>
      </w:r>
      <w:r>
        <w:t xml:space="preserve"> Features of exercising the right to education for persons granted temporary protection in European Union member states — https://doi.org/10.56215/naia-herald/2.2023.71</w:t>
      </w:r>
    </w:p>
    <w:p>
      <w:pPr/>
      <w:r>
        <w:rPr>
          <w:b/>
        </w:rPr>
        <w:t>Shared claim-specific concepts:</w:t>
      </w:r>
      <w:r>
        <w:t xml:space="preserve"> right, member, states, view, july; EU scope visible. This is a provisional connection, not an outcome finding.</w:t>
      </w:r>
    </w:p>
    <w:p>
      <w:pPr>
        <w:pStyle w:val="SourceNote"/>
      </w:pPr>
      <w:r>
        <w:rPr>
          <w:b/>
        </w:rPr>
        <w:t>Available abstract (not full text):</w:t>
      </w:r>
      <w:r>
        <w:t xml:space="preserve"> The Council of the European Union, by an implementing decision on March 4, 2022, put into effect Directive No. 2001/55/EU of July 20, 2001, on minimum standards for the provision of temporary protection in the event of a mass influx of displaced persons and measures promoting the balancing of efforts between member states to receive such persons and solving the consequences thereof. The problems of exercising the right to education as a natural human right by persons granted temporary protection in the European Union are urgent. In view of the above, the purpose of the study was to address the unique aspects of exercising of the right to education by persons who were granted temporary protection in the member states of the European Union. The methodological basis of the research is the dialectical method and methods of analysis, synthesis, comparison, modelling, system and functional approach, statistical, and formal legal. The paper defines that access to education for persons granted temporary protection in the European Union is provided for by Council Directive No. 2001/55/EU, according to which the member states of the European Union provide full access to the education system for all minors who were granted temporary protection status, on an equal basis with their citizens. It is noted that member states of the European Union may provide for restrictions on such access by </w:t>
      </w:r>
    </w:p>
    <w:p>
      <w:pPr/>
      <w:r>
        <w:rPr>
          <w:b/>
        </w:rPr>
        <w:t>POSSIBLE 2023:</w:t>
      </w:r>
      <w:r>
        <w:t xml:space="preserve"> Explaining the Paucity of Migrant Language Valorization Policies in Europe: An Analysis of International and Supranational Constraints and Incentives — https://doi.org/10.1177/01979183231162620</w:t>
      </w:r>
    </w:p>
    <w:p>
      <w:pPr/>
      <w:r>
        <w:rPr>
          <w:b/>
        </w:rPr>
        <w:t>Shared claim-specific concepts:</w:t>
      </w:r>
      <w:r>
        <w:t xml:space="preserve"> incentives, potential; EU scope visible. This is a provisional connection, not an outcome finding.</w:t>
      </w:r>
    </w:p>
    <w:p>
      <w:pPr>
        <w:pStyle w:val="SourceNote"/>
      </w:pPr>
      <w:r>
        <w:rPr>
          <w:b/>
        </w:rPr>
        <w:t>Available abstract (not full text):</w:t>
      </w:r>
      <w:r>
        <w:t xml:space="preserve"> Migration flows in Europe have rendered its population more diverse and resulted in the presence of multiple languages in migrant-hosting countries and their education systems. Despite the potential of this language heritage to be leveraged as a resource, many European countries have been reluctant to adopt active public policies that promote the preservation of migrant languages. This article aims to explain the prevalent absence of policies promoting migrant languages in education in Europe through an analysis of the direction and approach of the external constraints and incentives that influence policymaking at the national level. Thus, the article embarks upon an unprecedented analysis of official documents (e.g., covenants, regulations, directives, etc.) adopted (or not adopted) by the main international and supranational organizations that have an impact on national policies in Europe: the United Nations, the Council of Europe, and the European Union. The analysis identifies the prevalent attitude of such organizations toward migrant languages and classifies it according to an assimilation-pluralism dichotomy and a continuum that sees policy approaches as negative, symbolic, or positive. The findings show that both international and supranational organizations have been reluctant to actively promote the preservation of migrant languages in education, thus explaining the g</w:t>
      </w:r>
    </w:p>
    <w:p>
      <w:pPr/>
      <w:r>
        <w:rPr>
          <w:b/>
        </w:rPr>
        <w:t>POSSIBLE 2023:</w:t>
      </w:r>
      <w:r>
        <w:t xml:space="preserve"> The European Council, Council and Member States: jostling for influence — https://doi.org/10.4337/9781789906981.00014</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European Council and Council constitute both a forum for intergovernmental bargaining between Member States and an EU institution for collective decisions in the interests of the EU. While the Environment Council has dealt with climate issues since the 1980s, the European Council has focused more regularly on climate policy issues only after they had become politically salient ‘high politics’ issues. Although the European Council is meant to define only the general political direction for the EU, in recent years it has issued detailed instructions to the Council (and the Commission) on climate policy issues. Over time different informal alliances between Member States (e.g. ‘green trio’) have emerged inside and outside the European Council and Council. The widely accepted informal convention that quasi-permanent alliances between groups of Member States should not be formed within the European Council and/or the Council was repeatedly challenged by the Visegrad countries during the 2010s.</w:t>
      </w:r>
    </w:p>
    <w:p>
      <w:pPr/>
      <w:r>
        <w:rPr>
          <w:b/>
        </w:rPr>
        <w:t>POSSIBLE 2023:</w:t>
      </w:r>
      <w:r>
        <w:t xml:space="preserve"> Analysis of Primary Energy Consumption, for the European Union Member States — https://doi.org/10.12700/aph.20.10.2023.10.6</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purpose of the article is to analyse the primary energy consumption of the EU member states and examine the relationship between renewable energy and non-renewable energy sources.The study is based on the production, import, export and gross energy consumption of the EU countries' primary energy carriers.The quantitative and percentage distribution of these variables was examined for the years 2010 and 2020.The correlation matrix of the countries was prepared on the basis of the data series of gross energy consumption from 2010 to 2020.Correlation values between renewable energy and nonrenewable energy were collected from these result matrices.These values tabulated, made it possible to compare the countries in the correlation of renewable and non-renewable gross energy consumption.The results show that the EU countries have realized that in order to protect the climate, their energy strategy needed to be based on renewables.Renewable energies should replace the coal-fired power plants, that are the most responsible for greenhouse gas emissions.There are already significant changes in oil consumption of some EU countries, which is indicated by the spread of electric transport.Gas will remain the dominant fossil energy source in the future, due to the relatively low price and various technological advantages.Opinions on nuclear technology are divided, but the undeniable adva</w:t>
      </w:r>
    </w:p>
    <w:p>
      <w:pPr/>
      <w:r>
        <w:rPr>
          <w:b/>
        </w:rPr>
        <w:t>POSSIBLE 2022:</w:t>
      </w:r>
      <w:r>
        <w:t xml:space="preserve"> Making Sure That Orphan Incentives Tip the Right Way in Europe — https://doi.org/10.3390/healthcare10091600</w:t>
      </w:r>
    </w:p>
    <w:p>
      <w:pPr/>
      <w:r>
        <w:rPr>
          <w:b/>
        </w:rPr>
        <w:t>Shared claim-specific concepts:</w:t>
      </w:r>
      <w:r>
        <w:t xml:space="preserve"> right, incentives, current; EU scope visible. This is a provisional connection, not an outcome finding.</w:t>
      </w:r>
    </w:p>
    <w:p>
      <w:pPr>
        <w:pStyle w:val="SourceNote"/>
      </w:pPr>
      <w:r>
        <w:rPr>
          <w:b/>
        </w:rPr>
        <w:t>Available abstract (not full text):</w:t>
      </w:r>
      <w:r>
        <w:t xml:space="preserve">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pPr>
        <w:pStyle w:val="Heading2"/>
      </w:pPr>
      <w:r>
        <w:t>785.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2024:</w:t>
      </w:r>
      <w:r>
        <w:t xml:space="preserve"> Supply-side climate policy and fossil fuels in developing countries: a neo-Gramscian perspective — https://doi.org/10.1007/s10784-024-09627-z</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Abstract This article examines the perspectives of low- and middle-income countries (LMICs) on climate change mitigation and fossil fuel supply within the UN framework convention on climate change (UNFCCC). Achieving the temperature targets of the Paris Agreement requires leaving fossil fuels underground (LFFU), which presents challenges for LMICs due to their significant fossil fuel reserves. This dilemma raises equity concerns as these countries must balance climate action with their Right to Development (RtD). Against this background, through a content analysis of documents submitted to the UNFCCC and triangulation with ownership structures of extraction projects, this paper explores how ten LMICs define their roles in addressing climate change and LFFU, with a focus on mitigation policies and the energy sector. Drawing on Gramscian concepts such as hegemony, common sense, historical bloc, war of position, passive revolution, andtrasformismo, this paper presents a non-exhaustive neo-Gramscian perspective for the analysis of supply-side climate policy in developing countries. The analysis reveals that LMICs’ development paths have been characterized by fossil fuel expansion, energy addition, and carbon lock-in, grounded on energy security reasons, export dependencies, or equity and responsibility. From these findings, the paper argues that the global energy transition can be </w:t>
      </w:r>
    </w:p>
    <w:p>
      <w:pPr/>
      <w:r>
        <w:rPr>
          <w:b/>
        </w:rPr>
        <w:t>POSSIBLE 2024:</w:t>
      </w:r>
      <w:r>
        <w:t xml:space="preserve"> Urban Regimes and Socially Significant Projects of Transformation of the Urban Environment in the Russian Federation — https://doi.org/10.1134/s2079970523600312</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Abstract The authors of the article aim to identify the principles and patterns of mutual influence of socially significant projects for transformation of the urban environment and urban regimes in the Russian Federation. Clarence Stone’s concept of urban regimes is used as a theoretical framework. Based on the author’s system of social significance criteria, six projects for transformation of the urban environment in four cities were selected and analyzed: Okhta Center and Tuchkov Buyan in St. Petersburg, Zaryadye Park and development of the fields at the Timiryazev Academy in Moscow, St. Catherine’s Church in Yekaterinburg, and concreting of the embankments of the Vologda River in Vologda. Whereas the initial phase of all projects took place in the realities of local urban growth regimes, with the predominance of the interests of the established coalitions of business and government, the subsequent increase in the role of public activism in all projects and the change of goal-setting under its influence led to a change in the local urban regime during their implementation. It is shown that in five studied cases, during implementation of projects, there was a transition of local urban regimes from growth to progressive, and in one, from growth to a greater extent towards a status quo regime. The general principles and patterns of mutual influence of socially significant transf</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2023:</w:t>
      </w:r>
      <w:r>
        <w:t xml:space="preserve"> Transformational leadership and emotional intelligence, and their connections in management and innovative projects management — https://doi.org/10.5585/2023.24232</w:t>
      </w:r>
    </w:p>
    <w:p>
      <w:pPr/>
      <w:r>
        <w:rPr>
          <w:b/>
        </w:rPr>
        <w:t>Shared claim-specific concepts:</w:t>
      </w:r>
      <w:r>
        <w:t xml:space="preserve"> four, transformational, used; EU scope not established. This is a provisional connection, not an outcome finding.</w:t>
      </w:r>
    </w:p>
    <w:p>
      <w:pPr>
        <w:pStyle w:val="SourceNote"/>
      </w:pPr>
      <w:r>
        <w:rPr>
          <w:b/>
        </w:rPr>
        <w:t>Available abstract (not full text):</w:t>
      </w:r>
      <w:r>
        <w:t xml:space="preserve"> Objective of the study: This paper seeks to discuss identified points of connection between the theory of emotional intelligence and transformational leadership and their interplay in management and innovative projects. Methodology/approach: The research method used comprises a systematic literature review, whose final corpus of studies was analyzed in its entirety, after searching the WOS and SCOPUS databases over the last ten years. Originality/Relevance: This study’s originality is twofold. The practical actions that demonstrate the presence of EI in individual and collective behavior affecting transformational leadership and in advancing research that seeks to understand EI in a collective rather than individually. Second, the potential controversial aspects related to the intersection of the topics, such as narcissism and Machiavellianism in leadership. Main results: The study corroborated the interrelationship between EI and transformational leadership, identifying in the literature four main clusters as current and future fields of study. This study discusses these clusters and their implications for the management and innovative projects. Theoretical/methodological contributions: The study contributes by pioneeringly connecting emotional intelligence with transformational leadership in management and innovative projects, highlighting the overview of the interrelationshi</w:t>
      </w:r>
    </w:p>
    <w:p>
      <w:pPr>
        <w:pStyle w:val="Heading2"/>
      </w:pPr>
      <w:r>
        <w:t>786.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2023:</w:t>
      </w:r>
      <w:r>
        <w:t xml:space="preserve"> Nazi Policy of Tourism in Central Europe — https://doi.org/10.14712/23363525.2023.19</w:t>
      </w:r>
    </w:p>
    <w:p>
      <w:pPr/>
      <w:r>
        <w:rPr>
          <w:b/>
        </w:rPr>
        <w:t>Shared claim-specific concepts:</w:t>
      </w:r>
      <w:r>
        <w:t xml:space="preserve"> tourism, economy; EU scope visible. This is a provisional connection, not an outcome finding.</w:t>
      </w:r>
    </w:p>
    <w:p>
      <w:pPr>
        <w:pStyle w:val="SourceNote"/>
      </w:pPr>
      <w:r>
        <w:rPr>
          <w:b/>
        </w:rPr>
        <w:t>Available abstract (not full text):</w:t>
      </w:r>
      <w:r>
        <w:t xml:space="preserve"> The primary focus of this paper is on the period of tourism from 1938/39 to 1945. The intention of this paper is to present and explain the reasons and consequences of the implementation of organizational changes, as well as the impacts of the integration of tourism into the staterun economy of Nazi Germany. In this context, we evaluated the specifics of the development of tourism areas of the former Czechoslovak state (the Sudetenland, the Protectorate of Bohemia and Moravia, Slovakia). It turned out that even during the war, tourism, despite all the restrictions (legislative, territorial, time, transport, etc.) did not disappear, except in areas where war operations were taking place, and its management became an integral part of the war economy. The explanation can be seen based on the studied materials in the multilayered nature of this part of the national economy and its broad social scope. The paper is based on the study of archival unpublished materials from Czech and foreign archives and literature. The basic method used is the historical-critical method supplemented by a comparative, direct and indirect approach with an effort to capture the overall changes in the field of tourism during the war.</w:t>
      </w:r>
    </w:p>
    <w:p>
      <w:pPr/>
      <w:r>
        <w:rPr>
          <w:b/>
        </w:rPr>
        <w:t>POSSIBLE 2022:</w:t>
      </w:r>
      <w:r>
        <w:t xml:space="preserve"> SMART-TECHNOLOGIES IN THE TOURISM INDUSTRY OF EUROPE — https://doi.org/10.31651/2076-5843-2022-3-4-109-117</w:t>
      </w:r>
    </w:p>
    <w:p>
      <w:pPr/>
      <w:r>
        <w:rPr>
          <w:b/>
        </w:rPr>
        <w:t>Shared claim-specific concepts:</w:t>
      </w:r>
      <w:r>
        <w:t xml:space="preserve"> purpose, real, tourism, expert, product; EU scope visible. This is a provisional connection, not an outcome finding.</w:t>
      </w:r>
    </w:p>
    <w:p>
      <w:pPr>
        <w:pStyle w:val="SourceNote"/>
      </w:pPr>
      <w:r>
        <w:rPr>
          <w:b/>
        </w:rPr>
        <w:t>Available abstract (not full text):</w:t>
      </w:r>
      <w:r>
        <w:t xml:space="preserve"> Introduction. Today, the tourism sector needs to adapt to a changing environment and strengthen competitiveness. The introduction of smart technologies characterizes the current stage of tourism development, which is influenced by the evolution of information technology and becomes a promising way to confront new market conditions. Travel smart technologies include the automation of travel and related processes, saving time, reducing costs and creating a more seamless travel experience for tourists. These technologies can be applied to improve the customer experience: before, during and after the trip itself. Smart technologies provide an opportunity in tourism activities to streamline and automate processes that traditionally require active human involvement. This can potentially help businesses reduce the need for staff, cut costs and increase revenue, leading to improved financial results. The application of smart technologies and the concept of smart tourism in destinations can strengthen countries' competitiveness and lead to better satisfaction of tourists' needs. Europe is one of the leaders in the development of smart technologies and experience in their application in tourism activities. Purpose. Analysis of the development of smart technologies in the tourism sector of leading European countries, in particular in the most famous tourist destinations. Methods. The arti</w:t>
      </w:r>
    </w:p>
    <w:p>
      <w:pPr/>
      <w:r>
        <w:rPr>
          <w:b/>
        </w:rPr>
        <w:t>POSSIBLE 2022:</w:t>
      </w:r>
      <w:r>
        <w:t xml:space="preserve"> Digital accessibility of smart cities - tourism for all and reducing inequalities: Tourism Agenda 2030 — https://doi.org/10.1108/tr-02-2022-0091</w:t>
      </w:r>
    </w:p>
    <w:p>
      <w:pPr/>
      <w:r>
        <w:rPr>
          <w:b/>
        </w:rPr>
        <w:t>Shared claim-specific concepts:</w:t>
      </w:r>
      <w:r>
        <w:t xml:space="preserve"> purpose, analyze, tourism; EU scope visible. This is a provisional connection, not an outcome finding.</w:t>
      </w:r>
    </w:p>
    <w:p>
      <w:pPr>
        <w:pStyle w:val="SourceNote"/>
      </w:pPr>
      <w:r>
        <w:rPr>
          <w:b/>
        </w:rPr>
        <w:t>Available abstract (not full text):</w:t>
      </w:r>
      <w:r>
        <w:t xml:space="preserve"> Purpose There is widespread agreement that the tourism sector should address the issue of sustainability. The purpose of this study is to analyze the digital accessibility of the cities awarded as European Capitals of Smart Tourism for their innovative, accessible and sustainable practices by the European Commission. Design/methodology/approach An analysis of the digital level of accessibility of 50 uniform resource locator (URL) of European cities was undertaken. The analysis followed the international evaluation requirements of the World Wide Web (W3C). Findings The results show that none of the official Web pages analyzed obtained 100% in relation to the digital accessibility requirements. The main factors that pose barriers to communication and interaction were identified. Practical implications The paper encourages smart tourism destinations to overcome the challenge of matching both dimensions of accessibility to obtain barrier-free information to ensure cities are inclusive and sustainable in line with Agenda 2030 (sustainable development goal [SDG] 11). Originality/value The concept of tourism for all receives special attention in the sector, and this notion is reflected in the UN SDGs. However, accessibility has not been extensively analyzed in relation to the cohesion between the digital and the physical dimension. Tourism research tends to focus on accessible experie</w:t>
      </w:r>
    </w:p>
    <w:p>
      <w:pPr/>
      <w:r>
        <w:rPr>
          <w:b/>
        </w:rPr>
        <w:t>POSSIBLE 2022:</w:t>
      </w:r>
      <w:r>
        <w:t xml:space="preserve"> Tourism Activity as an Engine of Growth: Lessons Learned from the European Union — https://doi.org/10.3390/jrfm15040177</w:t>
      </w:r>
    </w:p>
    <w:p>
      <w:pPr/>
      <w:r>
        <w:rPr>
          <w:b/>
        </w:rPr>
        <w:t>Shared claim-specific concepts:</w:t>
      </w:r>
      <w:r>
        <w:t xml:space="preserve"> purpose, tourism, economy; EU scope visible. This is a provisional connection, not an outcome finding.</w:t>
      </w:r>
    </w:p>
    <w:p>
      <w:pPr>
        <w:pStyle w:val="SourceNote"/>
      </w:pPr>
      <w:r>
        <w:rPr>
          <w:b/>
        </w:rPr>
        <w:t>Available abstract (not full text):</w:t>
      </w:r>
      <w:r>
        <w:t xml:space="preserve"> In this study, the linkage between tourism activity and economic development in 21 European countries is analyzed. The data are collected on an annual basis and cover the years from 1995 to 2017. The main purpose is to investigate empirically if there is a long-run connection between tourism activity and the development of the economy by applying a multivariate model. For this purpose, generalized method of moments (GMM) and Granger causality tests are applied within a panel data framework. The results reveal that tourism contributes significantly to European countries’ economic growth. Furthermore, Granger causality analysis shows a unidirectional relationship between tourism and economic development, leading to sufficient evidence for the validity of the tourism-led-growth hypothesis. Therefore, for these European countries, the tourism–led growth hypothesis is supported (meeting our expectations).</w:t>
      </w:r>
    </w:p>
    <w:p>
      <w:pPr/>
      <w:r>
        <w:rPr>
          <w:b/>
        </w:rPr>
        <w:t>POSSIBLE 2021:</w:t>
      </w:r>
      <w:r>
        <w:t xml:space="preserve"> PROVING THE IMPORTANCE OF SEA TOURISM FOR THE EUROPE'S ECONOMY — https://doi.org/10.32843/bses.64-18</w:t>
      </w:r>
    </w:p>
    <w:p>
      <w:pPr/>
      <w:r>
        <w:rPr>
          <w:b/>
        </w:rPr>
        <w:t>Shared claim-specific concepts:</w:t>
      </w:r>
      <w:r>
        <w:t xml:space="preserve"> purpose, real, tourism, economy; EU scope visible. This is a provisional connection, not an outcome finding.</w:t>
      </w:r>
    </w:p>
    <w:p>
      <w:pPr>
        <w:pStyle w:val="SourceNote"/>
      </w:pPr>
      <w:r>
        <w:rPr>
          <w:b/>
        </w:rPr>
        <w:t>Available abstract (not full text):</w:t>
      </w:r>
      <w:r>
        <w:t xml:space="preserve"> The article emphasizes that the dynamic development of maritime tourism is especially important for all industries and its importance is constantly growing. Where to direct such development, how to ensure the conditions for its sustainable development are the main issues for countries at the regional level. It is noted that the demand in the European maritime tourism market has specific development factors that need to be studied. The main areas in which maritime tourism contributes to the European economy are highlighted. Indirect effects of maritime tourism, which are manifested as a driving force in the development of other ancillary activities. Peculiarities of legislative regulation of maritime tourism in European countries with developed and transition economies are considered. Their features and examples are given. Resource-based and tourism-based models of maritime tourism development are described. Various classifications of the tourist market in general and the maritime tourism market in particular are presented and analyzed. It is emphasized that all classifications have their specific real purpose and purpose. For effective marketing management of tourist destinations it is necessary to identify and assess its potential. The question of the concept of "new market", which is of particular importance for the development of the maritime tourism industry. It is emphasiz</w:t>
      </w:r>
    </w:p>
    <w:p>
      <w:pPr/>
      <w:r>
        <w:rPr>
          <w:b/>
        </w:rPr>
        <w:t>POSSIBLE 2021:</w:t>
      </w:r>
      <w:r>
        <w:t xml:space="preserve"> Artificial intelligence: a systematic review of methods and applications in hospitality and tourism — https://doi.org/10.1108/ijchm-06-2021-0767</w:t>
      </w:r>
    </w:p>
    <w:p>
      <w:pPr/>
      <w:r>
        <w:rPr>
          <w:b/>
        </w:rPr>
        <w:t>Shared claim-specific concepts:</w:t>
      </w:r>
      <w:r>
        <w:t xml:space="preserve"> purpose, tourism; EU scope not established. This is a provisional connection, not an outcome finding.</w:t>
      </w:r>
    </w:p>
    <w:p>
      <w:pPr>
        <w:pStyle w:val="SourceNote"/>
      </w:pPr>
      <w:r>
        <w:rPr>
          <w:b/>
        </w:rPr>
        <w:t>Available abstract (not full text):</w:t>
      </w:r>
      <w:r>
        <w:t xml:space="preserve"> Purpose Several review articles have been published within the Artificial Intelligence (AI) literature that have explored a range of applications within the tourism and hospitality sectors. However, how efficiently the applied AI methods and algorithms have performed with respect to the type of applications and the multimodal sets of data domains have not yet been reviewed. Therefore, this paper aims to review and analyse the established AI methods in hospitality/tourism, ranging from data modelling for demand forecasting, tourism destination and behaviour pattern to enhanced customer service and experience. Design/methodology/approach The approach was to systematically review the relationship between AI methods and hospitality/tourism through a comprehensive literature review of papers published between 2010 and 2021. In total, 146 articles were identified and then critically analysed through content analysis into themes, including “AI methods” and “AI applications”. Findings The review discovered new knowledge in identifying AI methods concerning the settings and available multimodal data sets in hospitality and tourism. Moreover, AI applications fostering the tourism/hospitality industries were identified. It also proposes novel personalised AI modelling development for smart tourism platforms to precisely predict tourism choice behaviour patterns. Practical implications Thi</w:t>
      </w:r>
    </w:p>
    <w:p>
      <w:pPr>
        <w:pStyle w:val="Heading2"/>
      </w:pPr>
      <w:r>
        <w:t>787.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Decarbonizing Transportation: Cross-Country Evidence on Electric Vehicle Sales and Carbon Dioxide Emissions — https://doi.org/10.3390/wevj16120660</w:t>
      </w:r>
    </w:p>
    <w:p>
      <w:pPr/>
      <w:r>
        <w:rPr>
          <w:b/>
        </w:rPr>
        <w:t>Shared claim-specific concepts:</w:t>
      </w:r>
      <w:r>
        <w:t xml:space="preserve"> decarbonizing, transportation, long-term, greenhouse, gas, emissions; EU scope not established. This is a provisional connection, not an outcome finding.</w:t>
      </w:r>
    </w:p>
    <w:p>
      <w:pPr>
        <w:pStyle w:val="SourceNote"/>
      </w:pPr>
      <w:r>
        <w:rPr>
          <w:b/>
        </w:rPr>
        <w:t>Available abstract (not full text):</w:t>
      </w:r>
      <w:r>
        <w:t xml:space="preserve"> The increasing atmospheric carbon dioxide (CO2) emissions are widely recognized as the primary driving force behind the phenomenon of global warming. Considering environmental concerns and the depletion of fossil fuel reserves, the use of electric vehicles (EVs) in transportation has emerged as one of the most promising technological alternatives to conventional gasoline-powered cars. Compared to their gasoline counterparts, EVs significantly reduce the costs associated with air pollution and mitigate adverse effects on human health. Owing to these characteristics, EVs have become one of the key components of the transition toward a sustainable future, while also steering the transformation of the global automotive industry. This transition is reshaping the structure of the global automobile industry. Many countries aim to achieve their greenhouse gas reduction targets by promoting the adoption of EVs. This study aims to empirically examine the effects of electric vehicles on CO2 emissions in 15 high-income countries during the period 2010–2023, highlighting both short- and long-term environmental impacts. The analysis also considers economic and socio-demographic variables such as gross domestic product (GDP), urbanization, and fossil fuel consumption. The findings indicate that the share of EVs significantly reduces CO2 emissions, whereas sales have a short-term increasing ef</w:t>
      </w:r>
    </w:p>
    <w:p>
      <w:pPr/>
      <w:r>
        <w:rPr>
          <w:b/>
        </w:rPr>
        <w:t>POSSIBLE 2025:</w:t>
      </w:r>
      <w:r>
        <w:t xml:space="preserve"> Enhancing the Emissions Trading System for Kazakhstan’s Decarbonization — https://doi.org/10.3390/su17167195</w:t>
      </w:r>
    </w:p>
    <w:p>
      <w:pPr/>
      <w:r>
        <w:rPr>
          <w:b/>
        </w:rPr>
        <w:t>Shared claim-specific concepts:</w:t>
      </w:r>
      <w:r>
        <w:t xml:space="preserve"> decarbonizing, long-term, greenhouse, gas, emissions, system; EU scope not established. This is a provisional connection, not an outcome finding.</w:t>
      </w:r>
    </w:p>
    <w:p>
      <w:pPr>
        <w:pStyle w:val="SourceNote"/>
      </w:pPr>
      <w:r>
        <w:rPr>
          <w:b/>
        </w:rPr>
        <w:t>Available abstract (not full text):</w:t>
      </w:r>
      <w:r>
        <w:t xml:space="preserve"> Kazakhstan, a fossil-fuel-dependent economy, faces growing pressure to reduce greenhouse gas emissions while maintaining industrial competitiveness. Carbon Capture, Utilization, and Storage (CCS/CCUS) technologies offer a viable pathway for decarbonizing hard-to-abate sectors, particularly in power generation, metallurgy, and oil and gas processing. This paper provides a comprehensive review of the state of CCS/CCUS technologies globally and examines their applicability within Kazakhstan. The study also explores long-term CO2 storage mechanisms and monitoring frameworks, with attention to carbon leakage risks and the importance of addressing methane emissions. A critical part of the analysis is dedicated to Kazakhstan’s Emissions Trading System, identifying its current limitations such as low carbon prices, and limited sectoral coverage, and outlining practical reforms to enhance its role in supporting CCS/CCUS and broader decarbonization efforts. The integration of CCS/CCUS with a strengthened ETS, combined with access to international climate finance instruments and voluntary carbon markets, is proposed as a key strategy for Kazakhstan’s transition to a low-carbon economy. By linking engineering innovation with targeted policy interventions, this study offers a dual-perspective contribution. It not only provides technical insights into CCS/CCUS technologies but also presents </w:t>
      </w:r>
    </w:p>
    <w:p>
      <w:pPr>
        <w:pStyle w:val="Heading2"/>
      </w:pPr>
      <w:r>
        <w:t>788.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2024:</w:t>
      </w:r>
      <w:r>
        <w:t xml:space="preserve"> Socioeconomic Burden of Pulmonary Embolism in Europe: Shifting Priorities and Challenges for Novel Reperfusion Strategies — https://doi.org/10.1055/a-2505-8711</w:t>
      </w:r>
    </w:p>
    <w:p>
      <w:pPr/>
      <w:r>
        <w:rPr>
          <w:b/>
        </w:rPr>
        <w:t>Shared claim-specific concepts:</w:t>
      </w:r>
      <w:r>
        <w:t xml:space="preserve"> penetration, rates, among, different, potential; EU scope visible. This is a provisional connection, not an outcome finding.</w:t>
      </w:r>
    </w:p>
    <w:p>
      <w:pPr>
        <w:pStyle w:val="SourceNote"/>
      </w:pPr>
      <w:r>
        <w:rPr>
          <w:b/>
        </w:rPr>
        <w:t>Available abstract (not full text):</w:t>
      </w:r>
      <w:r>
        <w:t xml:space="preserve"> In-hospital case fatality related to acute pulmonary embolism (PE) has been falling since the beginning of this century. However, annual incidence rates continue to climb, and an increasing number of PE survivors need long-term follow-up, chronic anticoagulation treatment, and readmission(s) to the hospital. In European countries, median reimbursed hospital costs for acute PE are still moderate compared with the United States but can increase several-fold in patients with comorbidities and those necessitating potentially life-saving reperfusion treatment. The use of catheter-directed treatment (CDT) has constantly increased in the United States since the past decade, and it has now entered a rapid growth phase in Europe as well, estimated to reach an annual penetration rate of up to 31% among patients with intermediate-high- or high-risk PE by 2030. Ongoing randomised controlled trials are currently investigating the clinical efficacy and safety of these devices. In addition, they will deliver data permitting calculation of their cost-effectiveness in different health care reimbursement systems, by revealing the extent to which they can reduce complications and consequently the need for intensive care and the overall length of hospital stay. After discharge, key cost drivers are related to chronic cardiopulmonary diseases (other than PE itself) leading to frequent readmissions,</w:t>
      </w:r>
    </w:p>
    <w:p>
      <w:pPr/>
      <w:r>
        <w:rPr>
          <w:b/>
        </w:rPr>
        <w:t>POSSIBLE 2024:</w:t>
      </w:r>
      <w:r>
        <w:t xml:space="preserve"> A Survey on Penetration Path Planning in Automated Penetration Testing — https://doi.org/10.3390/app14188355</w:t>
      </w:r>
    </w:p>
    <w:p>
      <w:pPr/>
      <w:r>
        <w:rPr>
          <w:b/>
        </w:rPr>
        <w:t>Shared claim-specific concepts:</w:t>
      </w:r>
      <w:r>
        <w:t xml:space="preserve"> penetration, automated, identify, paths; EU scope not established. This is a provisional connection, not an outcome finding.</w:t>
      </w:r>
    </w:p>
    <w:p>
      <w:pPr>
        <w:pStyle w:val="SourceNote"/>
      </w:pPr>
      <w:r>
        <w:rPr>
          <w:b/>
        </w:rPr>
        <w:t>Available abstract (not full text):</w:t>
      </w:r>
      <w:r>
        <w:t xml:space="preserve"> Penetration Testing (PT) is an effective proactive security technique that simulates hacker attacks to identify vulnerabilities in networks or systems. However, traditional PT relies on specialized experience and costs extraordinary time and effort. With the advancement of artificial intelligence technologies, automated PT has emerged as a promising solution, attracting attention from researchers increasingly. In automated PT, penetration path planning is a core task that involves selecting the optimal attack paths to maximize the overall efficiency and success rate of the testing process. Recent years have seen significant progress in the field of penetration path planning, with diverse methods being proposed. This survey aims to comprehensively examine and summarize the research findings in this domain. Our work first outlines the background and challenges of penetration path planning and establishes the framework for research methods. It then provides a detailed analysis of existing studies from three key aspects: penetration path planning models, penetration path planning methods, and simulation environments. Finally, this survey offers insights into the future development trends of penetration path planning in PT. This paper aims to provide comprehensive references for academia and industry, promoting further research and application of automated PT path planning methods.</w:t>
      </w:r>
    </w:p>
    <w:p>
      <w:pPr/>
      <w:r>
        <w:rPr>
          <w:b/>
        </w:rPr>
        <w:t>POSSIBLE 2024:</w:t>
      </w:r>
      <w:r>
        <w:t xml:space="preserve"> The effect of temperature on birth rates in Europe — https://doi.org/10.1007/s11111-024-00450-x</w:t>
      </w:r>
    </w:p>
    <w:p>
      <w:pPr/>
      <w:r>
        <w:rPr>
          <w:b/>
        </w:rPr>
        <w:t>Shared claim-specific concepts:</w:t>
      </w:r>
      <w:r>
        <w:t xml:space="preserve"> rates, expected, between; EU scope visible. This is a provisional connection, not an outcome finding.</w:t>
      </w:r>
    </w:p>
    <w:p>
      <w:pPr>
        <w:pStyle w:val="SourceNote"/>
      </w:pPr>
      <w:r>
        <w:rPr>
          <w:b/>
        </w:rPr>
        <w:t>Available abstract (not full text):</w:t>
      </w:r>
      <w:r>
        <w:t xml:space="preserve"> Abstract Using data from 32 European countries for nearly 244 million live births between 1969 and 2021, this paper examines the effects of temperatures on birth rates. The results show that exposure to hot days slightly reduces birth rates five to eight months later, while much stronger negative effects are observed nine to ten months after exposure to hot temperatures. Thereafter, a partial recovery is observed, with slightly increased birth rates. This study also shows that the effect of high-humidity hot days is much stronger than that of hot days with low humidity. Besides, the effect of heatwave days has been found to be more severe than that of hot days that are not preceded by other hot days. This study finds that some adaptation to heat might be expected only in the long run.</w:t>
      </w:r>
    </w:p>
    <w:p>
      <w:pPr>
        <w:pStyle w:val="Heading2"/>
      </w:pPr>
      <w:r>
        <w:t>789.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2023:</w:t>
      </w:r>
      <w:r>
        <w:t xml:space="preserve"> Population, land use and economic exposure estimates for Europe at 100 m resolution from 1870 to 2020 — https://doi.org/10.1038/s41597-023-02282-0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Understanding the influence of climate change on past extreme weather impacts is a vital research task. However, the effects of climate change are obscured in the observed impact data series due to the rapid evolution of the social and economic circumstances in which the events occurred. The HANZE v2.0 (Historical Analysis of Natural HaZards in Europe) dataset presented in this study quantifies the evolution of key socioeconomic drivers in Europe since 1870, namely land use, population, economic activity and assets. It consists of algorithms to reallocate baseline (2011) land use and population for any given year based on a large collection of historical subnational- and national-level statistics, and then disaggregate data on production and tangible assets by economic sector into a high-resolution grid. Raster datasets generated by the model enable reconstructing exposure within the footprint of any extreme event both at the time of occurrence and anytime between 1870 and 2020. This allows the separation of the effects of climate change from the effects of exposure change.</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Climate drove the fire cycle and humans influenced fire occurrence in the East European boreal forest — https://doi.org/10.1002/ecm.1530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Understanding long‐term forest fire histories of boreal landscapes is instrumental for parameterizing climate–fire interactions and the role of humans affecting natural fire regimes. The eastern sections of the European boreal zone currently lack a network of annually resolved and centuries‐long forest fire histories. To fill in this knowledge gap, we dendrochronologically reconstructed the 600‐year fire history of a middle boreal pine‐dominated landscape of the southern part of the Republic of Komi, Russia. We combined the reconstruction of fire cycle (FC) and fire occurrence with the data on the village establishment and climate proxies and discussed the relative contribution of climate versus human land use in shaping historic fire regimes. Over the 1340–1610 ce period, the territory had a FC of 66 years (with the 90% confidence envelope of 56.8 and 78.6 years). Fire activity increased during the 1620–1730 ce period, with the FC reaching 32 years (31.0–34.7 years). Between 1740–1950, the FC increased to 47 years (41.9–52.0). The most recent period, 1960–2010, marks FC's historic maximum, with the mean of 153 years (102.5–270.3). Establishment of the villages, often as small harbors on the Pechora River, was associated with a non‐significant increase in fire occurrence in the sites nearest the villages (p = 0.07–0.20). We, however, observed a temporal association bet</w:t>
      </w:r>
    </w:p>
    <w:p>
      <w:pPr/>
      <w:r>
        <w:rPr>
          <w:b/>
        </w:rPr>
        <w:t>POSSIBLE 2022:</w:t>
      </w:r>
      <w:r>
        <w:t xml:space="preserve"> Global Land-Use Analysis in the Western Mediterranean area by integrating information from European Agri-Census data — https://doi.org/10.5194/egusphere-egu22-12983</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In the last decades, Mediterranean agricultural systems have experienced significant changes in land use and agricultural practices under the pressure of the worldwide market competition, the effects of the global changes and the need to contain the environmental impacts (Bajocco et al. 2012). The Mediterranean is characterized by peculiar traits (climate, soil, orography, traditions, etc.) which are rooted in history and allow us to distinguish this agriculture from those developed in the different European regions (Debolini et al., 2018). The study aims to describe and interpret the expansion and specialization of agricultural systems in the Western Mediterranean areas in terms of land use (cereals, forage, vegetables, etc.) by using the data from the agricultural censuses of France (FR), Italy (IT), Portugal (PT) and Spain (ES) over the 2000-2010 period. In this study, first, we chose to limit the analysis to four European countries in order to improve the accuracy and the homogeneity of the data to process. Secondly, we matched each record of data-base (single municipality) to its geographical position (Land Unit = LU) to make possible the selection of the portions of territory that can be classified as Mediterranean, according to the EU classification (Sundseth, 2009).Third, we had to verify the agreement of the different categories of crop grouping used in the different n</w:t>
      </w:r>
    </w:p>
    <w:p>
      <w:pPr>
        <w:pStyle w:val="Heading2"/>
      </w:pPr>
      <w:r>
        <w:t>790.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791.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2024:</w:t>
      </w:r>
      <w:r>
        <w:t xml:space="preserve"> Inequalities in regional excess mortality and life expectancy during the COVID-19 pandemic in Europe — https://doi.org/10.1038/s41598-024-54366-5</w:t>
      </w:r>
    </w:p>
    <w:p>
      <w:pPr/>
      <w:r>
        <w:rPr>
          <w:b/>
        </w:rPr>
        <w:t>Shared claim-specific concepts:</w:t>
      </w:r>
      <w:r>
        <w:t xml:space="preserve"> life, expectancy, over, increase; EU scope visible. This is a provisional connection, not an outcome finding.</w:t>
      </w:r>
    </w:p>
    <w:p>
      <w:pPr>
        <w:pStyle w:val="SourceNote"/>
      </w:pPr>
      <w:r>
        <w:rPr>
          <w:b/>
        </w:rPr>
        <w:t>Available abstract (not full text):</w:t>
      </w:r>
      <w:r>
        <w:t xml:space="preserve">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pPr/>
      <w:r>
        <w:rPr>
          <w:b/>
        </w:rPr>
        <w:t>POSSIBLE 2024:</w:t>
      </w:r>
      <w:r>
        <w:t xml:space="preserve"> Disability free life expectancy decomposition: a comparative analysis across European countries — https://doi.org/10.71014/sieds.v78i2.264</w:t>
      </w:r>
    </w:p>
    <w:p>
      <w:pPr/>
      <w:r>
        <w:rPr>
          <w:b/>
        </w:rPr>
        <w:t>Shared claim-specific concepts:</w:t>
      </w:r>
      <w:r>
        <w:t xml:space="preserve"> female, life, expectancy, men, increase, male; EU scope visible. This is a provisional connection, not an outcome finding.</w:t>
      </w:r>
    </w:p>
    <w:p>
      <w:pPr>
        <w:pStyle w:val="SourceNote"/>
      </w:pPr>
      <w:r>
        <w:rPr>
          <w:b/>
        </w:rPr>
        <w:t>Available abstract (not full text):</w:t>
      </w:r>
      <w:r>
        <w:t xml:space="preserve"> Life expectancies (LE) at birth and at adult ages have progressively increased in recent decades in Europe. LE is a quantitative indicator and therefore it provides a limited view of the status of the population, ignoring the weight and the effects that the health condition has on the years that remain to live. To address this issue, we refer to Disability Free Life Expectancy (DFLE) indicating the average number of years a person of a given age x expects to live in good health. In this paper we analyse the change in LE and DFLE at age 65 from 2004 to 2016 for a set of the most long-lived European countries, as well as for male and female populations in order to highlight gender differences. Then we quantify the extent by which age specific mortality and morbidity contribute to changes in DFLE for understanding whether the trends observed are due to compression/expansion of morbidity or to variation in mortality patterns. This goal is important both for health policies planning and for sustainability of socio-economic and social security systems. DFLE is calculated using the Sullivan method, measuring disability in terms of the Global Activity Limitation Indicator (GALI). We refer both to step-wise and continuous change techniques for DFLE decomposition. Data sources are Human Mortality Database (HMD) for mortality rates and the European Health Life Expectancy Information Syste</w:t>
      </w:r>
    </w:p>
    <w:p>
      <w:pPr/>
      <w:r>
        <w:rPr>
          <w:b/>
        </w:rPr>
        <w:t>POSSIBLE 2024:</w:t>
      </w:r>
      <w:r>
        <w:t xml:space="preserve"> Social and Economic Determinants of Life Expectancy at Birth in Eastern Europe — https://doi.org/10.3390/healthcare12111148</w:t>
      </w:r>
    </w:p>
    <w:p>
      <w:pPr/>
      <w:r>
        <w:rPr>
          <w:b/>
        </w:rPr>
        <w:t>Shared claim-specific concepts:</w:t>
      </w:r>
      <w:r>
        <w:t xml:space="preserve"> life, expectancy, over, every, country, increase; EU scope visible. This is a provisional connection, not an outcome finding.</w:t>
      </w:r>
    </w:p>
    <w:p>
      <w:pPr>
        <w:pStyle w:val="SourceNote"/>
      </w:pPr>
      <w:r>
        <w:rPr>
          <w:b/>
        </w:rPr>
        <w:t>Available abstract (not full text):</w:t>
      </w:r>
      <w:r>
        <w:t xml:space="preserve"> Life expectancy at birth is considered a parameter of the social development, health system, or economic development of a country. We aimed to investigate the effects of GDP per capita (as the economic factor), health care expenditure, the number of medical doctors (as social factors), and CO2 emissions (as the environmental factor) on life expectancy. We used panel data analysis for 13 Eastern European countries over the 2000–2020 period. After performing the analysis, we used a cross-country fixed-effects panel (GLS with SUR weights). According to our model, a one percent increase in health expenditure (as % of GDP) increases life expectancy at birth by 0.376 years, whereas each additional medical doctor per 10,000 inhabitants increases life expectancy at birth by 0.088 years on average. At the same time, each additional 10,000 USD per capita each year would increase life expectancy at birth by 1.8 years on average. If CO2 emissions increase by 1 metric ton per capita, life expectancy at birth would decrease by 0.24 years, suggesting that higher carbon emissions are capable of reducing longevity. Every European country has to make special efforts to increase the life expectancy of its inhabitants by applying economic and health policies focused on the well-being of the population.</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r>
        <w:rPr>
          <w:b/>
        </w:rPr>
        <w:t>POSSIBLE 2023:</w:t>
      </w:r>
      <w:r>
        <w:t xml:space="preserve"> LIFE STRATEGIES OF RUSSIAN AND EUROPEAN FEMALE STUDENTS: — https://doi.org/10.18316/rcd.v15i38.11034</w:t>
      </w:r>
    </w:p>
    <w:p>
      <w:pPr/>
      <w:r>
        <w:rPr>
          <w:b/>
        </w:rPr>
        <w:t>Shared claim-specific concepts:</w:t>
      </w:r>
      <w:r>
        <w:t xml:space="preserve"> female, life, men; EU scope visible. This is a provisional connection, not an outcome finding.</w:t>
      </w:r>
    </w:p>
    <w:p>
      <w:pPr>
        <w:pStyle w:val="SourceNote"/>
      </w:pPr>
      <w:r>
        <w:rPr>
          <w:b/>
        </w:rPr>
        <w:t>Available abstract (not full text):</w:t>
      </w:r>
      <w:r>
        <w:t xml:space="preserve"> Contemporary society provides people with various ways of personality development. Young people are most susceptible to changes that occur in economics, politics, and technology. Different types of life strategies are formed and realized by young women and men, and they eventually transform public consciousness in general. The article is devoted to the analysis of life strategies and scenarios of female students living in Russia and European countries. For this purpose, a series of in-depth interviews with girls was conducted, as well as a visual analysis of the accounts of young women on the social network Instagram. Today, the process of westernization is observable – the adoption of Western European structures, practices, and lifestyles by non-European societies and countries has become a significant cultural phenomenon. Thus, based on the data obtained, it is possible to define a life strategy as a system of ideas and guidelines of the individual, aimed at the conscious design of the future. It determines and directs the behavior of individuals, reflecting the idea of the future and life path. A life strategy includes not only orientations, but also ways to achieve and realize certain goals and expectations.</w:t>
      </w:r>
    </w:p>
    <w:p>
      <w:pPr/>
      <w:r>
        <w:rPr>
          <w:b/>
        </w:rPr>
        <w:t>POSSIBLE 2023:</w:t>
      </w:r>
      <w:r>
        <w:t xml:space="preserve"> Influence of Social Determinants of Health on the Quality of Life of Older Adults in Europe: A Sex Analysis — https://doi.org/10.21203/rs.3.rs-3401316/v1</w:t>
      </w:r>
    </w:p>
    <w:p>
      <w:pPr/>
      <w:r>
        <w:rPr>
          <w:b/>
        </w:rPr>
        <w:t>Shared claim-specific concepts:</w:t>
      </w:r>
      <w:r>
        <w:t xml:space="preserve"> female, life, over, men; EU scope visible. This is a provisional connection, not an outcome finding.</w:t>
      </w:r>
    </w:p>
    <w:p>
      <w:pPr>
        <w:pStyle w:val="SourceNote"/>
      </w:pPr>
      <w:r>
        <w:rPr>
          <w:b/>
        </w:rPr>
        <w:t>Available abstract (not full text):</w:t>
      </w:r>
      <w:r>
        <w:t xml:space="preserve"> Introduction: The global aging population poses challenges for society such as health inequalities among older persons and between genders. Objectives: To determine how Social Determinants of Health (SDH) influence the quality of life (QoL) of individuals over 50 years old in various European countries, taking a gender perspective in a longitudinal study. Materials and methods: Sample of 11,493 individuals from 13 European countries from Waves 5 (2013), 6 (2015), and 7 (2017) of the SHARE study. Instruments: CASP-12 (QoL), EURO-D (depression), SDH: gender, age, educational level, socioeconomic status, ethnicity, place of residence, and European region. Sociodemographic and clinical variables. Statistical analysis: Bivariate and multivariate mixed linear models. Results: The bivariate analysis showed higher economic hardship and lower education in women compared to men. The CASP-12 score was higher in men than in women. In the multivariate analysis, the variables associated with lower QoL scores among men and women from Wave 5 to Wave 7 were: (β:-0.196, 95% CI: -0.345; -0.047) vs (β:0.038, 95% CI: -0.122; 0.197); economic hardship; and the European region between South and North (β: 2.709, 95% CI: 2.403; 3.015) vs men (β: 2.224, 95% CI: 1.896; 2.551). Conclusions: The main SDH associated with poorer QoL were female gender, advanced age, economic hardship, educational level, and </w:t>
      </w:r>
    </w:p>
    <w:p>
      <w:pPr/>
      <w:r>
        <w:rPr>
          <w:b/>
        </w:rPr>
        <w:t>POSSIBLE 2023:</w:t>
      </w:r>
      <w:r>
        <w:t xml:space="preserve"> Gains in life expectancy from decreasing cardiovascular disease and cancer mortality – an analysis of 28 European countries 1995–2019 — https://doi.org/10.1007/s10654-023-01039-8</w:t>
      </w:r>
    </w:p>
    <w:p>
      <w:pPr/>
      <w:r>
        <w:rPr>
          <w:b/>
        </w:rPr>
        <w:t>Shared claim-specific concepts:</w:t>
      </w:r>
      <w:r>
        <w:t xml:space="preserve"> female, life, expectancy, over, men, country; EU scope visible. This is a provisional connection, not an outcome finding.</w:t>
      </w:r>
    </w:p>
    <w:p>
      <w:pPr>
        <w:pStyle w:val="SourceNote"/>
      </w:pPr>
      <w:r>
        <w:rPr>
          <w:b/>
        </w:rPr>
        <w:t>Available abstract (not full text):</w:t>
      </w:r>
      <w:r>
        <w:t xml:space="preserve"> BACKGROUND: Life expectancy (LE) is an indicator of societal progress among rapidly aging populations. In recent decades, the displacement of deaths from cardiovascular disease (CVD) and cancer have been key drivers in further extending LE on the continent, though improvements vary markedly by country, sex, and over time. This study provides a comparative overview of the age-specific contributions of CVD and cancer to increasing LE in the 27 European Union member states, plus the U.K. METHODS: Cause-by-age decompositions of national changes in LE were conducted for the years 1995-1999 and 2015-2019 based on the standard approach of multiple decrement life tables to quantify the relative impact over time. The contributions of CVD and cancer mortality changes to differences in LE were computed by sex and age for each of the 28 countries. We examine the difference between the member states before 2004 ("founding countries") and those which accessed the EU after 2004 ("A10 countries"). RESULTS: Among men, declines in CVD mortality in the founding countries of the EU were larger contributors to increasing LE over the last decades than malignant neoplasms: 2.26 years were gained by CVD declines versus 1.07 years for cancer, with 2.23 and 0.84 years gained in A10 countries, respectively. Among women in founding countries, 1.81 and 0.54 additional life years were attributable to CVD an</w:t>
      </w:r>
    </w:p>
    <w:p>
      <w:pPr>
        <w:pStyle w:val="Heading2"/>
      </w:pPr>
      <w:r>
        <w:t>792.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pStyle w:val="Heading2"/>
      </w:pPr>
      <w:r>
        <w:t>793.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r>
        <w:rPr>
          <w:b/>
        </w:rPr>
        <w:t>POSSIBLE 2023:</w:t>
      </w:r>
      <w:r>
        <w:t xml:space="preserve"> A Comprehensive Evaluation of Factors Influencing Acceptance of Robotic Assistants in Field Construction Work — https://doi.org/10.1061/jmenea.meeng-5227</w:t>
      </w:r>
    </w:p>
    <w:p>
      <w:pPr/>
      <w:r>
        <w:rPr>
          <w:b/>
        </w:rPr>
        <w:t>Shared claim-specific concepts:</w:t>
      </w:r>
      <w:r>
        <w:t xml:space="preserve"> evaluate, key, field, human, work; EU scope not established. This is a provisional connection, not an outcome finding.</w:t>
      </w:r>
    </w:p>
    <w:p>
      <w:pPr>
        <w:pStyle w:val="SourceNote"/>
      </w:pPr>
      <w:r>
        <w:rPr>
          <w:b/>
        </w:rPr>
        <w:t>Available abstract (not full text):</w:t>
      </w:r>
      <w:r>
        <w:t xml:space="preserve"> The adoption of human–robot collaboration (HRC) in various forms is widely expected to help improve productivity, reduce human physical workload, and alleviate the issues created by a skilled labor shortage in the construction industry. One potential deterrent to adoption of such collaborative work methods often cited by industry stakeholders is resistance by workers stemming from their fear of losing their jobs or having to learn new approaches and methods of performing construction work. Although significant prior studies have used path analyses to statistically evaluate hypotheses about technology adoption models by estimating the relationships in the models, no research has specifically investigated the intention to work in HRC through such an approach. This study addresses this knowledge gap and empirically investigates the factors affecting construction personnel’s behavioral intention to accept HRC. HRC in this study is envisioned as robotic assistants performing the physically demanding repetitive work while construction personnel focus on cognitive tasks necessary to plan and supervise the work. An HRC adoption model based on the technology acceptance model (TAM) and innovation diffusion theory (IDT) is presented. This study expands a TAM-IDT model with new constructs such as job satisfaction and openness to training to explore an improved model that increases the unde</w:t>
      </w:r>
    </w:p>
    <w:p>
      <w:pPr>
        <w:pStyle w:val="Heading2"/>
      </w:pPr>
      <w:r>
        <w:t>794.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r>
        <w:rPr>
          <w:b/>
        </w:rPr>
        <w:t>POSSIBLE 2023:</w:t>
      </w:r>
      <w:r>
        <w:t xml:space="preserve"> Climate Governance and Federalism in the European Union — https://doi.org/10.1017/9781009249676.008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Building on its climate change mitigation policies and associated greenhouse gas emissions reductions, the EU aims to become the world’s first climate-neutral economy by 2050. However, meeting the climate change challenge appears complex in the process of European differentiated integration, the (still) problematic 2004 enlargement to include former communist countries, as well as Brexit and the economic downturn caused by the Covid-19 pandemic. The EU offers an interesting combination of different federal features although it has not yet been recognized as a federation. Also, EU climate governance development is the product of peculiar federal dynamics and characteristics, namely: the favourable context for decentralized and experimental policymaking; the enhanced prospects for triggering dynamic processes of policy diffusion; and the availability of multiple levels and forums for policymaking. In this realm, however, a number of knots still need to be disentangled, as Member States’ diverging priorities on energy and sometimes conflicting positions on mitigation targets make intergovernmental decision-making in climate policy increasingly difficult. In addition, policy fragmentation and poor or delayed implementation of EU legislation by Member States remain a critical issue.</w:t>
      </w:r>
    </w:p>
    <w:p>
      <w:pPr/>
      <w:r>
        <w:rPr>
          <w:b/>
        </w:rPr>
        <w:t>POSSIBLE 2023:</w:t>
      </w:r>
      <w:r>
        <w:t xml:space="preserve"> Developing Offshore Wind Farms – A Comparison and Analysis of the Legal and Governance Frameworks of the North Sea Coastal States — https://doi.org/10.1163/22134514-bja10064</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Abstract With high offshore wind ambitions, the North Sea coastal states have each followed a different path in the development of the legal framework for offshore wind development. This article compares the legal frameworks of the coastal states on three main issues: the location choice, including selection of developers; the permitting procedures, and the connection of the owf s. The analysis shows legislative and governance convergence across the North Sea, but also a few instances where different choices are made. The consequences of the choices are discussed and analysed, with recommendations for other coastal states wishing to develop an offshore wind regulatory framework.</w:t>
      </w:r>
    </w:p>
    <w:p>
      <w:pPr/>
      <w:r>
        <w:rPr>
          <w:b/>
        </w:rPr>
        <w:t>POSSIBLE 2023:</w:t>
      </w:r>
      <w:r>
        <w:t xml:space="preserve"> Sustainability conflicts in the blue economy: planning for offshore aquaculture and offshore wind energy development in Norway — https://doi.org/10.1007/s40152-023-00335-z</w:t>
      </w:r>
    </w:p>
    <w:p>
      <w:pPr/>
      <w:r>
        <w:rPr>
          <w:b/>
        </w:rPr>
        <w:t>Shared claim-specific concepts:</w:t>
      </w:r>
      <w:r>
        <w:t xml:space="preserve"> offshore, often, conflict; EU scope visible. This is a provisional connection, not an outcome finding.</w:t>
      </w:r>
    </w:p>
    <w:p>
      <w:pPr>
        <w:pStyle w:val="SourceNote"/>
      </w:pPr>
      <w:r>
        <w:rPr>
          <w:b/>
        </w:rPr>
        <w:t>Available abstract (not full text):</w:t>
      </w:r>
      <w:r>
        <w:t xml:space="preserve"> Abstract Blue economy developments entail an industrialization of the world’s ocean and coastal areas, placing growing pressures on the marine environment and ecosystems. Moreover, the competition for ocean space and resources increases the likelihood for social conflicts. Marine spatial planning has been presented as a tool that can avoid or mitigate conflicts. However, there is a need for a more thorough analysis of the conflicts linked to the blue economy. The objective of this paper is to analyze characteristics of blue economy conflicts and how they are shaped by the institutional context and sustainability discourses. This study also explores perspectives on conflict management and pathways toward sustainable transformations in marine planning. Empirically, we use two case studies of blue growth industries in Norway: (1) offshore wind energy development and (2) offshore aquaculture development. Through these cases, we take a close look at the established principles and procedures which regulate conflicts. Our study shows how current blue economy conflicts are framed and handled through institutionalized practices of conflict management. Our findings are twofold. First, blue economy conflicts are not easily categorized through common conflict typologies (i.e., user-user, user-environment) but increasingly appear to be sustainability conflicts in which all actors use sustai</w:t>
      </w:r>
    </w:p>
    <w:p>
      <w:pPr/>
      <w:r>
        <w:rPr>
          <w:b/>
        </w:rPr>
        <w:t>POSSIBLE 2022:</w:t>
      </w:r>
      <w:r>
        <w:t xml:space="preserve"> The Governance Context for Adaptive Heritage Reuse: A Review and Typology of Fifteen European Countries — https://doi.org/10.1080/17567505.2022.2153201</w:t>
      </w:r>
    </w:p>
    <w:p>
      <w:pPr/>
      <w:r>
        <w:rPr>
          <w:b/>
        </w:rPr>
        <w:t>Shared claim-specific concepts:</w:t>
      </w:r>
      <w:r>
        <w:t xml:space="preserve"> governance, complex, engagement; EU scope visible. This is a provisional connection, not an outcome finding.</w:t>
      </w:r>
    </w:p>
    <w:p>
      <w:pPr>
        <w:pStyle w:val="SourceNote"/>
      </w:pPr>
      <w:r>
        <w:rPr>
          <w:b/>
        </w:rPr>
        <w:t>Available abstract (not full text):</w:t>
      </w:r>
      <w:r>
        <w:t xml:space="preserve">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pPr>
        <w:pStyle w:val="Heading2"/>
      </w:pPr>
      <w:r>
        <w:t>795.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2024:</w:t>
      </w:r>
      <w:r>
        <w:t xml:space="preserve"> Quantifying tree canopy nitrification across European forests — https://doi.org/10.5194/egusphere-egu24-17028</w:t>
      </w:r>
    </w:p>
    <w:p>
      <w:pPr/>
      <w:r>
        <w:rPr>
          <w:b/>
        </w:rPr>
        <w:t>Shared claim-specific concepts:</w:t>
      </w:r>
      <w:r>
        <w:t xml:space="preserve"> forest, tree, species, climate; EU scope visible. This is a provisional connection, not an outcome finding.</w:t>
      </w:r>
    </w:p>
    <w:p>
      <w:pPr>
        <w:pStyle w:val="SourceNote"/>
      </w:pPr>
      <w:r>
        <w:rPr>
          <w:b/>
        </w:rPr>
        <w:t>Available abstract (not full text):</w:t>
      </w:r>
      <w:r>
        <w:t xml:space="preserve"> Fluxes and chemical composition of precipitation is substantially changed after passing through tree canopies, particularly in the case of atmospheric nitrogen compounds, with important implications on forest nitrogen cycling. The causes of these changes, however, have mostly focused on the passive role of foliar surfaces to scavenge pollutants from the atmosphere and to ion exchange processes, while biological processes involving microbes hidden in the phyllosphere have been less investigated. We combined triple oxygen isotopes approach and molecular analyses with the aim of quantifying canopy nitrification and identify microbes responsible for it, respectively. Ten sites included in the European ICP Forests monitoring network, chosen along climate and nitrogen deposition gradients, were selected to include the two most dominant tree species in Europe (Fagus sylvatica L. and Pinus sylvestris L.). Specifically, in this study we: 1) estimated the relative contribution of nitrate derived from biological canopy nitrification vs. atmospheric deposition by using δ18O and Δ17O of nitrate collected in water samples, i.e., in the open field (bulk deposition) and underneath tree canopies (throughfall); 2) quantified the functional genes related to nitrification for the two dominant tree species in European forests by using next-generation sequence analyses. Based on the isotope approach</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aimed, quantify, ranges, threat, forest, tree;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2023:</w:t>
      </w:r>
      <w:r>
        <w:t xml:space="preserve"> Tracking climate change and health in Europe — https://doi.org/10.1289/isee.2023.op-169</w:t>
      </w:r>
    </w:p>
    <w:p>
      <w:pPr/>
      <w:r>
        <w:rPr>
          <w:b/>
        </w:rPr>
        <w:t>Shared claim-specific concepts:</w:t>
      </w:r>
      <w:r>
        <w:t xml:space="preserve"> quantify, climate, developed; EU scope visible. This is a provisional connection, not an outcome finding.</w:t>
      </w:r>
    </w:p>
    <w:p>
      <w:pPr>
        <w:pStyle w:val="SourceNote"/>
      </w:pPr>
      <w:r>
        <w:rPr>
          <w:b/>
        </w:rPr>
        <w:t>Available abstract (not full text):</w:t>
      </w:r>
      <w:r>
        <w:t xml:space="preserve">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pPr/>
      <w:r>
        <w:rPr>
          <w:b/>
        </w:rPr>
        <w:t>POSSIBLE 2023:</w:t>
      </w:r>
      <w:r>
        <w:t xml:space="preserve"> Antimicrobial resistance in Germany and Europe – A systematic review on the increasing threat accelerated by climate change — https://doi.org/10.25646/11404</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aimed, threat, forest, species, climate;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forest, three;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Forest-based climate change mitigation and adaptation in Europe — https://doi.org/10.36333/fs14</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pStyle w:val="Heading2"/>
      </w:pPr>
      <w:r>
        <w:t>796.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2025:</w:t>
      </w:r>
      <w:r>
        <w:t xml:space="preserve"> Robust Assessment of Atmospheric Circulation Trends over Central Europe Using a Multi-Classification Approach — https://doi.org/10.5194/ems2025-600</w:t>
      </w:r>
    </w:p>
    <w:p>
      <w:pPr/>
      <w:r>
        <w:rPr>
          <w:b/>
        </w:rPr>
        <w:t>Shared claim-specific concepts:</w:t>
      </w:r>
      <w:r>
        <w:t xml:space="preserve"> differences, atmospheric, circulation; EU scope visible. This is a provisional connection, not an outcome finding.</w:t>
      </w:r>
    </w:p>
    <w:p>
      <w:pPr>
        <w:pStyle w:val="SourceNote"/>
      </w:pPr>
      <w:r>
        <w:rPr>
          <w:b/>
        </w:rPr>
        <w:t>Available abstract (not full text):</w:t>
      </w:r>
      <w:r>
        <w:t xml:space="preserve"> Changes in atmospheric circulation are key drivers of regional climate variability and long-term trends in the midlatitudes, particularly across Europe. This study investigates the concurrence and temporal trends in the frequency and persistence of atmospheric circulation types (CTs) over Central Europe for the period 1951–2020. We apply five distinct classifications: the large-scale Grosswetterlagen (GWL), and four regional-scale schemes—Lityński (LIT), Niedźwiedź (TN), Péczely (PEC), and the objective Jenkinson–Collinson (JCT) classification adapted to the study area.The analysis is conducted year-round as well as for the four meteorological seasons, offering a comprehensive perspective on synoptic-scale variability and its evolution over time. Results show substantial methodological differences between individual classification schemes. To assess the consistency and co-occurrence of CTs across methods, we employ a suite of statistical measures including contingency tables, mutual probabilities, Cramér’s V, Adjusted Rand Index (ARI), and Normalized Mutual Information (NMI). These measures highlight both areas of agreement and systematic discrepancies, underscoring the risk of overinterpretation when relying on a single classification.Despite differences, some robust trends emerge: notably, a consistent increase in westerly types and decline in meridional flow patterns during </w:t>
      </w:r>
    </w:p>
    <w:p>
      <w:pPr/>
      <w:r>
        <w:rPr>
          <w:b/>
        </w:rPr>
        <w:t>POSSIBLE 2025:</w:t>
      </w:r>
      <w:r>
        <w:t xml:space="preserve"> DIFFERENCES IN THE COMPOSITION OF ATMOSPHERIC AEROSOL NR-PM1 AT DIFFERENT HEIGHTS — https://openalex.org/W7135503777</w:t>
      </w:r>
    </w:p>
    <w:p>
      <w:pPr/>
      <w:r>
        <w:rPr>
          <w:b/>
        </w:rPr>
        <w:t>Shared claim-specific concepts:</w:t>
      </w:r>
      <w:r>
        <w:t xml:space="preserve"> differences, atmospheric, different, significant; EU scope not established. This is a provisional connection, not an outcome finding.</w:t>
      </w:r>
    </w:p>
    <w:p>
      <w:pPr>
        <w:pStyle w:val="SourceNote"/>
      </w:pPr>
      <w:r>
        <w:rPr>
          <w:b/>
        </w:rPr>
        <w:t>Available abstract (not full text):</w:t>
      </w:r>
      <w:r>
        <w:t xml:space="preserve"> Vertical variations in the composition of atmospheric aerosol NR-PM1 were studied and significant differences were found especially at night, when atmospheric mixing is often limited. Each major NR-PM1 component studied (Organics, sulphates, nitrates, ammonium) had a different behavior, with organics showing the highest differences at night.</w:t>
      </w:r>
    </w:p>
    <w:p>
      <w:pPr/>
      <w:r>
        <w:rPr>
          <w:b/>
        </w:rPr>
        <w:t>POSSIBLE 2024:</w:t>
      </w:r>
      <w:r>
        <w:t xml:space="preserve"> Warm‐Season Drying Across Europe and Its Links to Atmospheric Circulation — https://doi.org/10.1029/2023ea003434</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pPr>
        <w:pStyle w:val="Heading2"/>
      </w:pPr>
      <w:r>
        <w:t>797.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2022:</w:t>
      </w:r>
      <w:r>
        <w:t xml:space="preserve"> Retrieving diurnal cycles from daily projections for impact studies — https://doi.org/10.5194/egusphere-egu22-5525</w:t>
      </w:r>
    </w:p>
    <w:p>
      <w:pPr/>
      <w:r>
        <w:rPr>
          <w:b/>
        </w:rPr>
        <w:t>Shared claim-specific concepts:</w:t>
      </w:r>
      <w:r>
        <w:t xml:space="preserve"> limitations, projections, time; EU scope visible. This is a provisional connection, not an outcome finding.</w:t>
      </w:r>
    </w:p>
    <w:p>
      <w:pPr>
        <w:pStyle w:val="SourceNote"/>
      </w:pPr>
      <w:r>
        <w:rPr>
          <w:b/>
        </w:rPr>
        <w:t>Available abstract (not full text):</w:t>
      </w:r>
      <w:r>
        <w:t xml:space="preserve"> Impact studies, devoted to the energy demand in buildings or to the watershed hydrology, often need climate variable time series at the hourly time scale. However, climate projection outputs are mostly available at the daily time step, except for a few variables provided at the 3- or 6-hourly time step in some cases. In this paper, two ways of computing a diurnal cycle developed and used in impact studies at EDF/R&amp;D are discussed. The first approach has been defined to provide consistent hourly projections for four variables used to estimate the energy demand for heating/cooling of buildings at the 2050 horizon: temperature, wind speed, radiation and relative humidity at different geographical locations in France. The main idea is to use the distribution of the daily and geographical mean temperature over the whole French territory to identify an analogue day in the ERA5 reanalysis database. Then, for each variable and each location, the differences (for temperature) or ratios (for the other variables) between the daily mean and each hourly value are added to / multiplied by the daily mean value to assess local diurnal cycles. The approach is illustrated for 3 locations in France and its validation in terms of spatial and intervariable consistency is discussed, together with a highlight of the limitations and possible improvements. The second approach uses a statistical bias co</w:t>
      </w:r>
    </w:p>
    <w:p>
      <w:pPr/>
      <w:r>
        <w:rPr>
          <w:b/>
        </w:rPr>
        <w:t>POSSIBLE 2022:</w:t>
      </w:r>
      <w:r>
        <w:t xml:space="preserve"> CMIP5 and CMIP6 Model Projection Comparison for Hydrological Impacts Over North America — https://doi.org/10.1029/2022gl098364</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Abstract A warmer climate impacts streamflows and these changes need to be quantified to assess future risk, vulnerability, and to implement efficient adaptation measures. The climate simulations from the fifth phase of the Coupled Model Intercomparison Project (CMIP5), which have been the basis of most such assessments over the past decade, are being gradually superseded by the more recent Coupled Model Intercomparison Project Phase 6 (CMIP6). Our study portrays the added value of the CMIP6 ensemble over CMIP5 in a first North America wide comparison using 3,107 catchments. Results show a reduced spread of the CMIP6 ensemble compared to the CMIP5 ensemble for temperature and precipitation projections. In terms of flow indicators, the CMIP6 driven hydrological projections result in a smaller spread of future mean and high flow values, except for mountainous areas. Overall, we assess that the CMIP6 ensemble provides a narrower band of uncertainty of future climate projections, bringing more confidence for hydrological impact studies.</w:t>
      </w:r>
    </w:p>
    <w:p>
      <w:pPr/>
      <w:r>
        <w:rPr>
          <w:b/>
        </w:rPr>
        <w:t>POSSIBLE 2020:</w:t>
      </w:r>
      <w:r>
        <w:t xml:space="preserve"> Soil moisture and hydrology projections of the permafrost region – a model intercomparison — https://doi.org/10.5194/tc-14-445-2020</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Abstract. This study investigates and compares soil moisture and hydrology projections of broadly-used land models with permafrost processes and highlights the causes and impacts of permafrost zone soil moisture projections. Climate models project warmer temperatures and increases in precipitation (P) which will intensify evapotranspiration (ET) and runoff in land models. However, this study shows that most models project a long-term drying of the surface soil (0–20 cm) for the permafrost region despite increases in the net air-surface water flux (P-ET). Drying is generally explained by infiltration of moisture to deeper soil layers as the active layer deepens or permafrost thaws completely. Although most models agree on drying, the projections vary strongly in magnitude and spatial pattern. Land-models tend to agree with the decadal runoff trends but underestimate runoff volume when compared to gauge data across the major Arctic river basins, potentially indicating model structural limitations. In general, current generation land models lack representation of important landscape processes that drive uncertainty of the future hydrological state of the Arctic, and ultimately limits our capability to predict associated land-atmosphere biogeochemical processes across spatial and temporal scales.</w:t>
      </w:r>
    </w:p>
    <w:p>
      <w:pPr/>
      <w:r>
        <w:rPr>
          <w:b/>
        </w:rPr>
        <w:t>POSSIBLE 2018:</w:t>
      </w:r>
      <w:r>
        <w:t xml:space="preserve"> Climate Change Projections and the Associated Potential Impacts for Somalia — https://doi.org/10.4236/ajcc.2018.72011</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Somalia has faced severe challenges linked to climate variability, which has been exacerbated by conflict and limited governance that persisted for decades. Today climate extremes such as floods, drought, and coastal marine severe systems among others are always associated with the destruction of property and livelihoods; losses of lives lost, migrations, and resource based conflicts among many other miseries. Intergovernmental Panel on Climate Change (IPCC) has shown that climate change is real and requires sound knowledge of local future climate change scenarios. The study attempted to provide projected rainfall and temperature change scenarios over Lower Jubba, Somalia. This was done using the downscaled Coordinated Regional Downscaling Experiment (CORDEX) RCMs data. The simulated temperature and rainfall data derived from the CORDEX RCMs ensemble were compared with the observed data. The study focused on the IPCC projected periods of 2030, 2050 and 2070 benchmarks. Analysis of the projected rainfall indicated a decreasing trend in rainfall leading up to 2030 followed by an increase in rainfall with the 2050 and 2070 scenarios. In the case of temperature, the projections from all the models showed increase in minimum and maximum temperatures in all seasons and sub periods, like being observed by temperature projection over other parts of the world. The 2030, 2050 and 2070 pr</w:t>
      </w:r>
    </w:p>
    <w:p>
      <w:pPr>
        <w:pStyle w:val="Heading2"/>
      </w:pPr>
      <w:r>
        <w:t>798.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2021:</w:t>
      </w:r>
      <w:r>
        <w:t xml:space="preserve"> The changing map of international student mobility — https://doi.org/10.46786/ac21.7444</w:t>
      </w:r>
    </w:p>
    <w:p>
      <w:pPr/>
      <w:r>
        <w:rPr>
          <w:b/>
        </w:rPr>
        <w:t>Shared claim-specific concepts:</w:t>
      </w:r>
      <w:r>
        <w:t xml:space="preserve"> changing, ideas, mobility; EU scope not established. This is a provisional connection, not an outcome finding.</w:t>
      </w:r>
    </w:p>
    <w:p>
      <w:pPr>
        <w:pStyle w:val="SourceNote"/>
      </w:pPr>
      <w:r>
        <w:rPr>
          <w:b/>
        </w:rPr>
        <w:t>Available abstract (not full text):</w:t>
      </w:r>
      <w:r>
        <w:t xml:space="preserve"> This article presents fifteen essays following a prompt on the changing map of international student mobility through three disruptions, namely Brexit, America First and COVID-19. These essays written by postgraduate students at Beijing Normal University were collected during the Spring semester of 2020 and edited by Stephanie Hollings and Zhang Man under the supervision of Professor Michael Peters. The fifteen texts, written in the midst of the COVID-19 pandemic, highlight the many factors and faces of the changing map of international student mobility from fifteen different perspectives. The world map is a key aspect of these essays as it is not only important as a geographical concept but as a discourse of knowledge, power, identity and ideas that will be reflected in each student’s interpretation of international student mobility. Each student draws on their own diverse background and lived experiences, some as Chinese students and some as international students in China, to give light to these disruptions through the eyes of ‘globally mobile’ students, making an important contribution to global discussions on international student mobility. These students, reflecting on being in the midst of a pandemic spreading across the world map, imagine the future post-COVID-19 and how that will interplay with the other two major student mobility disruptions of recent years (Brexit an</w:t>
      </w:r>
    </w:p>
    <w:p>
      <w:pPr/>
      <w:r>
        <w:rPr>
          <w:b/>
        </w:rPr>
        <w:t>POSSIBLE 2021:</w:t>
      </w:r>
      <w:r>
        <w:t xml:space="preserve"> A Trainable Monogenic ConvNet Layer Robust in Front of Large Contrast Changes in Image Classification — https://doi.org/10.1109/access.2021.3128552</w:t>
      </w:r>
    </w:p>
    <w:p>
      <w:pPr/>
      <w:r>
        <w:rPr>
          <w:b/>
        </w:rPr>
        <w:t>Shared claim-specific concepts:</w:t>
      </w:r>
      <w:r>
        <w:t xml:space="preserve"> contrast, ideas, types; EU scope not established. This is a provisional connection, not an outcome finding.</w:t>
      </w:r>
    </w:p>
    <w:p>
      <w:pPr>
        <w:pStyle w:val="SourceNote"/>
      </w:pPr>
      <w:r>
        <w:rPr>
          <w:b/>
        </w:rPr>
        <w:t>Available abstract (not full text):</w:t>
      </w:r>
      <w:r>
        <w:t xml:space="preserve"> Convolutional Neural Networks (ConvNets) at present achieve remarkable performance in image classification tasks. However, current ConvNets cannot guarantee the capabilities of the mammalian visual systems such as invariance to contrast and illumination changes. Some ideas to overcome the illumination and contrast variations usually have to be tuned manually and tend to fail when tested with other types of data degradation. In this context, we present a new bio-inspired entry layer, M6, which detects low-level geometric features (lines, edges, and orientations) which are similar to patterns detected by the V1 visual cortex. This new trainable layer is capable of coping with image classification even with large contrast variations. The explanation for this behavior is the monogenic signal geometry, which represents each pixel value in a 3D space using quaternions, a fact that confers a degree of explainability to the networks. We compare M6 with a conventional convolutional layer (C) and a deterministic quaternion local phase layer (Q9). The experimental setup is designed to evaluate the robustness of our M6 enriched ConvNet model and includes three architectures, four datasets, three types of contrast degradation (including non-uniform haze degradations). The numerical results reveal that the models with M6 are the most robust in front of any kind of contrast variations. This a</w:t>
      </w:r>
    </w:p>
    <w:p>
      <w:pPr/>
      <w:r>
        <w:rPr>
          <w:b/>
        </w:rPr>
        <w:t>POSSIBLE 2021:</w:t>
      </w:r>
      <w:r>
        <w:t xml:space="preserve"> The Idea of Mismatch in Evolutionary Medicine — https://doi.org/10.1086/716543</w:t>
      </w:r>
    </w:p>
    <w:p>
      <w:pPr/>
      <w:r>
        <w:rPr>
          <w:b/>
        </w:rPr>
        <w:t>Shared claim-specific concepts:</w:t>
      </w:r>
      <w:r>
        <w:t xml:space="preserve"> contrast, ideas, need, largely, about; EU scope not established. This is a provisional connection, not an outcome finding.</w:t>
      </w:r>
    </w:p>
    <w:p>
      <w:pPr>
        <w:pStyle w:val="SourceNote"/>
      </w:pPr>
      <w:r>
        <w:rPr>
          <w:b/>
        </w:rPr>
        <w:t>Available abstract (not full text):</w:t>
      </w:r>
      <w:r>
        <w:t xml:space="preserve"> Mismatch is a prominent concept in evolutionary medicine, and a number of philosophers have published analyses of this concept. The word ‘mismatch’ has been used in a diversity of ways across a range of sciences, leading these authors to regard it as a vague concept in need of philosophical clarification. Here, in contrast, we concentrate on the use of mismatch in modelling and experimentation in evolutionary medicine. This reveals a rigorous theory of mismatch within which the term ‘mismatch’ is indeed used in several ways, not because it is ill defined but because different forms of mismatch are distinguished within the theory. Contemporary evolutionary medicine has unified the idea of ‘evolutionary mismatch’, derived from the older idea of ‘adaptive lag’ in evolution, with ideas about mismatch in development and physiology derived from the developmental origins of health and disease (DOHaD) paradigm. A number of publications in evolutionary medicine have tried to make this theoretical framework explicit. We build on these to present the theory in as simple and general a form as possible. We introduce terminology, largely drawn from the existing literature, to distinguish the different forms of mismatch. This integrative theory of mismatch captures how organisms track environments across space and time on multiple scales in order to maintain an adaptive match to the environme</w:t>
      </w:r>
    </w:p>
    <w:p>
      <w:pPr/>
      <w:r>
        <w:rPr>
          <w:b/>
        </w:rPr>
        <w:t>POSSIBLE 2021:</w:t>
      </w:r>
      <w:r>
        <w:t xml:space="preserve"> Journalism and the Politics of Mobility — https://doi.org/10.1080/1461670x.2021.1971108</w:t>
      </w:r>
    </w:p>
    <w:p>
      <w:pPr/>
      <w:r>
        <w:rPr>
          <w:b/>
        </w:rPr>
        <w:t>Shared claim-specific concepts:</w:t>
      </w:r>
      <w:r>
        <w:t xml:space="preserve"> mobility, practice, about, planning; EU scope not established. This is a provisional connection, not an outcome finding.</w:t>
      </w:r>
    </w:p>
    <w:p>
      <w:pPr>
        <w:pStyle w:val="SourceNote"/>
      </w:pPr>
      <w:r>
        <w:rPr>
          <w:b/>
        </w:rPr>
        <w:t>Available abstract (not full text):</w:t>
      </w:r>
      <w:r>
        <w:t xml:space="preserve"> This paper presents a theoretical reframing of journalism as a fundamentally mobile practice and outlines a research agenda for studying the politics of mobility in journalism that is centered on the everyday work of journalists. Our reframing draws on geographer Tim Cresswell’s work on the six components of a politics of mobility, which are motive force, speed, rhythm, route, experience, and friction (Cresswell, T. 2010. “Towards a Politics of Mobility.” Environment and Planning D: Society and Space 28 (1): 17–31). Cresswell poses six key questions about mobility, and rephrasing them to to fit journalists, we get why do journalists move?; how fast do journalists move?; according to what rhythm do journalists move?; what route(s) do journalists take?; how do journalists feel when they move?; and what stops/impedes the movement of journalists? These questions entail a research framework concerned with the different conditions of movement for different bodies, thus drawing attention to previously under-studied areas of journalism studies.</w:t>
      </w:r>
    </w:p>
    <w:p>
      <w:pPr/>
      <w:r>
        <w:rPr>
          <w:b/>
        </w:rPr>
        <w:t>POSSIBLE 2020:</w:t>
      </w:r>
      <w:r>
        <w:t xml:space="preserve"> How ideas matter in public policy: a review of concepts, mechanisms, and methods — https://doi.org/10.4000/irpp.1343</w:t>
      </w:r>
    </w:p>
    <w:p>
      <w:pPr/>
      <w:r>
        <w:rPr>
          <w:b/>
        </w:rPr>
        <w:t>Shared claim-specific concepts:</w:t>
      </w:r>
      <w:r>
        <w:t xml:space="preserve"> ideas, decision-making, processes, approaches; EU scope not established. This is a provisional connection, not an outcome finding.</w:t>
      </w:r>
    </w:p>
    <w:p>
      <w:pPr>
        <w:pStyle w:val="SourceNote"/>
      </w:pPr>
      <w:r>
        <w:rPr>
          <w:b/>
        </w:rPr>
        <w:t>Available abstract (not full text):</w:t>
      </w:r>
      <w:r>
        <w:t xml:space="preserve">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pPr/>
      <w:r>
        <w:rPr>
          <w:b/>
        </w:rPr>
        <w:t>POSSIBLE 2020:</w:t>
      </w:r>
      <w:r>
        <w:t xml:space="preserve"> Smart Roads: An Overview of What Future Mobility Will Look Like — https://doi.org/10.3390/infrastructures5120107</w:t>
      </w:r>
    </w:p>
    <w:p>
      <w:pPr/>
      <w:r>
        <w:rPr>
          <w:b/>
        </w:rPr>
        <w:t>Shared claim-specific concepts:</w:t>
      </w:r>
      <w:r>
        <w:t xml:space="preserve"> mobility, look, like; EU scope not established. This is a provisional connection, not an outcome finding.</w:t>
      </w:r>
    </w:p>
    <w:p>
      <w:pPr>
        <w:pStyle w:val="SourceNote"/>
      </w:pPr>
      <w:r>
        <w:rPr>
          <w:b/>
        </w:rPr>
        <w:t>Available abstract (not full text):</w:t>
      </w:r>
      <w:r>
        <w:t xml:space="preserve"> Transport engineering has recently undergone several significant changes and innovations, one of which is the appearance and spread of autonomous vehicles; with this technology becoming more common and ordinary by the day, it is now necessary to implement some systems and contexts to facilitate autonomous vehicle operations. Consequently, a different perspective is now arising when dealing with road infrastructures, aiming to simplify and improve efficiency and maintenance of the existing roads, increase the life cycle of newly built ones, and minimize the economic and financial impact at the same time. Roadway pavements are one of the primary factors affecting vehicle operations; over time, this distinctive aspect has gone through various mechanical and physical changes due to the adoption of new materials or design methods. Consequently, to the spread of autonomous vehicles, scientific research has begun to study and develop systems to make road pavements and platforms not exclusively aimed at bearing loads, but rather at considering them as a means of communication and information exchange, if not even as a source of energy. This new approach introduces the so-called “Smart Roads,” i.e., road infrastructures capable of communicating with vehicles and self-monitoring fundamental perspectives concerning driverless vehicles and the roadway platform life cycle. This paper examin</w:t>
      </w:r>
    </w:p>
    <w:p>
      <w:pPr/>
      <w:r>
        <w:rPr>
          <w:b/>
        </w:rPr>
        <w:t>POSSIBLE 2020:</w:t>
      </w:r>
      <w:r>
        <w:t xml:space="preserve"> Changing Mobility Lifestyle — https://doi.org/10.4018/ijepr.20210401.oa6</w:t>
      </w:r>
    </w:p>
    <w:p>
      <w:pPr/>
      <w:r>
        <w:rPr>
          <w:b/>
        </w:rPr>
        <w:t>Shared claim-specific concepts:</w:t>
      </w:r>
      <w:r>
        <w:t xml:space="preserve"> changing, mobility, service, about; EU scope not established. This is a provisional connection, not an outcome finding.</w:t>
      </w:r>
    </w:p>
    <w:p>
      <w:pPr>
        <w:pStyle w:val="SourceNote"/>
      </w:pPr>
      <w:r>
        <w:rPr>
          <w:b/>
        </w:rPr>
        <w:t>Available abstract (not full text):</w:t>
      </w:r>
      <w:r>
        <w:t xml:space="preserve"> The article is focused on a detailed micro-study describing changes in the behaviour of the authors in three months before and during the COVID-19 pandemic. The study is based on data from Google Location Service. Despite the fact it evaluates only three people and the study cannot be sufficiently representative, it is a unique example of possible data processing at such a level of accuracy. The most significant changes in the behaviour of authors before and during the COVID-19 quarantine are described and interpreted in detail. Another purpose of the article is to point out the possibilities of analytical processing of Google Location while being aware of personal data protection issues. The authors recognize that by visualizing the real motion data, one partially discloses their privacy, but one considers it very valuable to show how detailed data Google collects about the population and how such data can be used effectively.</w:t>
      </w:r>
    </w:p>
    <w:p>
      <w:pPr>
        <w:pStyle w:val="Heading2"/>
      </w:pPr>
      <w:r>
        <w:t>799.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2025:</w:t>
      </w:r>
      <w:r>
        <w:t xml:space="preserve"> The Application Differences of WACC in Firm Valuation: Technology Industry versus Manufacturing Industry — https://doi.org/10.54097/790xn248</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paper reviews how the Weighted Average Cost of Capital (WACC) functions across different industries, focusing on a comparison between the technology and manufacturing sectors. It finds that several assumptions behind WACC often do not hold in the tech industry. These firms rely heavily on intangible assets, face higher unsystematic risks, and operate in more uncertain environments. By contrast, manufacturing companies tend to have more predictable cash flows and capital structures that better fit WACC-based models. In addition to highlighting these differences, the paper summarizes several methods proposed in the literature to adjust or improve WACC applications under uncertainty conditions. These include scenario-based forecasting, Monte Carlo simulation, and real options analysis. This paper shows that WACC is not equally applicable across all sectors and that valuation tools must be adapted to reflect the specific characteristics of each industry. this research offers industry-related guidance for financial analysts and valuation practitioners. Such adjustments may contribute to more accurate investment decisions.</w:t>
      </w:r>
    </w:p>
    <w:p>
      <w:pPr/>
      <w:r>
        <w:rPr>
          <w:b/>
        </w:rPr>
        <w:t>POSSIBLE 2025:</w:t>
      </w:r>
      <w:r>
        <w:t xml:space="preserve"> Impact of Weighted Average Cost of Capital and Profitability on Economic Value Added of Firms in the Industrial Sector — https://doi.org/10.3390/jrfm18110650</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In the context of financial decision-making, Economic Value Added (EVA) is a relevant indicator for assessing firms’ financial efficiency. This research aimed to determine the impact of the Weighted Average Cost of Capital (WACC) and profitability on the EVA of industrial sector companies in Peru. The study employed a quantitative, correlational–causal, non-experimental design. The sample included four industrial sector companies listed on the Lima Stock Exchange (BVL). Data were collected through document review and analyzed using panel data regression models with a longitudinal approach. The results show that Return on Equity (ROE) is a statistically significant predictor of EVA in all companies, indicating a direct relationship. In contrast, WACC showed a weak relationship with the variables studied. It is concluded that profitability shows a stronger and more consistent influence on EVA than WACC, although the impact of WACC varies across companies. However, the relationship between WACC, ROE, and EVA differs among companies. The model explains a moderate share of EVA variability (14.39% to 50.52%), suggesting that factors beyond WACC and profitability also contribute to value creation. These results provide both theoretical insights into financial performance metrics and practical guidance for managers in emerging markets.</w:t>
      </w:r>
    </w:p>
    <w:p>
      <w:pPr>
        <w:pStyle w:val="Heading2"/>
      </w:pPr>
      <w:r>
        <w:t>800.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range;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2024:</w:t>
      </w:r>
      <w:r>
        <w:t xml:space="preserve"> Climate change and human rights: how a landmark legal victory in Europe could affect NZ — https://doi.org/10.64628/aa.w393n9fmr</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Does Climate Change and Energy Consumption Affect the Food Security of European Union Countries? Empirical Evidence from a Panel Study — https://doi.org/10.3390/en17133237</w:t>
      </w:r>
    </w:p>
    <w:p>
      <w:pPr/>
      <w:r>
        <w:rPr>
          <w:b/>
        </w:rPr>
        <w:t>Shared claim-specific concepts:</w:t>
      </w:r>
      <w:r>
        <w:t xml:space="preserve"> climate, affect, increased; EU scope visible. This is a provisional connection, not an outcome finding.</w:t>
      </w:r>
    </w:p>
    <w:p>
      <w:pPr>
        <w:pStyle w:val="SourceNote"/>
      </w:pPr>
      <w:r>
        <w:rPr>
          <w:b/>
        </w:rPr>
        <w:t>Available abstract (not full text):</w:t>
      </w:r>
      <w:r>
        <w:t xml:space="preserve">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pPr/>
      <w:r>
        <w:rPr>
          <w:b/>
        </w:rPr>
        <w:t>POSSIBLE 2024:</w:t>
      </w:r>
      <w:r>
        <w:t xml:space="preserve"> Will climate change affect the proportion of melanistic northern vipers Vipera berus in a western European population with an exceptionally high rate of melanism? — https://doi.org/10.33256/hb168.2931</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pStyle w:val="Heading2"/>
      </w:pPr>
      <w:r>
        <w:t>801.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2024:</w:t>
      </w:r>
      <w:r>
        <w:t xml:space="preserve"> Triple Collocation-Based Uncertainty Analysis and Data Fusion of Multi-Source Evapotranspiration Data Across China — https://doi.org/10.3390/atmos15121410</w:t>
      </w:r>
    </w:p>
    <w:p>
      <w:pPr/>
      <w:r>
        <w:rPr>
          <w:b/>
        </w:rPr>
        <w:t>Shared claim-specific concepts:</w:t>
      </w:r>
      <w:r>
        <w:t xml:space="preserve"> best, data, fusion, individual, nearly; EU scope visible. This is a provisional connection, not an outcome finding.</w:t>
      </w:r>
    </w:p>
    <w:p>
      <w:pPr>
        <w:pStyle w:val="SourceNote"/>
      </w:pPr>
      <w:r>
        <w:rPr>
          <w:b/>
        </w:rPr>
        <w:t>Available abstract (not full text):</w:t>
      </w:r>
      <w:r>
        <w:t xml:space="preserve"> Accurate estimation of evapotranspiration (ET) is critical for understanding land-atmospheric interactions. Despite the advancement in ET measurement, a single ET estimate still suffers from inherent uncertainties. Data fusion provides a viable option for improving ET estimation by leveraging the strengths of individual ET products, especially the triple collocation (TC) method, which has a prominent advantage in not relying on the availability of “ground truth” data. In this work, we proposed a framework for uncertainty analysis and data fusion based on the extended TC (ETC) and multiple TC (MTC) variants. Three different sources of ET products, i.e., the Global Land Evaporation and Amsterdam Model (GLEAM), the fifth generation of European Reanalysis-Land (ERA5-Land), and the complementary relationship model (CR), were selected as the TC triplet. The analyses were conducted based on different climate zones and land cover types across China. Results show that ETC presents outstanding performance as most areas conform to the zero-error correlations assumption, while nearly half of the areas violate this assumption when using MTC. In addition, the ETC method derives a lower root mean square error (RMSE) and higher correlation coefficient (Corr) than the MTC one over most climate zones and land cover types. Among the ET products, GLEAM performs the best, while CR performs the wors</w:t>
      </w:r>
    </w:p>
    <w:p>
      <w:pPr/>
      <w:r>
        <w:rPr>
          <w:b/>
        </w:rPr>
        <w:t>POSSIBLE 2024:</w:t>
      </w:r>
      <w:r>
        <w:t xml:space="preserve"> Fusion of Soccer and Sipa and Tumbang Lata Skills in Developing a Recreational Game — https://doi.org/10.36948/ijfmr.2024.v06i03.23700</w:t>
      </w:r>
    </w:p>
    <w:p>
      <w:pPr/>
      <w:r>
        <w:rPr>
          <w:b/>
        </w:rPr>
        <w:t>Shared claim-specific concepts:</w:t>
      </w:r>
      <w:r>
        <w:t xml:space="preserve"> best, fusion, used; EU scope not established. This is a provisional connection, not an outcome finding.</w:t>
      </w:r>
    </w:p>
    <w:p>
      <w:pPr>
        <w:pStyle w:val="SourceNote"/>
      </w:pPr>
      <w:r>
        <w:rPr>
          <w:b/>
        </w:rPr>
        <w:t>Available abstract (not full text):</w:t>
      </w:r>
      <w:r>
        <w:t xml:space="preserve"> Traditional games are seen as the best platform for "promoting peace, harmony, goodwill and camaraderie" in various Philippine communities especially since today’s generation is different, most kids are stuck on their phones, iPods, and PSPs while sitting in a corner. This study highlighted a newly developed game derived from the two (2) recreational games, Sipa and Tumba Lata called Patada Lata. A game development approach that blends personalization and innovation, customized to the specific requirements of various groups. The respondents were 5 coaches of each sport (soccer and futsal) and teachers from Mindanao State University- General Santos City. The descriptive qualitative design was used following the Successive Approximation Model in deriving the development of the recreational game. A researcher-made interview guide question was utilized to obtain the feedback, comments, and suggestions of the validators, experts, and the student's experiences in playing Patada Lata. Based on the results of the study, positive feedback on the feasibility and adaptability of the game was received from participants. It is concluded that Patada Lata is playable, valid, and suitable and is highly accepted by the respondents. It recommends massive implementation to further normalize the mechanics of the recreational game Patada Lata.</w:t>
      </w:r>
    </w:p>
    <w:p>
      <w:pPr/>
      <w:r>
        <w:rPr>
          <w:b/>
        </w:rPr>
        <w:t>POSSIBLE 2024:</w:t>
      </w:r>
      <w:r>
        <w:t xml:space="preserve"> Feeding Assistance Skill Score: development and verification of reliability and validity — https://doi.org/10.1007/s41999-024-01016-8</w:t>
      </w:r>
    </w:p>
    <w:p>
      <w:pPr/>
      <w:r>
        <w:rPr>
          <w:b/>
        </w:rPr>
        <w:t>Shared claim-specific concepts:</w:t>
      </w:r>
      <w:r>
        <w:t xml:space="preserve"> skill, scores, individual; EU scope not established. This is a provisional connection, not an outcome finding.</w:t>
      </w:r>
    </w:p>
    <w:p>
      <w:pPr>
        <w:pStyle w:val="SourceNote"/>
      </w:pPr>
      <w:r>
        <w:rPr>
          <w:b/>
        </w:rPr>
        <w:t>Available abstract (not full text):</w:t>
      </w:r>
      <w:r>
        <w:t xml:space="preserve"> Abstract Purpose Feeding assistance should be safe and improve the assisted individual’s ability to feed, yet objective tools for evaluating these skills are lacking. This study focuses on developing a tool for assessing feeding assistance skills. Methods A group consisting of 25 experts employed the Delphi method to achieve a consensus on the essential items necessary for assessing feeding assistance skills. Subsequently, a draft score using a three-point scale was developed. To test the reliability of the draft scores, a group of 20 patients and 20 nurses was matched to record a meal assistance scene, which were independently evaluated by three raters. We computed the AC 1 statistic to assess both intra- and inter-rater reliability, and further examined correlations between the Feeding Assistance Skill Score (FASS) scores and outcome items to verify validity. Results Initially, an 18-item draft score was generated using the Delphi method. Subsequently, seven items were omitted from the intra- or inter-rater reliability analysis. Furthermore, after discussion, researchers removed one item that assessed food cognition, because the agreement score between the two items was 91%. Finally, the 10-item FASS was developed, showing a correlation with dietary intake upon validation. Conclusions We successfully developed a scoring system for peer evaluation of feeding assistance skills.</w:t>
      </w:r>
    </w:p>
    <w:p>
      <w:pPr/>
      <w:r>
        <w:rPr>
          <w:b/>
        </w:rPr>
        <w:t>POSSIBLE 2024:</w:t>
      </w:r>
      <w:r>
        <w:t xml:space="preserve"> Latent profiles of adolescents’ digital skills across six European countries — https://doi.org/10.1177/14614448241258704</w:t>
      </w:r>
    </w:p>
    <w:p>
      <w:pPr/>
      <w:r>
        <w:rPr>
          <w:b/>
        </w:rPr>
        <w:t>Shared claim-specific concepts:</w:t>
      </w:r>
      <w:r>
        <w:t xml:space="preserve"> best, skill, data; EU scope visible. This is a provisional connection, not an outcome finding.</w:t>
      </w:r>
    </w:p>
    <w:p>
      <w:pPr>
        <w:pStyle w:val="SourceNote"/>
      </w:pPr>
      <w:r>
        <w:rPr>
          <w:b/>
        </w:rPr>
        <w:t>Available abstract (not full text):</w:t>
      </w:r>
      <w:r>
        <w:t xml:space="preserve"> Digital skills are considered critical for functioning in contemporary society, yet there are differences between adolescents’ skills depending on demographic and socioeconomic variables. This study, utilising data from six EU countries ( N = 6221; M age = 14.5; SD = 1.4), takes a person-oriented approach to examine adolescents digital skill profiles and associations with socioeconomic, digital activity, and socioemotional antecedents. Using latent profile analyses with tests of similarity across countries, we identified five profiles: All-rounders, Informationists, Content Creators, Communicators, and No high skills. The All-rounders reported the highest proportions of skills at a high level (~77–87%) across all dimensions and performed best across digital knowledge items, but Communicators were the largest profile across countries which showed adept acquisition (~67%) of high skills only regarding communication and interaction skills. Among the most important antecedents predicting high digital skills were being male, using computers, and having strong self-efficacy.</w:t>
      </w:r>
    </w:p>
    <w:p>
      <w:pPr/>
      <w:r>
        <w:rPr>
          <w:b/>
        </w:rPr>
        <w:t>POSSIBLE 2024:</w:t>
      </w:r>
      <w:r>
        <w:t xml:space="preserve"> Development of the Fusion Raceway Circuit Game to Improve Students' Fundamental Movement Skills — https://doi.org/10.20961/teknodika.v22i1.84804</w:t>
      </w:r>
    </w:p>
    <w:p>
      <w:pPr/>
      <w:r>
        <w:rPr>
          <w:b/>
        </w:rPr>
        <w:t>Shared claim-specific concepts:</w:t>
      </w:r>
      <w:r>
        <w:t xml:space="preserve"> obtained, fusion, used; EU scope not established. This is a provisional connection, not an outcome finding.</w:t>
      </w:r>
    </w:p>
    <w:p>
      <w:pPr>
        <w:pStyle w:val="SourceNote"/>
      </w:pPr>
      <w:r>
        <w:rPr>
          <w:b/>
        </w:rPr>
        <w:t>Available abstract (not full text):</w:t>
      </w:r>
      <w:r>
        <w:t xml:space="preserve"> Fundamental movement skills (FMS) are basic movement skills that children should acquire from an early age. Delays in acquiring these movement skills can affect children's ability to learn more complex skills in the future. This research, thus, aims to produce a product in the form of the Fusion Raceway Circuit game to improve the FMS skills of elementary school students. This research used a 4D research and development method, namely Define, Design, Development, and Disseminate. In developing the Fusion Raceway Circuit game, preliminary studies and information analysis, small-scale trials, revisions, and large-scale trials were carried out. After that, an evaluation was performed to determine the final result of the product being developed. The results of developing the Fusion Raceway Circuit game were product feasibility, reliability, and product effectiveness. Feasibility was obtained based on the validator's assessment, and a feasible result was obtained with the category of very good. Product reliability obtained a value of 0.868. The product effectiveness was also judged to be effective, as evidenced by an increase in the pretest-posttest results of 45.6% or the paired sample t-test with a significance value of 0.000. In conclusion, the product developed, the Fusion Raceway Circuit game, has been deemed feasible for dissemination to PJOK (Physical Education, Sports and He</w:t>
      </w:r>
    </w:p>
    <w:p>
      <w:pPr>
        <w:pStyle w:val="Heading2"/>
      </w:pPr>
      <w:r>
        <w:t>802.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2025:</w:t>
      </w:r>
      <w:r>
        <w:t xml:space="preserve"> Insights into Participatory Policymaking — https://doi.org/10.7557/11.8084</w:t>
      </w:r>
    </w:p>
    <w:p>
      <w:pPr/>
      <w:r>
        <w:rPr>
          <w:b/>
        </w:rPr>
        <w:t>Shared claim-specific concepts:</w:t>
      </w:r>
      <w:r>
        <w:t xml:space="preserve"> participatory, involving, stakeholders, understanding, assess; EU scope visible. This is a provisional connection, not an outcome finding.</w:t>
      </w:r>
    </w:p>
    <w:p>
      <w:pPr>
        <w:pStyle w:val="SourceNote"/>
      </w:pPr>
      <w:r>
        <w:rPr>
          <w:b/>
        </w:rPr>
        <w:t>Available abstract (not full text):</w:t>
      </w:r>
      <w:r>
        <w:t xml:space="preserve"> This article explores how Finland created its first citizen science policy by involving the stakeholders in the policymaking process. The aim is to assess how engaging stakeholders can shape science policy. The basis of the study is in the shift of responsibility for coordinating open science in Finland from the Ministry of Education and Culture to the Finnish research community, specifically the Federation of Finnish Learned Societies (TSV). We examined documents from the TSV citizen science working group, including meeting notes, survey results, and the final policy paper, to understand how stakeholder participation influenced the policy-making process. The results show that involving stakeholders helped shape policy recommendations, especially in improving institutional support, guidelines, and funding visibility for citizen science. However, challenges like uneven awareness and engagement among stakeholders could limit the effectiveness of participatory approaches. By placing these findings within the context of participatory policymaking and stakeholder theory, the article provides insights into how inclusive policy design works. This study adds to the understanding of how participatory governance and science policy development can be integrated into institutional frameworks to drive practical change.</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participatory, approach, involving, stakeholders, environmental, potential;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Participatory approach for specifying user requirements for maritime border surveillance system — https://doi.org/10.54941/ahfe1005558</w:t>
      </w:r>
    </w:p>
    <w:p>
      <w:pPr/>
      <w:r>
        <w:rPr>
          <w:b/>
        </w:rPr>
        <w:t>Shared claim-specific concepts:</w:t>
      </w:r>
      <w:r>
        <w:t xml:space="preserve"> participatory, iterative, approach, users; EU scope visible. This is a provisional connection, not an outcome finding.</w:t>
      </w:r>
    </w:p>
    <w:p>
      <w:pPr>
        <w:pStyle w:val="SourceNote"/>
      </w:pPr>
      <w:r>
        <w:rPr>
          <w:b/>
        </w:rPr>
        <w:t>Available abstract (not full text):</w:t>
      </w:r>
      <w:r>
        <w:t xml:space="preserve">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pPr>
        <w:pStyle w:val="Heading2"/>
      </w:pPr>
      <w:r>
        <w:t>803.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r>
        <w:rPr>
          <w:b/>
        </w:rPr>
        <w:t>POSSIBLE 2025:</w:t>
      </w:r>
      <w:r>
        <w:t xml:space="preserve"> Occupational Autonomy and Wage Divergence: Evidence From European Survey Data — https://doi.org/10.1111/bjir.70003</w:t>
      </w:r>
    </w:p>
    <w:p>
      <w:pPr/>
      <w:r>
        <w:rPr>
          <w:b/>
        </w:rPr>
        <w:t>Shared claim-specific concepts:</w:t>
      </w:r>
      <w:r>
        <w:t xml:space="preserve"> occupational, trend, over, well, occupations, technological; EU scope visible. This is a provisional connection, not an outcome finding.</w:t>
      </w:r>
    </w:p>
    <w:p>
      <w:pPr>
        <w:pStyle w:val="SourceNote"/>
      </w:pPr>
      <w:r>
        <w:rPr>
          <w:b/>
        </w:rPr>
        <w:t>Available abstract (not full text):</w:t>
      </w:r>
      <w:r>
        <w:t xml:space="preserve"> ABSTRACT Wages across occupations in Western Europe have diverged, resulting in increased wage inequality. However, existing theories such as routine‐biased technological change (RBTC) or task offshoring fail to explain this trend. We propose a new explanation based on occupational autonomy. Autonomy measures workers' control and influence over their work process based on the tasks required in an occupation. Analysing individual‐level data from the EU Survey of Income and Living Conditions, we reveal a rising autonomy wage premium, that is, higher wage growth for occupations with higher autonomy, which accurately predicts the observed occupational wage divergence. We also find that the autonomy premium increases more rapidly in countries and industries with greater employee monitoring and outsourcing, as well as in countries with declining minimum wages. These findings imply that low‐autonomy occupations have been disadvantaged by recent socioeconomic trends that have altered power relations in the workplace. Notably, our analysis does not support previous explanations for occupational wage trends based on RBTC or task offshoring.</w:t>
      </w:r>
    </w:p>
    <w:p>
      <w:pPr/>
      <w:r>
        <w:rPr>
          <w:b/>
        </w:rPr>
        <w:t>POSSIBLE 2024:</w:t>
      </w:r>
      <w:r>
        <w:t xml:space="preserve"> Immigration and Occupational Shortage in Western European Countries — https://openalex.org/W7200861707</w:t>
      </w:r>
    </w:p>
    <w:p>
      <w:pPr/>
      <w:r>
        <w:rPr>
          <w:b/>
        </w:rPr>
        <w:t>Shared claim-specific concepts:</w:t>
      </w:r>
      <w:r>
        <w:t xml:space="preserve"> occupational, over, increase, occupations; EU scope visible. This is a provisional connection, not an outcome finding.</w:t>
      </w:r>
    </w:p>
    <w:p>
      <w:pPr>
        <w:pStyle w:val="SourceNote"/>
      </w:pPr>
      <w:r>
        <w:rPr>
          <w:b/>
        </w:rPr>
        <w:t>Available abstract (not full text):</w:t>
      </w:r>
      <w:r>
        <w:t xml:space="preserve">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pPr/>
      <w:r>
        <w:rPr>
          <w:b/>
        </w:rPr>
        <w:t>POSSIBLE 2024:</w:t>
      </w:r>
      <w:r>
        <w:t xml:space="preserve"> Positions of the Leading European Parties on the Eve of the European Parliament Elections 2024 — https://doi.org/10.31857/s0201708324030069</w:t>
      </w:r>
    </w:p>
    <w:p>
      <w:pPr/>
      <w:r>
        <w:rPr>
          <w:b/>
        </w:rPr>
        <w:t>Shared claim-specific concepts:</w:t>
      </w:r>
      <w:r>
        <w:t xml:space="preserve"> demonstrates, main, over, next, increasing, well; EU scope visible. This is a provisional connection, not an outcome finding.</w:t>
      </w:r>
    </w:p>
    <w:p>
      <w:pPr>
        <w:pStyle w:val="SourceNote"/>
      </w:pPr>
      <w:r>
        <w:rPr>
          <w:b/>
        </w:rPr>
        <w:t>Available abstract (not full text):</w:t>
      </w:r>
      <w:r>
        <w:t xml:space="preserve"> The article analyses the main trends in the transformation of the party and political system of the European Union on the eve of the next elections to the European Parliament in June 2024. The article examines the main events of recent years that had the main impact on the process of this transformation. New trends in the change of this system were noted, which included strengthening the popularity and influence of Eurosceptic parties, increasing internal tension concerning relations between old and new members of the European Union. The research demonstrates that following the results of the national parliamentary elections held over the past five years in almost all EU member states, the influence of the leading political parties, which for many years occupied dominant positions in the executive and representative authorities of these countries, has significantly decreased. The phenomenon of increasing representation of women in the bodies of the EU and its member states and its impact on their formation is considered. The influence of changes in the social structure of the European community and their impact on the electoral preferences of Europeans is analysed. The preelection positions of all leading European parties that currently have their factions in the European Parliament are presented, including their election manifestos and candidacies for the post of the President</w:t>
      </w:r>
    </w:p>
    <w:p>
      <w:pPr/>
      <w:r>
        <w:rPr>
          <w:b/>
        </w:rPr>
        <w:t>POSSIBLE 2024:</w:t>
      </w:r>
      <w:r>
        <w:t xml:space="preserve"> The Struggle over Law in Europe — https://doi.org/10.4324/9781003302094</w:t>
      </w:r>
    </w:p>
    <w:p>
      <w:pPr/>
      <w:r>
        <w:rPr>
          <w:b/>
        </w:rPr>
        <w:t>Shared claim-specific concepts:</w:t>
      </w:r>
      <w:r>
        <w:t xml:space="preserve"> over, next, well;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pStyle w:val="Heading2"/>
      </w:pPr>
      <w:r>
        <w:t>804.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r>
        <w:rPr>
          <w:b/>
        </w:rPr>
        <w:t>POSSIBLE 2024:</w:t>
      </w:r>
      <w:r>
        <w:t xml:space="preserve"> EU Railways: Contribution to Decarbonisation Solution — https://doi.org/10.31857/s0201708324020062</w:t>
      </w:r>
    </w:p>
    <w:p>
      <w:pPr/>
      <w:r>
        <w:rPr>
          <w:b/>
        </w:rPr>
        <w:t>Shared claim-specific concepts:</w:t>
      </w:r>
      <w:r>
        <w:t xml:space="preserve"> analyses, decarbonisation, passenger, increase, greenhouse; EU scope visible. This is a provisional connection, not an outcome finding.</w:t>
      </w:r>
    </w:p>
    <w:p>
      <w:pPr>
        <w:pStyle w:val="SourceNote"/>
      </w:pPr>
      <w:r>
        <w:rPr>
          <w:b/>
        </w:rPr>
        <w:t>Available abstract (not full text):</w:t>
      </w:r>
      <w:r>
        <w:t xml:space="preserve">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pPr/>
      <w:r>
        <w:rPr>
          <w:b/>
        </w:rPr>
        <w:t>POSSIBLE 2024:</w:t>
      </w:r>
      <w:r>
        <w:t xml:space="preserve"> Models and methods for transport demand and decarbonisation: a review — https://doi.org/10.1088/1748-9326/ad6b3a</w:t>
      </w:r>
    </w:p>
    <w:p>
      <w:pPr/>
      <w:r>
        <w:rPr>
          <w:b/>
        </w:rPr>
        <w:t>Shared claim-specific concepts:</w:t>
      </w:r>
      <w:r>
        <w:t xml:space="preserve"> decarbonisation, greenhouse; EU scope not established. This is a provisional connection, not an outcome finding.</w:t>
      </w:r>
    </w:p>
    <w:p>
      <w:pPr>
        <w:pStyle w:val="SourceNote"/>
      </w:pPr>
      <w:r>
        <w:rPr>
          <w:b/>
        </w:rPr>
        <w:t>Available abstract (not full text):</w:t>
      </w:r>
      <w:r>
        <w:t xml:space="preserve">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pPr/>
      <w:r>
        <w:rPr>
          <w:b/>
        </w:rPr>
        <w:t>POSSIBLE 2024:</w:t>
      </w:r>
      <w:r>
        <w:t xml:space="preserve"> Optimal decarbonisation pathway for mining truck fleets — https://doi.org/10.1016/j.jai.2024.03.003</w:t>
      </w:r>
    </w:p>
    <w:p>
      <w:pPr/>
      <w:r>
        <w:rPr>
          <w:b/>
        </w:rPr>
        <w:t>Shared claim-specific concepts:</w:t>
      </w:r>
      <w:r>
        <w:t xml:space="preserve"> analyses, decarbonisation, case; EU scope not established. This is a provisional connection, not an outcome finding.</w:t>
      </w:r>
    </w:p>
    <w:p>
      <w:pPr>
        <w:pStyle w:val="SourceNote"/>
      </w:pPr>
      <w:r>
        <w:rPr>
          <w:b/>
        </w:rPr>
        <w:t>Available abstract (not full text):</w:t>
      </w:r>
      <w:r>
        <w:t xml:space="preserve"> The decarbonisation of fossil fuel powered mine truck fleets, which can contribute up to 80% of total emissions in open pit mines, is critical for the mining industry. This study investigates the optimal decarbonisation framework for mining truck fleets to determine the optimal decarbonisation pathway to minimise the life cycle costs during the planning period. Notably, our proposed framework incorporates power generation, negative carbon technologies, and carbon trading. Technical, financial, and environmental models of decarbonisation technologies are established, capturing regional variations and dynamic characteristics such as cost trends and carbon capture efficiency. The dynamic natures of these characteristics pose challenges for using the cost-effective analyses approach to find the optimal decarbonisation pathway. To address this, we introduce a mixed-integer programming optimisation based framework designed to optimise the decarbonisation pathway. A case study for the optimal decarbonisation pathway of truck fleets in a South African coal mine is conducted to illustrate the applicability of the proposed model. Results indicate that the optimal decarbonisation pathway is significantly influenced by factors such as land cost, annual budget, and carbon trading prices. The proposed method provides invaluable guidance for transitioning towards a cleaner and more sustainabl</w:t>
      </w:r>
    </w:p>
    <w:p>
      <w:pPr>
        <w:pStyle w:val="Heading2"/>
      </w:pPr>
      <w:r>
        <w:t>805.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r>
        <w:rPr>
          <w:b/>
        </w:rPr>
        <w:t>POSSIBLE 2025:</w:t>
      </w:r>
      <w:r>
        <w:t xml:space="preserve"> Evaluating the impact of receiving social transfers on income poverty and deprivation in EU member states — https://openalex.org/W7165823257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This study examines the relationship between receipt of social transfers and poverty across EU member states, with a particular focus on income poverty as well as material and social deprivation. Although social transfers are a central component of European welfare states for poverty reduction, there is limited evidence on how transfer receipt is associated with poverty when assessed beyond income-based measures at the individual level. Recognising that poverty extends beyond the lack of income, this research combines monetary and non-monetary measures and investigates contemporaneous and lagged associations between transfer receipt and poverty outcomes. Using longitudinal EU-SILC data (2017–2020) covering 22 EU member states, the analysis applies conditional fixed-effects and random-effects logistic regression models. A two-level approach is adopted: EU-wide models to identify general patterns and cross-national comparisons to explore variation across welfare contexts. The findings show that receiving social transfers reduces the odds of income poverty in contemporaneous terms but has only a limited effect on deprivation. When both within- and between-individual variation are considered, recipients of social transfers are more likely to experience poverty and deprivation, possibly reflecting the targeting of transfers toward vulnerable groups but highlighting the limited capac</w:t>
      </w:r>
    </w:p>
    <w:p>
      <w:pPr/>
      <w:r>
        <w:rPr>
          <w:b/>
        </w:rPr>
        <w:t>POSSIBLE 2025:</w:t>
      </w:r>
      <w:r>
        <w:t xml:space="preserve"> Transfer of ownership of movables in the law of European countries — https://openalex.org/W7136013607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Transfer of ownership of movables in the law of European countries Abstract The thesis focuses on the transfer of ownership of movables as the most common case of derivative acquisition of ownership. Despite the increasing number of cross-border transactions between EU Member States, the legal framework remains inconsistent across EU Member States, leading to many different legal consequences in cross-border transfers. The thesis is thus primarily a comparative study of the contractual transfer of ownership. It presents most of the national rules governing the transfer of ownership of tangible movables in continental Europe together with the sale of goods in England. The contract of sale is the most common legal ground for the transfer of ownership in cross-border transactions. Therefore, the subject of the thesis is not only the property law regulation of the ownership transfer of a movable asset, but also the differences in the transfer based on the contract of sale. Given that the structure of the property law regulation of the transfer of movables has important consequences for the area of the law of obligations, the examination of the property law regulation in individual countries is linked to the views on certain institutes of the law of obligations. These include transfer of risk, impossibility of...</w:t>
      </w:r>
    </w:p>
    <w:p>
      <w:pPr/>
      <w:r>
        <w:rPr>
          <w:b/>
        </w:rPr>
        <w:t>POSSIBLE 2024:</w:t>
      </w:r>
      <w:r>
        <w:t xml:space="preserve"> Social transfer policies and child poverty in European countries: Evaluating policy alternatives through a multiobjective programming model — https://doi.org/10.1016/j.seps.2024.101892</w:t>
      </w:r>
    </w:p>
    <w:p>
      <w:pPr/>
      <w:r>
        <w:rPr>
          <w:b/>
        </w:rPr>
        <w:t>Shared claim-specific concepts:</w:t>
      </w:r>
      <w:r>
        <w:t xml:space="preserve"> transfer, assess, policies; EU scope visible. This is a provisional connection, not an outcome finding.</w:t>
      </w:r>
    </w:p>
    <w:p>
      <w:pPr>
        <w:pStyle w:val="SourceNote"/>
      </w:pPr>
      <w:r>
        <w:rPr>
          <w:b/>
        </w:rPr>
        <w:t>Available abstract (not full text):</w:t>
      </w:r>
      <w:r>
        <w:t xml:space="preserve">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pPr/>
      <w:r>
        <w:rPr>
          <w:b/>
        </w:rPr>
        <w:t>POSSIBLE 2024:</w:t>
      </w:r>
      <w:r>
        <w:t xml:space="preserve"> Stronger Member States for a Stronger European Union — https://doi.org/10.62733/2024.2.143-161</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pStyle w:val="Heading2"/>
      </w:pPr>
      <w:r>
        <w:t>806.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drivers, identified, factors, positive, sustainable;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Socio-Economic and Institutional Drivers of Climate-Smart Agriculture Adoption in Bangladesh — https://doi.org/10.33687/ijae.013.01.5700</w:t>
      </w:r>
    </w:p>
    <w:p>
      <w:pPr/>
      <w:r>
        <w:rPr>
          <w:b/>
        </w:rPr>
        <w:t>Shared claim-specific concepts:</w:t>
      </w:r>
      <w:r>
        <w:t xml:space="preserve"> analyzed, socio-economic, drivers, less, factors, positive; EU scope not established. This is a provisional connection, not an outcome finding.</w:t>
      </w:r>
    </w:p>
    <w:p>
      <w:pPr>
        <w:pStyle w:val="SourceNote"/>
      </w:pPr>
      <w:r>
        <w:rPr>
          <w:b/>
        </w:rPr>
        <w:t>Available abstract (not full text):</w:t>
      </w:r>
      <w:r>
        <w:t xml:space="preserve"> Climate change poses a significant threat to agricultural sustainability in vulnerable regions, such as Bangladesh, where farming systems face increasing risks from drought, flooding, and soil degradation. Climate-Smart Agriculture (CSA) offers a strategic framework for enhancing resilience, boosting productivity, and mitigating environmental impacts. This study examines the socio-economic and institutional factors influencing CSA adoption among smallholder farmers in Chuadanga district, in southwestern Bangladesh. Data were collected through structured, face-to-face interviews with 105 randomly selected CSA-practicing farmers. The survey instrument was pre-tested and included both open- and closed-ended questions. Eleven variables—including education, organizational participation, ICT access, and farmer perceptions—were analyzed using multiple regression in SPSS (Version 20). The findings indicated that factors such as education level, involvement in organizations, access to information and communication technologies (ICT), and positive attitudes toward CSA had a significant impact on its adoption. In contrast, variables such as farm size and access to finance had less impact. The model explained 47.7% of the variation in CSA adoption. These findings suggest that targeted policies to strengthen education, institutional support, and digital access are crucial for scaling up Com</w:t>
      </w:r>
    </w:p>
    <w:p>
      <w:pPr/>
      <w:r>
        <w:rPr>
          <w:b/>
        </w:rPr>
        <w:t>POSSIBLE 2025:</w:t>
      </w:r>
      <w:r>
        <w:t xml:space="preserve"> From Education to Family Networks: Analyzing Demographic and Socio-Economic Drivers of Migration Intentions in Bangladesh Under the NELM Framework — https://doi.org/10.14422/mig.2025.003</w:t>
      </w:r>
    </w:p>
    <w:p>
      <w:pPr/>
      <w:r>
        <w:rPr>
          <w:b/>
        </w:rPr>
        <w:t>Shared claim-specific concepts:</w:t>
      </w:r>
      <w:r>
        <w:t xml:space="preserve"> socio-economic, drivers, factors; EU scope not established. This is a provisional connection, not an outcome finding.</w:t>
      </w:r>
    </w:p>
    <w:p>
      <w:pPr>
        <w:pStyle w:val="SourceNote"/>
      </w:pPr>
      <w:r>
        <w:rPr>
          <w:b/>
        </w:rPr>
        <w:t>Available abstract (not full text):</w:t>
      </w:r>
      <w:r>
        <w:t xml:space="preserve"> This study examines the impact of demographic and socioeconomic factors on migration intentions in Bangladesh within the New Economic Theory of Migration (NELM) framework. Using logistic regression and cluster analysis on convenience survey data, findings show that higher education (OR = 1.45, p &lt; 0.01) and higher income (OR = 1.20, p &lt; 0.05) significantly increase migration intentions. Having family members who migrated also elevates intentions (OR = 1.60, p &lt; 0.01). Interaction effects reveal distinct patterns among younger-educated individuals (p &lt; 0.05). Cluster analysis identifies younger, lower-income, and educated individuals as most likely to migrate, highlighting NELM’s policy relevance.</w:t>
      </w:r>
    </w:p>
    <w:p>
      <w:pPr/>
      <w:r>
        <w:rPr>
          <w:b/>
        </w:rPr>
        <w:t>POSSIBLE 2024:</w:t>
      </w:r>
      <w:r>
        <w:t xml:space="preserve"> Sustainable Craft Culture: Socio‐Cultural Drivers and Economic Impact on Sustainable Development — https://doi.org/10.1002/sd.3282</w:t>
      </w:r>
    </w:p>
    <w:p>
      <w:pPr/>
      <w:r>
        <w:rPr>
          <w:b/>
        </w:rPr>
        <w:t>Shared claim-specific concepts:</w:t>
      </w:r>
      <w:r>
        <w:t xml:space="preserve"> drivers, identified, quantitative, factors, sustainable; EU scope not established. This is a provisional connection, not an outcome finding.</w:t>
      </w:r>
    </w:p>
    <w:p>
      <w:pPr>
        <w:pStyle w:val="SourceNote"/>
      </w:pPr>
      <w:r>
        <w:rPr>
          <w:b/>
        </w:rPr>
        <w:t>Available abstract (not full text):</w:t>
      </w:r>
      <w:r>
        <w:t xml:space="preserve"> ABSTRACT The craft culture of West Bengal, India, is deeply rooted in rich socio‐cultural traditions and plays a crucial role in advancing economic development and sustainability. This study explores the intricate socio‐cultural drivers that shape West Bengal's craft culture and examines their profound impact on sustainable development. The research delves into the historical, religious, and social dynamics that influence both the commercialization and preservation of traditional crafts. The qualitative study was performed using Grounded Theory and laddering technique, which highlighted the significance of cultural preservation, identity, and community engagement while illuminating the close relationship between craftspeople and their trade. The quantitative study highlights that the craft industry is influenced by eight major factors. It was further identified that the factors having the major impact were Perceived Cultural Preservation, Perceived Cultural Identity, Community Engagement, and Education and Awareness, highlighting the crucial role these areas play in maintaining and advancing West Bengal's craft culture. When considered collectively, the studies offer a thorough grasp of the cultural relevance influencing West Bengal's artisan traditions. By bridging the gap between cultural preservation and economic imperatives, this study provides a comprehensive framework for</w:t>
      </w:r>
    </w:p>
    <w:p>
      <w:pPr>
        <w:pStyle w:val="Heading2"/>
      </w:pPr>
      <w:r>
        <w:t>807.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2024:</w:t>
      </w:r>
      <w:r>
        <w:t xml:space="preserve"> Constraints on regional projections of mean and extreme precipitation under warming — https://doi.org/10.1073/pnas.2312400121</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The projected changes in the hydrological cycle under global warming remain highly uncertain across current climate models. Here, we demonstrate that the observational past warming trend can be utilized to effectively co1nstrain future projections in mean and extreme precipitation on both global and regional scales. The physical basis for such constraints relies on the relatively constant climate sensitivity in individual models and the reasonable consistency of regional hydrological sensitivity among the models, which is dominated and regulated by the increases in atmospheric moisture. For the high-emission scenario, on the global average, the projected changes in mean precipitation are lowered from 6.9 to 5.2% and those in extreme precipitation from 24.5 to 18.1%, with the inter-model variances reduced by 31.0 and 22.7%, respectively. Moreover, the constraint can be applied to regions in middle-to-high latitudes, particularly over land. These constraints result in spatially resolved corrections that deviate substantially and inhomogeneously from the global mean corrections. This study provides regionally constrained hydrological responses over the globe, with direct implications for climate adaptation in specific areas.</w:t>
      </w:r>
    </w:p>
    <w:p>
      <w:pPr/>
      <w:r>
        <w:rPr>
          <w:b/>
        </w:rPr>
        <w:t>POSSIBLE 2024:</w:t>
      </w:r>
      <w:r>
        <w:t xml:space="preserve"> Spatial Modeling and Future Projection of Extreme Precipitation Extents — https://doi.org/10.1080/01621459.2024.2408045</w:t>
      </w:r>
    </w:p>
    <w:p>
      <w:pPr/>
      <w:r>
        <w:rPr>
          <w:b/>
        </w:rPr>
        <w:t>Shared claim-specific concepts:</w:t>
      </w:r>
      <w:r>
        <w:t xml:space="preserve"> projections, precipitation, extremes, climate; EU scope not established. This is a provisional connection, not an outcome finding.</w:t>
      </w:r>
    </w:p>
    <w:p>
      <w:pPr>
        <w:pStyle w:val="SourceNote"/>
      </w:pPr>
      <w:r>
        <w:rPr>
          <w:b/>
        </w:rPr>
        <w:t>Available abstract (not full text):</w:t>
      </w:r>
      <w:r>
        <w:t xml:space="preserve"> Extreme precipitation events with large spatial extents may have more severe impacts than localized events as they can lead to widespread flooding. It is debated how climate change may affect the spatial extent of precipitation extremes, whose investigation often directly relies on simulations of precipitation from climate models. Here, we use a different strategy to investigate how future changes in spatial extents of precipitation extremes differ across climate zones and seasons in two river basins (Danube and Mississippi). We rely on observed precipitation extremes while exploiting a physics-based average-temperature covariate, enabling us to project future precipitation extents based on projected temperatures. We include the covariate into newly developed time-varying r-Pareto processes using suitably chosen spatial risk functionals r. This model captures temporal non-stationarity in the spatial dependence structure of precipitation extremes by linking it to the temperature covariate, derived from reanalysis data (ERA5-Land) for model calibration and from bias-corrected climate simulations (CMIP6) for projections. Our results show an increasing trend in the margins, with both significantly positive or negative trend coefficients depending on season and river (sub-)basin. During major rainy seasons, the significant trends indicate that future spatial extreme events will beco</w:t>
      </w:r>
    </w:p>
    <w:p>
      <w:pPr/>
      <w:r>
        <w:rPr>
          <w:b/>
        </w:rPr>
        <w:t>POSSIBLE 2023:</w:t>
      </w:r>
      <w:r>
        <w:t xml:space="preserve"> Historical assessment and future projection of extreme precipitation in CMIP6 models: Global and continental — https://doi.org/10.1002/joc.8077</w:t>
      </w:r>
    </w:p>
    <w:p>
      <w:pPr/>
      <w:r>
        <w:rPr>
          <w:b/>
        </w:rPr>
        <w:t>Shared claim-specific concepts:</w:t>
      </w:r>
      <w:r>
        <w:t xml:space="preserve"> abstract, precipitation, over, ensemble, climate, pathway; EU scope visible. This is a provisional connection, not an outcome finding.</w:t>
      </w:r>
    </w:p>
    <w:p>
      <w:pPr>
        <w:pStyle w:val="SourceNote"/>
      </w:pPr>
      <w:r>
        <w:rPr>
          <w:b/>
        </w:rPr>
        <w:t>Available abstract (not full text):</w:t>
      </w:r>
      <w:r>
        <w:t xml:space="preserve">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pPr/>
      <w:r>
        <w:rPr>
          <w:b/>
        </w:rPr>
        <w:t>POSSIBLE 2023:</w:t>
      </w:r>
      <w:r>
        <w:t xml:space="preserve"> An assessment of CMIP6 climate signals and biases in temperature, precipitation and soil moisture over Europe — https://doi.org/10.1002/joc.8169</w:t>
      </w:r>
    </w:p>
    <w:p>
      <w:pPr/>
      <w:r>
        <w:rPr>
          <w:b/>
        </w:rPr>
        <w:t>Shared claim-specific concepts:</w:t>
      </w:r>
      <w:r>
        <w:t xml:space="preserve"> abstract, projections, precipitation, over, ensemble, regional; EU scope visible. This is a provisional connection, not an outcome finding.</w:t>
      </w:r>
    </w:p>
    <w:p>
      <w:pPr>
        <w:pStyle w:val="SourceNote"/>
      </w:pPr>
      <w:r>
        <w:rPr>
          <w:b/>
        </w:rPr>
        <w:t>Available abstract (not full text):</w:t>
      </w:r>
      <w:r>
        <w:t xml:space="preserve">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pPr/>
      <w:r>
        <w:rPr>
          <w:b/>
        </w:rPr>
        <w:t>POSSIBLE 2023:</w:t>
      </w:r>
      <w:r>
        <w:t xml:space="preserve"> Assessment of Precipitation and Hydrological Droughts in South America through Statistically Downscaled CMIP6 Projections — https://doi.org/10.3390/cli11080166</w:t>
      </w:r>
    </w:p>
    <w:p>
      <w:pPr/>
      <w:r>
        <w:rPr>
          <w:b/>
        </w:rPr>
        <w:t>Shared claim-specific concepts:</w:t>
      </w:r>
      <w:r>
        <w:t xml:space="preserve"> projections, precipitation, over, continent, climate; EU scope not established. This is a provisional connection, not an outcome finding.</w:t>
      </w:r>
    </w:p>
    <w:p>
      <w:pPr>
        <w:pStyle w:val="SourceNote"/>
      </w:pPr>
      <w:r>
        <w:rPr>
          <w:b/>
        </w:rPr>
        <w:t>Available abstract (not full text):</w:t>
      </w:r>
      <w:r>
        <w:t xml:space="preserve"> Drought events are critical environmental threats that yield several socioeconomic impacts. Such effects are even more relevant for South America (SA) since different activities essential for the continent, such as agriculture and energy generation, depend highly on water resources. Thus, this study aimed to evaluate future changes in precipitation and hydrological drought occurrence in SA through climate projections from eight global climate models (GCMs) of CMIP6. To this end, statistical downscaling was applied to the projections obtained using the quantile delta mapping technique, and the method proved to be efficient in reducing systematic biases and preserving GCMs’ trends. For the following decades, the results show considerable and statistically significant reductions in precipitation over most of SA, especially during the austral spring, with the most intense signal under the SSP5-8.5 forcing scenario. Furthermore, GCMs showed mixed signals about projections of the frequency and intensity of drought events. Still, they indicated agreement regarding the increased duration and severity of events over the continent and a substantial proportion of moderate and severe events over most of Brazil during the 21st century. These results can be helpful for better management of water resources by decision-makers and energy planners.</w:t>
      </w:r>
    </w:p>
    <w:p>
      <w:pPr>
        <w:pStyle w:val="Heading2"/>
      </w:pPr>
      <w:r>
        <w:t>808.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r>
        <w:rPr>
          <w:b/>
        </w:rPr>
        <w:t>POSSIBLE 2024:</w:t>
      </w:r>
      <w:r>
        <w:t xml:space="preserve"> Racialization and Sexual Modernity in the United Kingdom — https://doi.org/10.1215/10642684-11331018</w:t>
      </w:r>
    </w:p>
    <w:p>
      <w:pPr/>
      <w:r>
        <w:rPr>
          <w:b/>
        </w:rPr>
        <w:t>Shared claim-specific concepts:</w:t>
      </w:r>
      <w:r>
        <w:t xml:space="preserve"> united, kingdom, placed, against, systems; EU scope visible. This is a provisional connection, not an outcome finding.</w:t>
      </w:r>
    </w:p>
    <w:p>
      <w:pPr>
        <w:pStyle w:val="SourceNote"/>
      </w:pPr>
      <w:r>
        <w:rPr>
          <w:b/>
        </w:rPr>
        <w:t>Available abstract (not full text):</w:t>
      </w:r>
      <w:r>
        <w:t xml:space="preserve"> Sita Balani's first single-authored monograph, Deadly and Slick: Sexual Modernity and the Making of Race, is an exploration of the co-constitution of race and sexuality primarily based on the British Empire and contemporary United Kingdom. The title derives from the description by Cedric J. Robinson (2007: 4) that “race is mercurial—deadly and slick” in the book Forgeries of Memory and Meaning. Grounded in the tradition of British cultural studies, the book is divided into eight chapters, arguing that it is the co-imbrication of the development and management of sexual modernity and racialization that gives race its “slickness” and durability. Many scholars like Kimberlé Crenshaw (1991), Anjali Arondekar (2009), Ann Laura Stoler (2010), and Maria Lugones (2007) have argued that gender and race are co-constitutive in their productions and should not be taken as discrete categories of analysis, so this work seems to be a contribution to a well-established field of feminist scholarship. Deadly and Slick is well suited for undergraduate curriculums as an introduction to questions of gender, sexual modernity, and racialization.Balani relies on literary fiction, Netflix series, and secondary historical texts to present a cultural critique of shifting racial-gendered formations, swiftly moving across different sites and time periods. The book begins with sexual modernity as rooted in </w:t>
      </w:r>
    </w:p>
    <w:p>
      <w:pPr/>
      <w:r>
        <w:rPr>
          <w:b/>
        </w:rPr>
        <w:t>POSSIBLE 2023:</w:t>
      </w:r>
      <w:r>
        <w:t xml:space="preserve">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pPr/>
      <w:r>
        <w:rPr>
          <w:b/>
        </w:rPr>
        <w:t>Shared claim-specific concepts:</w:t>
      </w:r>
      <w:r>
        <w:t xml:space="preserve"> united, kingdom, placed, baseline; EU scope visible. This is a provisional connection, not an outcome finding.</w:t>
      </w:r>
    </w:p>
    <w:p>
      <w:pPr>
        <w:pStyle w:val="SourceNote"/>
      </w:pPr>
      <w:r>
        <w:rPr>
          <w:b/>
        </w:rPr>
        <w:t>Available abstract (not full text):</w:t>
      </w:r>
      <w:r>
        <w:t xml:space="preserve">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pPr/>
      <w:r>
        <w:rPr>
          <w:b/>
        </w:rPr>
        <w:t>POSSIBLE 2023:</w:t>
      </w:r>
      <w:r>
        <w:t xml:space="preserve"> Hybrid warfare management of the United Kingdom — https://doi.org/10.5937/nabepo28-43140</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pPr/>
      <w:r>
        <w:rPr>
          <w:b/>
        </w:rPr>
        <w:t>POSSIBLE 2023:</w:t>
      </w:r>
      <w:r>
        <w:t xml:space="preserve"> United Kingdom — https://doi.org/10.5089/9798400248627.002</w:t>
      </w:r>
    </w:p>
    <w:p>
      <w:pPr/>
      <w:r>
        <w:rPr>
          <w:b/>
        </w:rPr>
        <w:t>Shared claim-specific concepts:</w:t>
      </w:r>
      <w:r>
        <w:t xml:space="preserve"> united, kingdom, transition, against; EU scope not established. This is a provisional connection, not an outcome finding.</w:t>
      </w:r>
    </w:p>
    <w:p>
      <w:pPr>
        <w:pStyle w:val="SourceNote"/>
      </w:pPr>
      <w:r>
        <w:rPr>
          <w:b/>
        </w:rPr>
        <w:t>Available abstract (not full text):</w:t>
      </w:r>
      <w:r>
        <w:t xml:space="preserve">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pPr>
        <w:pStyle w:val="Heading2"/>
      </w:pPr>
      <w:r>
        <w:t>809.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2024:</w:t>
      </w:r>
      <w:r>
        <w:t xml:space="preserve"> Scanning European Needs and Expectations Related to Livestock Biosecurity Training by Using the World Café Method — https://doi.org/10.1155/2024/6743691</w:t>
      </w:r>
    </w:p>
    <w:p>
      <w:pPr/>
      <w:r>
        <w:rPr>
          <w:b/>
        </w:rPr>
        <w:t>Shared claim-specific concepts:</w:t>
      </w:r>
      <w:r>
        <w:t xml:space="preserve"> four, regarding, training, courses; EU scope visible. This is a provisional connection, not an outcome finding.</w:t>
      </w:r>
    </w:p>
    <w:p>
      <w:pPr>
        <w:pStyle w:val="SourceNote"/>
      </w:pPr>
      <w:r>
        <w:rPr>
          <w:b/>
        </w:rPr>
        <w:t>Available abstract (not full text):</w:t>
      </w:r>
      <w:r>
        <w:t xml:space="preserve"> The European Union Animal Health Law (2016/429) emphasizes disease prevention, underpinned by livestock biosecurity, surveillance, and traceability, as key aspects to minimize the risk of animal diseases. An important element of biosecurity is the training of key actors involved in implementing it. However, their needs and expectations regarding this training are poorly known. Under the COST action BETTER (CA20103), a World Café was organized to identify the needs and expectations of biosecurity training for farmers, veterinary practitioners, veterinary students, and other actors. A total of 78 participants distributed in four groups participated in the World Café. Needs and expectations were identified and ranked in decreasing order of importance. For farmers, the most important aspects were training focusing on practical aspects, the planning of training sessions in the day to accommodate workload, the need to prepare multiple reminders of upcoming training, and the short duration of events. For veterinary practitioners, it was considered that a mixed approach, including a theoretical and a practical part where people are invited to create a biosecurity plan and a follow-up report, were the most important features of training. For veterinary students, creating a good knowledge of the main principles of biosecurity was found as an essential element of training. Regarding other</w:t>
      </w:r>
    </w:p>
    <w:p>
      <w:pPr/>
      <w:r>
        <w:rPr>
          <w:b/>
        </w:rPr>
        <w:t>POSSIBLE 2024:</w:t>
      </w:r>
      <w:r>
        <w:t xml:space="preserve"> Assessment of Cleaning and Disinfection Practices on Pig Farms across Ten European Countries — https://doi.org/10.3390/ani14040593</w:t>
      </w:r>
    </w:p>
    <w:p>
      <w:pPr/>
      <w:r>
        <w:rPr>
          <w:b/>
        </w:rPr>
        <w:t>Shared claim-specific concepts:</w:t>
      </w:r>
      <w:r>
        <w:t xml:space="preserve"> four, regarding, training; EU scope visible. This is a provisional connection, not an outcome finding.</w:t>
      </w:r>
    </w:p>
    <w:p>
      <w:pPr>
        <w:pStyle w:val="SourceNote"/>
      </w:pPr>
      <w:r>
        <w:rPr>
          <w:b/>
        </w:rPr>
        <w:t>Available abstract (not full text):</w:t>
      </w:r>
      <w:r>
        <w:t xml:space="preserve">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2023:</w:t>
      </w:r>
      <w:r>
        <w:t xml:space="preserve"> Behavior Analysts’ Training and Practice Regarding Trauma-Informed Care — https://doi.org/10.1007/s40617-023-00836-7</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Chemistry, structure and function of approved oligonucleotide therapeutics — https://doi.org/10.1093/nar/gkad067</w:t>
      </w:r>
    </w:p>
    <w:p>
      <w:pPr/>
      <w:r>
        <w:rPr>
          <w:b/>
        </w:rPr>
        <w:t>Shared claim-specific concepts:</w:t>
      </w:r>
      <w:r>
        <w:t xml:space="preserve"> chemistry, two, account, class; EU scope not established. This is a provisional connection, not an outcome finding.</w:t>
      </w:r>
    </w:p>
    <w:p>
      <w:pPr>
        <w:pStyle w:val="SourceNote"/>
      </w:pPr>
      <w:r>
        <w:rPr>
          <w:b/>
        </w:rPr>
        <w:t>Available abstract (not full text):</w:t>
      </w:r>
      <w:r>
        <w:t xml:space="preserve"> Eighteen nucleic acid therapeutics have been approved for treatment of various diseases in the last 25 years. Their modes of action include antisense oligonucleotides (ASOs), splice-switching oligonucleotides (SSOs), RNA interference (RNAi) and an RNA aptamer against a protein. Among the diseases targeted by this new class of drugs are homozygous familial hypercholesterolemia, spinal muscular atrophy, Duchenne muscular dystrophy, hereditary transthyretin-mediated amyloidosis, familial chylomicronemia syndrome, acute hepatic porphyria, and primary hyperoxaluria. Chemical modification of DNA and RNA was central to making drugs out of oligonucleotides. Oligonucleotide therapeutics brought to market thus far contain just a handful of first- and second-generation modifications, among them 2'-fluoro-RNA, 2'-O-methyl RNA and the phosphorothioates that were introduced over 50 years ago. Two other privileged chemistries are 2'-O-(2-methoxyethyl)-RNA (MOE) and the phosphorodiamidate morpholinos (PMO). Given their importance in imparting oligonucleotides with high target affinity, metabolic stability and favorable pharmacokinetic and -dynamic properties, this article provides a review of these chemistries and their use in nucleic acid therapeutics. Breakthroughs in lipid formulation and GalNAc conjugation of modified oligonucleotides have paved the way to efficient delivery and robust, lo</w:t>
      </w:r>
    </w:p>
    <w:p>
      <w:pPr/>
      <w:r>
        <w:rPr>
          <w:b/>
        </w:rPr>
        <w:t>POSSIBLE 2023:</w:t>
      </w:r>
      <w:r>
        <w:t xml:space="preserve"> Advanced practice nursing in Europe—Results from a pan‐European survey of 35 countries — https://doi.org/10.1111/jan.15775</w:t>
      </w:r>
    </w:p>
    <w:p>
      <w:pPr/>
      <w:r>
        <w:rPr>
          <w:b/>
        </w:rPr>
        <w:t>Shared claim-specific concepts:</w:t>
      </w:r>
      <w:r>
        <w:t xml:space="preserve"> training, practice, design; EU scope visible. This is a provisional connection, not an outcome finding.</w:t>
      </w:r>
    </w:p>
    <w:p>
      <w:pPr>
        <w:pStyle w:val="SourceNote"/>
      </w:pPr>
      <w:r>
        <w:rPr>
          <w:b/>
        </w:rPr>
        <w:t>Available abstract (not full text):</w:t>
      </w:r>
      <w:r>
        <w:t xml:space="preserve">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pPr>
        <w:pStyle w:val="Heading2"/>
      </w:pPr>
      <w:r>
        <w:t>810.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2022:</w:t>
      </w:r>
      <w:r>
        <w:t xml:space="preserve"> European IoT International Cooperation in Research and Innovation — https://doi.org/10.1201/9781003337966-10</w:t>
      </w:r>
    </w:p>
    <w:p>
      <w:pPr/>
      <w:r>
        <w:rPr>
          <w:b/>
        </w:rPr>
        <w:t>Shared claim-specific concepts:</w:t>
      </w:r>
      <w:r>
        <w:t xml:space="preserve"> cooperation, countries, solutions; EU scope visible. This is a provisional connection, not an outcome finding.</w:t>
      </w:r>
    </w:p>
    <w:p>
      <w:pPr>
        <w:pStyle w:val="SourceNote"/>
      </w:pPr>
      <w:r>
        <w:rPr>
          <w:b/>
        </w:rPr>
        <w:t>Available abstract (not full text):</w:t>
      </w:r>
      <w:r>
        <w:t xml:space="preserve">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pPr/>
      <w:r>
        <w:rPr>
          <w:b/>
        </w:rPr>
        <w:t>POSSIBLE 2022:</w:t>
      </w:r>
      <w:r>
        <w:t xml:space="preserve"> China and the transatlantic relationship: obstacles to deeper European–US cooperation — https://doi.org/10.55317/9781784135287</w:t>
      </w:r>
    </w:p>
    <w:p>
      <w:pPr/>
      <w:r>
        <w:rPr>
          <w:b/>
        </w:rPr>
        <w:t>Shared claim-specific concepts:</w:t>
      </w:r>
      <w:r>
        <w:t xml:space="preserve"> cooperation, countries, over; EU scope visible. This is a provisional connection, not an outcome finding.</w:t>
      </w:r>
    </w:p>
    <w:p>
      <w:pPr>
        <w:pStyle w:val="SourceNote"/>
      </w:pPr>
      <w:r>
        <w:rPr>
          <w:b/>
        </w:rPr>
        <w:t>Available abstract (not full text):</w:t>
      </w:r>
      <w:r>
        <w:t xml:space="preserve">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pPr/>
      <w:r>
        <w:rPr>
          <w:b/>
        </w:rPr>
        <w:t>POSSIBLE 2022:</w:t>
      </w:r>
      <w:r>
        <w:t xml:space="preserve"> Prevalence of most common skin diseases in Europe: a population‐based study — https://doi.org/10.1111/jdv.18050</w:t>
      </w:r>
    </w:p>
    <w:p>
      <w:pPr/>
      <w:r>
        <w:rPr>
          <w:b/>
        </w:rPr>
        <w:t>Shared claim-specific concepts:</w:t>
      </w:r>
      <w:r>
        <w:t xml:space="preserve"> countries, affected, million;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pStyle w:val="Heading2"/>
      </w:pPr>
      <w:r>
        <w:t>811.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2025:</w:t>
      </w:r>
      <w:r>
        <w:t xml:space="preserve"> Nuclear nostalgia – Unveiling the sociotechnical imaginary of new nuclear power in Sweden — https://doi.org/10.5194/safend2025-64</w:t>
      </w:r>
    </w:p>
    <w:p>
      <w:pPr/>
      <w:r>
        <w:rPr>
          <w:b/>
        </w:rPr>
        <w:t>Shared claim-specific concepts:</w:t>
      </w:r>
      <w:r>
        <w:t xml:space="preserve"> nuclear, power, experience, reactors, within, several; EU scope visible. This is a provisional connection, not an outcome finding.</w:t>
      </w:r>
    </w:p>
    <w:p>
      <w:pPr>
        <w:pStyle w:val="SourceNote"/>
      </w:pPr>
      <w:r>
        <w:rPr>
          <w:b/>
        </w:rPr>
        <w:t>Available abstract (not full text):</w:t>
      </w:r>
      <w:r>
        <w:t xml:space="preserve"> Recently, interest in nuclear power has surged. Several countries are either planning for or have already begun constructing new nuclear power plants. The European Union now includes nuclear in its green taxonomy (EU 2022/1214). Coupled with recent technical development, most notably 4th generation- and Small Modular Reactor technology, there are even talks of a renaissance of nuclear power.In Sweden, this phenomenon has manifested in plans to again build nuclear power plants. The government has launched a new nuclear program (Busch et al, 2023), laws are being changed (Andersson, 2023) and investigations are ongoing to facilitate the financing of new power plants (Dillén, 2024).In the past, Sweden was at the forefront of civil nuclear technology by building twelve reactors between 1971 and 1985 (IAEA, 2021). Thereafter followed, however, a period of decommissioning where six reactors were phased out (ibid, 2021). With recent plans to build new nuclear plants, Sweden has once again changed paths.According to theoretical insights of sociotechnical imaginaries (STI) this development can be understood as informed by visions of how nuclear power will aid in achieving a beneficial future (Jasanoff &amp; Kim, 2015; 2009). Within this field of research, several papers have studied different nations’ constructions of (un)desirable futures of nuclear power (e.g., Felt, 2015; Jasanoff &amp; Kim,</w:t>
      </w:r>
    </w:p>
    <w:p>
      <w:pPr/>
      <w:r>
        <w:rPr>
          <w:b/>
        </w:rPr>
        <w:t>POSSIBLE 2025:</w:t>
      </w:r>
      <w:r>
        <w:t xml:space="preserve"> Small Modular Nuclear Power Reactors as a Driver of Development of Nuclear Technologies — https://doi.org/10.3390/en18215766</w:t>
      </w:r>
    </w:p>
    <w:p>
      <w:pPr/>
      <w:r>
        <w:rPr>
          <w:b/>
        </w:rPr>
        <w:t>Shared claim-specific concepts:</w:t>
      </w:r>
      <w:r>
        <w:t xml:space="preserve"> nuclear, power, technological, reactors, article; EU scope not established. This is a provisional connection, not an outcome finding.</w:t>
      </w:r>
    </w:p>
    <w:p>
      <w:pPr>
        <w:pStyle w:val="SourceNote"/>
      </w:pPr>
      <w:r>
        <w:rPr>
          <w:b/>
        </w:rPr>
        <w:t>Available abstract (not full text):</w:t>
      </w:r>
      <w:r>
        <w:t xml:space="preserve"> Small Modular Reactors (SMRs) are becoming one of the key trends in the development of nuclear technology, offering a flexible, safe and cost-effective alternative to large nuclear power plants. This review defines the “driving force” of SMRs as their ability to enhance safety, modular scalability, and fuel sustainability through innovative design and policy integration. It aims to provide a systematic assessment of technological trends, deployment strategies, and fuel innovations that underpin the future of nuclear energy. This article provides a comprehensive overview of the main classes of SMRs, categorised by fuel type and application, ranging from Low-Enriched Uranium (LEU) and High-Assay Low-Enriched Uranium (HALEU) reactors to thorium-232, metallic fuel and reprocessed nuclear materials. The key technical advantages of SMRs are discussed—passive safety systems, extended fuel cycles (longer operational periods before refuelling compared to conventional reactors), modular production and compactness—which make such reactors particularly suitable for use in hard-to-reach regions, military facilities, in space and as part of hybrid power systems. Special attention is paid to the prospects of advanced fuel cycles, including the conversion of thorium to uranium-233 and the reuse of actinides, which contributes to waste reduction and supports the realisation of a closed nuclear </w:t>
      </w:r>
    </w:p>
    <w:p>
      <w:pPr/>
      <w:r>
        <w:rPr>
          <w:b/>
        </w:rPr>
        <w:t>POSSIBLE 2025:</w:t>
      </w:r>
      <w:r>
        <w:t xml:space="preserve"> Prospects of Nuclear Power Programme in Ghana: Internal and External Constraints and Opportunities — https://doi.org/10.36948/ijfmr.2025.v07i04.53991</w:t>
      </w:r>
    </w:p>
    <w:p>
      <w:pPr/>
      <w:r>
        <w:rPr>
          <w:b/>
        </w:rPr>
        <w:t>Shared claim-specific concepts:</w:t>
      </w:r>
      <w:r>
        <w:t xml:space="preserve"> nuclear, power, generation, climate, analyzes; EU scope not established. This is a provisional connection, not an outcome finding.</w:t>
      </w:r>
    </w:p>
    <w:p>
      <w:pPr>
        <w:pStyle w:val="SourceNote"/>
      </w:pPr>
      <w:r>
        <w:rPr>
          <w:b/>
        </w:rPr>
        <w:t>Available abstract (not full text):</w:t>
      </w:r>
      <w:r>
        <w:t xml:space="preserve"> The purpose of this study is to evaluate the prospects of Ghana’s nuclear power programme. Ghana is moving forward purposefully to integrate nuclear energy into its current energy mix to diversify its energy generation, address chronic supply deficit, and meet climate commitments. The study analyzes the internal and external constraints and opportunities shaping the feasibility of Ghana’s nuclear programme, applying the Multi-Level Perspective (MLP) framework. The study adopted a qualitative research design drawing on expert interviews and document analysis. Findings presented through a SWOT summary highlight a well-established institutional framework, government commitment, and technical expertise as key internal strengths, while limited financing, low public awareness, bureaucratic challenges, and infrastructure gaps pose internal weaknesses. Externally, a strategic international partnership, strong engagement with the international regulatory body, and an African leadership potential present as opportunities. Threats include vendor selection delays and related uncertainties, geopolitics, and strict international regulatory requirements. The study concluded that Ghana has a favorable but fragile transition window, requiring a good financial model, public engagement, and regulatory oversight. The study contributes to the understanding of nuclear adoption in Africa, offering po</w:t>
      </w:r>
    </w:p>
    <w:p>
      <w:pPr/>
      <w:r>
        <w:rPr>
          <w:b/>
        </w:rPr>
        <w:t>POSSIBLE 2025:</w:t>
      </w:r>
      <w:r>
        <w:t xml:space="preserve"> Nuclear Innovation and Newly Emerging Disruptive Technologies: Recent Initiatives by Industry, Research Laboratories and Governments — https://doi.org/10.82155/sewv-jq90</w:t>
      </w:r>
    </w:p>
    <w:p>
      <w:pPr/>
      <w:r>
        <w:rPr>
          <w:b/>
        </w:rPr>
        <w:t>Shared claim-specific concepts:</w:t>
      </w:r>
      <w:r>
        <w:t xml:space="preserve"> nuclear, power, technological, generation, reactors, electricity; EU scope visible. This is a provisional connection, not an outcome finding.</w:t>
      </w:r>
    </w:p>
    <w:p>
      <w:pPr>
        <w:pStyle w:val="SourceNote"/>
      </w:pPr>
      <w:r>
        <w:rPr>
          <w:b/>
        </w:rPr>
        <w:t>Available abstract (not full text):</w:t>
      </w:r>
      <w:r>
        <w:t xml:space="preserve"> From its inception as a scientific discovery to its evolution into a key component of global energy infrastructure, nuclear energy has benefited from breakthroughs in physics, engineering and materials science. The sector now faces critical challenges that demand technological advancements and shifts in strategic thinking. Embracing next-generation reactor designs, leveraging digital technologies and fostering a culture of creativity and collaboration can unlock new applications for nuclear-generated industrial heat for, inter alia, energy-intensive industries, hydrogen production, petrochemical operations and district heating. This compilation of articles focused on nuclear innovation and newly emerging technologies gathers insights and perspectives from government, industry and research organisation stakeholders. It presents a snapshot of initiatives for disruptive innovation in nuclear energy technologies across the industrial economy. The story of nuclear energy and disruptive innovation begins with Henri Becquerel's discovery of radioactivity in 1896 and the subsequent work of Marie and Pierre Curie. These early innovative findings laid the groundwork for understanding atomic energy. Enrico Fermi’s groundbreaking discovery of nuclear fission followed in the 1930s, and his subsequent development of Chicago Pile-1 (CP-1) was a monumental milestone in the history of nuclear s</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nuclear, power, generation;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Towards strategic agenda for European nuclear education, training, and knowledge management — https://doi.org/10.1016/j.nucengdes.2024.113001</w:t>
      </w:r>
    </w:p>
    <w:p>
      <w:pPr/>
      <w:r>
        <w:rPr>
          <w:b/>
        </w:rPr>
        <w:t>Shared claim-specific concepts:</w:t>
      </w:r>
      <w:r>
        <w:t xml:space="preserve"> nuclear, power, experience, generation, within, decades; EU scope visible. This is a provisional connection, not an outcome finding.</w:t>
      </w:r>
    </w:p>
    <w:p>
      <w:pPr>
        <w:pStyle w:val="SourceNote"/>
      </w:pPr>
      <w:r>
        <w:rPr>
          <w:b/>
        </w:rPr>
        <w:t>Available abstract (not full text):</w:t>
      </w:r>
      <w:r>
        <w:t xml:space="preserve"> The key elements of the EU-wide strategic agenda for nuclear education, training, and knowledge management are proposed in this paper. They were developed partly within the ENEN+ and ENEN# projects, to support and consolidate the efforts of the nuclear stakeholders to attract, develop, and retain new talents. The paper considers the projections of needs developed by the European Human Resources Observatory-Nuclear (EHRO-N). It builds on the existing national nuclear education strategies in the EU and beyond and more than two decades of experience with the European Nuclear Education Network (ENEN). The paper outlines and substantiates the most important actions and risks related to human resources, which need to be managed successfully for the EU to contribute to the tripling of the nuclear power generation capacity on the planet by 2050 (as announced in COP28) and to retain its leading role in the nuclear power and non-power applications. The sheer complexity of this challenge calls for high-level strategic support, coordination, and partnership between all nuclear stakeholders, especially those involved in the decision-making. The present situation calls for urgent strategic actions with long-term sustainability.</w:t>
      </w:r>
    </w:p>
    <w:p>
      <w:pPr>
        <w:pStyle w:val="Heading2"/>
      </w:pPr>
      <w:r>
        <w:t>812.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r>
        <w:rPr>
          <w:b/>
        </w:rPr>
        <w:t>POSSIBLE 2025:</w:t>
      </w:r>
      <w:r>
        <w:t xml:space="preserve"> The Future of Sustainable Development Goals and Culture: Addressing Missing Dimensions from Four Cosmovisions African Ubuntu, Latin-American Buen Vivir, Buddhist Happiness and Nordic Sami Arbediehtu — https://doi.org/10.1057/s41287-025-00708-6</w:t>
      </w:r>
    </w:p>
    <w:p>
      <w:pPr/>
      <w:r>
        <w:rPr>
          <w:b/>
        </w:rPr>
        <w:t>Shared claim-specific concepts:</w:t>
      </w:r>
      <w:r>
        <w:t xml:space="preserve"> sdg17, others, sustainable; EU scope not established. This is a provisional connection, not an outcome finding.</w:t>
      </w:r>
    </w:p>
    <w:p>
      <w:pPr>
        <w:pStyle w:val="SourceNote"/>
      </w:pPr>
      <w:r>
        <w:rPr>
          <w:b/>
        </w:rPr>
        <w:t>Available abstract (not full text):</w:t>
      </w:r>
      <w:r>
        <w:t xml:space="preserve"> Abstract The SDGs miss crucial dimensions when viewed from the cosmovisions of Ubuntu, Buen Vivir, Buddhist Happiness and Sami Arbediehtu. What principles can be derived from these cosmovisions to guide discussions after 2030? As methodology we use a dialogical intercultural philosophical reflection and a decolonial stance addressing planetary survival instead of sustainable development, to develop principles for after 2030, for example to be included in a Culture Goal using the transformative power of culture. After analysing and comparing the four cosmovisions, we suggest ‘Harmony with Nature’ as an umbrella planetary wellbeing concept. Other principles could be: (social SDGs:) harmony with oneself, others and nature; interculturality and epistemic diversity; community flourishing; balance of masculine and feminine values; intertwinement of spiritual, emotional, physical, communal health; serving others as educational goal; (green SDGs:) intrinsic value of nature as part of the community; recognizing ancestorial legacy and future generations’ needs; (economic SDGs:) economics of collective well-being, earth governance and society-oriented businesses; (SDG16:) participatory, ‘deep’ consensus oriented democracy; collective dignity, restorative justice; (SDG17 global partnership:) interdependence of all life.</w:t>
      </w:r>
    </w:p>
    <w:p>
      <w:pPr/>
      <w:r>
        <w:rPr>
          <w:b/>
        </w:rPr>
        <w:t>POSSIBLE 2025:</w:t>
      </w:r>
      <w:r>
        <w:t xml:space="preserve"> Bridging Regional Development and Sustainability: The Contribution of the European Regional Development Fund to Sustainable Development Goals Progress in the EU — https://doi.org/10.3390/su17083665</w:t>
      </w:r>
    </w:p>
    <w:p>
      <w:pPr/>
      <w:r>
        <w:rPr>
          <w:b/>
        </w:rPr>
        <w:t>Shared claim-specific concepts:</w:t>
      </w:r>
      <w:r>
        <w:t xml:space="preserve"> contribute, sustainable; EU scope visible. This is a provisional connection, not an outcome finding.</w:t>
      </w:r>
    </w:p>
    <w:p>
      <w:pPr>
        <w:pStyle w:val="SourceNote"/>
      </w:pPr>
      <w:r>
        <w:rPr>
          <w:b/>
        </w:rPr>
        <w:t>Available abstract (not full text):</w:t>
      </w:r>
      <w:r>
        <w:t xml:space="preserve"> The primary focus and innovation of this study lie in examining the role of the European Regional Development Fund (ERDF) in advancing the implementation of the Sustainable Development Goals (SDGs) across the EU member states during the 2015–2023 period. For this purpose, the EU member states were categorized into two groups: Group A (lower-income states) and Group B (higher-income states). This study utilized ERDF payments as the independent variable, while 17 SDG indicators were treated as the dependent variables. The methodology combined an Exploratory Factor Analysis (EFA) with robust regression techniques to explore the relationships between ERDF allocations and SDGs. This study highlights that the associations between ERDF allocations and SDGs progress are shaped by variations in the socio-economic contexts, institutional capacities, and developmental priorities across the different clusters. While tailored strategies reflecting these distinctions have been increasingly adopted to ensure that investments address immediate challenges and foster long-term sustainability, this analysis underscores the need for the continuous refinement of these approaches to maximize their effectiveness. In less developed regions, a focus on capacity-building initiatives and targeted administrative support is essential. Conversely, in more developed regions, prioritizing innovation, green te</w:t>
      </w:r>
    </w:p>
    <w:p>
      <w:pPr/>
      <w:r>
        <w:rPr>
          <w:b/>
        </w:rPr>
        <w:t>POSSIBLE 2025:</w:t>
      </w:r>
      <w:r>
        <w:t xml:space="preserve"> An Approach for Identifying a Global Core Indicator Set for Post-2030 International Development Goals — https://doi.org/10.3390/su17157076</w:t>
      </w:r>
    </w:p>
    <w:p>
      <w:pPr/>
      <w:r>
        <w:rPr>
          <w:b/>
        </w:rPr>
        <w:t>Shared claim-specific concepts:</w:t>
      </w:r>
      <w:r>
        <w:t xml:space="preserve"> framework, contribute, sustainable; EU scope not established. This is a provisional connection, not an outcome finding.</w:t>
      </w:r>
    </w:p>
    <w:p>
      <w:pPr>
        <w:pStyle w:val="SourceNote"/>
      </w:pPr>
      <w:r>
        <w:rPr>
          <w:b/>
        </w:rPr>
        <w:t>Available abstract (not full text):</w:t>
      </w:r>
      <w:r>
        <w:t xml:space="preserve"> The global indicator framework for monitoring the progress of the United Nations Sustainable Development Goals (SDGs) faces challenges such as insufficient data availability and comparability. However, fundamental changes to the SDG indicator framework are unlikely to occur by the SDG target year of 2030. An opportunity for improvements lies in the development of post-2030 international development goals. To contribute to future discussions on the post-2030 indicator framework, this study investigates how to address data availability and comparability issues. A suggested improvement is to develop a relatively small set of indicators, named “core indicators,” which are intended to reduce the data compilation burden for countries while enabling the monitoring of the overall progress of goals. To examine the feasibility of identifying the core indicators, this study undertook an analysis of official SDG data from 2000 to 2023, and selected 47 disaggregated indicators (DIs) utilizing statistical correlations between DI pairs. The analysis revealed that the 47 core DIs could produce country SDG progress scores similar to those calculated with a much larger dataset of 1112 DIs. The results indicated the usefulness of the proposed approach in selecting the core indicators for the post-2030 international development goals.</w:t>
      </w:r>
    </w:p>
    <w:p>
      <w:pPr>
        <w:pStyle w:val="Heading2"/>
      </w:pPr>
      <w:r>
        <w:t>813.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r>
        <w:rPr>
          <w:b/>
        </w:rPr>
        <w:t>POSSIBLE 2023:</w:t>
      </w:r>
      <w:r>
        <w:t xml:space="preserve"> Single-Pass Grain Corn Harvest and Stubble Shredding: Performance of Three Corn Header Configurations as Effected by Harvesting Speed and Cutting Height — https://doi.org/10.3390/agriculture13040833</w:t>
      </w:r>
    </w:p>
    <w:p>
      <w:pPr/>
      <w:r>
        <w:rPr>
          <w:b/>
        </w:rPr>
        <w:t>Shared claim-specific concepts:</w:t>
      </w:r>
      <w:r>
        <w:t xml:space="preserve"> harvest, show, compared; EU scope not established. This is a provisional connection, not an outcome finding.</w:t>
      </w:r>
    </w:p>
    <w:p>
      <w:pPr>
        <w:pStyle w:val="SourceNote"/>
      </w:pPr>
      <w:r>
        <w:rPr>
          <w:b/>
        </w:rPr>
        <w:t>Available abstract (not full text):</w:t>
      </w:r>
      <w:r>
        <w:t xml:space="preserve"> This study aims to evaluate the efficiency of a new type of corn header equipped with flail knives that shreds corn stubble close to the ground. A field trial was carried out to quantify the influence of the shredding tool design (flail knives, standard knives, horizontal choppers disengaged), harvesting speed (1.5, 3.0, 4.5, 6.0 km/h) and cutting height (approx. 20 cm variation, 4 levels) on the power consumption of the corn header, engine load and fuel consumption of the combine harvester. The regression analyses revealed that modifications of the shredding tool assembly have significant effects on the parameters of the functional relationships. The power consumption of the flail knives configuration was 15 kW/row unit at 6 km/h at the lowest cutting height setting, making it compatible with most current combine harvester models. The additional power demand and fuel consumption that arise when switching to the new shredding tool design (flail knives) show a wide range, depending on the initial situation. Compared to the standard knives at 6 km/h, the additional power consumption was 3.6–5.5 kW/row unit and the additional fuel consumption was 2.6–3.9 L/ha. Compared to the configuration with disengaged horizontal choppers, it was 5.3–6.6 kW/row unit and 3.9–5.1 L/ha, respectively. At 90% engine load the additional power requirement was 1.6–3.1 kW/row unit and the additional fue</w:t>
      </w:r>
    </w:p>
    <w:p>
      <w:pPr/>
      <w:r>
        <w:rPr>
          <w:b/>
        </w:rPr>
        <w:t>POSSIBLE 2022:</w:t>
      </w:r>
      <w:r>
        <w:t xml:space="preserve"> Exploring a relative harvest rate strategy for moderately data-limited fisheries management — https://doi.org/10.1093/icesjms/fsac103</w:t>
      </w:r>
    </w:p>
    <w:p>
      <w:pPr/>
      <w:r>
        <w:rPr>
          <w:b/>
        </w:rPr>
        <w:t>Shared claim-specific concepts:</w:t>
      </w:r>
      <w:r>
        <w:t xml:space="preserve"> harvest, rate, historical; EU scope not established. This is a provisional connection, not an outcome finding.</w:t>
      </w:r>
    </w:p>
    <w:p>
      <w:pPr>
        <w:pStyle w:val="SourceNote"/>
      </w:pPr>
      <w:r>
        <w:rPr>
          <w:b/>
        </w:rPr>
        <w:t>Available abstract (not full text):</w:t>
      </w:r>
      <w:r>
        <w:t xml:space="preserve"> Abstract Moderately data-limited fisheries can be managed with simple empirical management procedures without analytical stock assessments. Often, control rules adjust advised catches by the trend of an abundance index. We explored an alternative approach where a relative harvest rate, defined by the catch relative to a biomass index, is used and the target level derived from analysing historical catch length data. This harvest rate rule was tested generically with management strategy evaluation. A genetic algorithm was deployed as an optimisation procedure to tune the parameters of the control rule to meet maximum sustainable yield and precautionary management objectives. Results indicated that this method could outperform trend-based strategies, particularly when optimised, achieving higher long-term yields while remaining precautionary. However, optimum harvest rate levels can be narrow and challenging to find because they depend on historical exploitation and life history characteristics. Misspecification of target levels can have a detrimental impact on management. Nevertheless, harvest rates appear to be a suitable management option for moderately data-limited resources, and their application has modest data requirements. Harvest rate strategies are especially suitable for stocks for which case-specific analyses can be conducted.</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r>
        <w:rPr>
          <w:b/>
        </w:rPr>
        <w:t>POSSIBLE 2021:</w:t>
      </w:r>
      <w:r>
        <w:t xml:space="preserve"> Mapping the Genetic Regions Responsible for Key Phenology-Related Traits in the European Hazelnut — https://doi.org/10.3389/fpls.2021.749394</w:t>
      </w:r>
    </w:p>
    <w:p>
      <w:pPr/>
      <w:r>
        <w:rPr>
          <w:b/>
        </w:rPr>
        <w:t>Shared claim-specific concepts:</w:t>
      </w:r>
      <w:r>
        <w:t xml:space="preserve"> incipient, existing, period; EU scope visible. This is a provisional connection, not an outcome finding.</w:t>
      </w:r>
    </w:p>
    <w:p>
      <w:pPr>
        <w:pStyle w:val="SourceNote"/>
      </w:pPr>
      <w:r>
        <w:rPr>
          <w:b/>
        </w:rPr>
        <w:t>Available abstract (not full text):</w:t>
      </w:r>
      <w:r>
        <w:t xml:space="preserve"> An increasing interest in the cultivation of (European) hazelnut (Corylus avellana) is driving a demand to breed cultivars adapted to non-conventional environments, particularly in the context of incipient climate change. Given that plant phenology is so strongly determined by genotype, a rational approach to support these breeding efforts will be to identify quantitative trait loci (QTLs) and the genes underlying the basis for adaptation. The present study was designed to map QTLs for phenology-related traits, such as the timing of both male and female flowering, dichogamy, and the period required for nuts to reach maturity. The analysis took advantage of an existing linkage map developed from a population of F1 progeny bred from the cross “Tonda Gentile delle Langhe” × “Merveille de Bollwiller,” consisting in 11 LG. A total of 42 QTL-harboring regions were identified. Overall, 71 QTLs were detected, 49 on the TGdL map and 22 on the MB map; among these, 21 were classified as major; 13 were detected in at least two of the seasons (stable-major QTL). In detail, 20 QTLs were identified as contributing to the time of male flowering, 15 to time of female flowering, 25 to dichogamy, and 11 to time of nut maturity. LG02 was found to harbor 16 QTLs, while 15 QTLs mapped to LG10 and 14 to LG03. Many of the QTLs were clustered with one another. The major cluster was located on TGdL_02 a</w:t>
      </w:r>
    </w:p>
    <w:p>
      <w:pPr/>
      <w:r>
        <w:rPr>
          <w:b/>
        </w:rPr>
        <w:t>POSSIBLE 2020:</w:t>
      </w:r>
      <w:r>
        <w:t xml:space="preserve"> Does harvest of the European grayling, Thymallus thymallus (Actinopterygii: Salmoniformes: Salmonidae), change over time with different intensity of fish stocking and fishing effort? — https://doi.org/10.3750/aiep/02643</w:t>
      </w:r>
    </w:p>
    <w:p>
      <w:pPr/>
      <w:r>
        <w:rPr>
          <w:b/>
        </w:rPr>
        <w:t>Shared claim-specific concepts:</w:t>
      </w:r>
      <w:r>
        <w:t xml:space="preserve"> constant, harvest, period; EU scope visible. This is a provisional connection, not an outcome finding.</w:t>
      </w:r>
    </w:p>
    <w:p>
      <w:pPr>
        <w:pStyle w:val="SourceNote"/>
      </w:pPr>
      <w:r>
        <w:rPr>
          <w:b/>
        </w:rPr>
        <w:t>Available abstract (not full text):</w:t>
      </w:r>
      <w:r>
        <w:t xml:space="preserve">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pPr>
        <w:pStyle w:val="Heading2"/>
      </w:pPr>
      <w:r>
        <w:t>814.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2021:</w:t>
      </w:r>
      <w:r>
        <w:t xml:space="preserve"> Barriers to ecological restoration in Europe: expert perspectives — https://doi.org/10.1111/rec.13346</w:t>
      </w:r>
    </w:p>
    <w:p>
      <w:pPr/>
      <w:r>
        <w:rPr>
          <w:b/>
        </w:rPr>
        <w:t>Shared claim-specific concepts:</w:t>
      </w:r>
      <w:r>
        <w:t xml:space="preserve"> delphi, key, expert, main;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2020:</w:t>
      </w:r>
      <w:r>
        <w:t xml:space="preserve"> Managerial workarounds in three European DRG systems — https://doi.org/10.1108/jhom-10-2019-0295</w:t>
      </w:r>
    </w:p>
    <w:p>
      <w:pPr/>
      <w:r>
        <w:rPr>
          <w:b/>
        </w:rPr>
        <w:t>Shared claim-specific concepts:</w:t>
      </w:r>
      <w:r>
        <w:t xml:space="preserve"> approach, key, value; EU scope visible. This is a provisional connection, not an outcome finding.</w:t>
      </w:r>
    </w:p>
    <w:p>
      <w:pPr>
        <w:pStyle w:val="SourceNote"/>
      </w:pPr>
      <w:r>
        <w:rPr>
          <w:b/>
        </w:rPr>
        <w:t>Available abstract (not full text):</w:t>
      </w:r>
      <w:r>
        <w:t xml:space="preserve"> PURPOSE: Attempts to transform health systems have in many countries involved starting to pay healthcare providers through a DRG system, but that has involved managerial workarounds. Managerial workarounds have seldom been analysed. This paper does so by extending and modifying existing knowledge of the causes and character of clinical and IT workarounds, to produce a conceptualisation of the managerial workaround. It further develops and revises this conceptualisation by comparing the practical management, at both provider and purchaser levels, of hospital DRG payment systems in England, Germany and Italy. DESIGN/METHODOLOGY/APPROACH: = 111) and an action learning set, began in 2010-12, with additional data collection from key informants and administrative documents continuing in 2018-19 to supplement and update our findings. FINDINGS: Managers in all three countries developed very similar workarounds to contain healthcare costs to payers. To weaken DRG incentives to increase hospital activity, managers agreed to lower DRG payments for episodes of care above an agreed case-load 'ceiling' and reduced payments by less than the full DRG amounts when activity fell below an agreed 'floor' volume. RESEARCH LIMITATIONS/IMPLICATIONS: Empirically this study is limited to three OECD health systems, but since our findings come from both Bismarckian (social-insurance) and Beveridge (tax-f</w:t>
      </w:r>
    </w:p>
    <w:p>
      <w:pPr/>
      <w:r>
        <w:rPr>
          <w:b/>
        </w:rPr>
        <w:t>POSSIBLE 2020:</w:t>
      </w:r>
      <w:r>
        <w:t xml:space="preserve"> Evaluating Mooring Line Test Procedures through the Application of a Round Robin Test Approach — https://doi.org/10.3390/jmse8060436</w:t>
      </w:r>
    </w:p>
    <w:p>
      <w:pPr/>
      <w:r>
        <w:rPr>
          <w:b/>
        </w:rPr>
        <w:t>Shared claim-specific concepts:</w:t>
      </w:r>
      <w:r>
        <w:t xml:space="preserve"> approach, industry, potential, energy; EU scope not established. This is a provisional connection, not an outcome finding.</w:t>
      </w:r>
    </w:p>
    <w:p>
      <w:pPr>
        <w:pStyle w:val="SourceNote"/>
      </w:pPr>
      <w:r>
        <w:rPr>
          <w:b/>
        </w:rPr>
        <w:t>Available abstract (not full text):</w:t>
      </w:r>
      <w:r>
        <w:t xml:space="preserve"> Innovation in materials and test protocols, as well as physical and numerical investigations, is required to address the technical challenges arising due to the novel application of components from conventional industries to the marine renewable energy (MRE) industry. Synthetic fibre ropes, widely used for offshore station-keeping, have potential application in the MRE industry to reduce peak mooring line loads. This paper presents the results of a physical characterisation study of a novel hybrid polyester-polyolefin rope for MRE mooring applications through a round robin testing (RRT) approach at two test facilities. The RRT was performed using standard guidelines for offshore mooring lines and the results are verified through the numerical modelling of the rope tensile behaviour. The physical testing provides quantifiable margins for the strength and stiffness properties of the hybrid rope, increases confidence in the test protocols and assesses facility-specific influences on test outcomes. The results indicate that the adopted guidance is suitable for rope testing in mooring applications and there is good agreement between stiffness characterisation at both facilities. Additionally, the numerical model provides a satisfactory prediction of the rope tensile behaviour and it can be used for further parametric studies.</w:t>
      </w:r>
    </w:p>
    <w:p>
      <w:pPr/>
      <w:r>
        <w:rPr>
          <w:b/>
        </w:rPr>
        <w:t>POSSIBLE 2019:</w:t>
      </w:r>
      <w:r>
        <w:t xml:space="preserve"> Unravelling the Scientific Debate on How to Address Wolf-Dog Hybridization in Europe — https://doi.org/10.3389/fevo.2019.00175</w:t>
      </w:r>
    </w:p>
    <w:p>
      <w:pPr/>
      <w:r>
        <w:rPr>
          <w:b/>
        </w:rPr>
        <w:t>Shared claim-specific concepts:</w:t>
      </w:r>
      <w:r>
        <w:t xml:space="preserve"> three-round, delphi, according; EU scope visible. This is a provisional connection, not an outcome finding.</w:t>
      </w:r>
    </w:p>
    <w:p>
      <w:pPr>
        <w:pStyle w:val="SourceNote"/>
      </w:pPr>
      <w:r>
        <w:rPr>
          <w:b/>
        </w:rPr>
        <w:t>Available abstract (not full text):</w:t>
      </w:r>
      <w:r>
        <w:t xml:space="preserve">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r>
        <w:rPr>
          <w:b/>
        </w:rPr>
        <w:t>POSSIBLE 2019:</w:t>
      </w:r>
      <w:r>
        <w:t xml:space="preserve"> Overview of the DEMO staged design approach in Europe — https://doi.org/10.1088/1741-4326/ab1178</w:t>
      </w:r>
    </w:p>
    <w:p>
      <w:pPr/>
      <w:r>
        <w:rPr>
          <w:b/>
        </w:rPr>
        <w:t>Shared claim-specific concepts:</w:t>
      </w:r>
      <w:r>
        <w:t xml:space="preserve"> approach, industry, main; EU scope visible. This is a provisional connection, not an outcome finding.</w:t>
      </w:r>
    </w:p>
    <w:p>
      <w:pPr>
        <w:pStyle w:val="SourceNote"/>
      </w:pPr>
      <w:r>
        <w:rPr>
          <w:b/>
        </w:rPr>
        <w:t>Available abstract (not full text):</w:t>
      </w:r>
      <w:r>
        <w:t xml:space="preserve">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pPr>
        <w:pStyle w:val="Heading2"/>
      </w:pPr>
      <w:r>
        <w:t>815.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Dream of European Army: Is It a Feasible Objective or Not? — https://doi.org/10.37880/cumuiibf.1334315</w:t>
      </w:r>
    </w:p>
    <w:p>
      <w:pPr/>
      <w:r>
        <w:rPr>
          <w:b/>
        </w:rPr>
        <w:t>Shared claim-specific concepts:</w:t>
      </w:r>
      <w:r>
        <w:t xml:space="preserve"> objective, attempt, significant, feasible, areas, decades; EU scope visible. This is a provisional connection, not an outcome finding.</w:t>
      </w:r>
    </w:p>
    <w:p>
      <w:pPr>
        <w:pStyle w:val="SourceNote"/>
      </w:pPr>
      <w:r>
        <w:rPr>
          <w:b/>
        </w:rPr>
        <w:t>Available abstract (not full text):</w:t>
      </w:r>
      <w:r>
        <w:t xml:space="preserve"> The European Union’s (EU) defense initiatives have changed over time, reflecting both the pursuit of security and defense goals and the shifting dynamics of European integration. To improve defense cooperation and create a common defense strategy for the EU, several initiatives have been made. The EU’s Common Security and Defense Policy (CSDP), which strives to strengthen its capacity to handle security concerns and preserve stability, has a significant influence on defense-related operations. We have witnessed new security and military efforts from the EU in the first two decades of the 2000s, such as the European Security Strategy, EU’s Global Strategy and Security Compass. 2013 marked a turning point when the USA deployed its new nuclear weapons in Europe. The announcement of the creation of the European army was made on November 13, 2017. Europe should be able to act independently in areas of defense and security rather than merely relying on the US or NATO. Because of these kinds of reservations, desires to pursue more advanced capabilities on their own have been raised. There has been a lot of debate and analysis around the reasons for and against the formation of a European army. Numerous parties have expressed interest in and influence over the notion of a European army. The development of a European army has been heavily debated over the past several years. Why is the </w:t>
      </w:r>
    </w:p>
    <w:p>
      <w:pPr/>
      <w:r>
        <w:rPr>
          <w:b/>
        </w:rPr>
        <w:t>POSSIBLE 2023:</w:t>
      </w:r>
      <w:r>
        <w:t xml:space="preserve"> Determining factors in shaping the sustainable behavior of the generation Z consumer — https://doi.org/10.3389/fenvs.2023.1096183</w:t>
      </w:r>
    </w:p>
    <w:p>
      <w:pPr/>
      <w:r>
        <w:rPr>
          <w:b/>
        </w:rPr>
        <w:t>Shared claim-specific concepts:</w:t>
      </w:r>
      <w:r>
        <w:t xml:space="preserve"> identification, factors, perspective; EU scope not established. This is a provisional connection, not an outcome finding.</w:t>
      </w:r>
    </w:p>
    <w:p>
      <w:pPr>
        <w:pStyle w:val="SourceNote"/>
      </w:pPr>
      <w:r>
        <w:rPr>
          <w:b/>
        </w:rPr>
        <w:t>Available abstract (not full text):</w:t>
      </w:r>
      <w:r>
        <w:t xml:space="preserve"> Introduction: Organizations currently emphasize green marketing strategies by implementing marketing practices, aiming to design, produce, promote and sell green products. Thus, both consumers and producers have turned their attention to the category of environmental friendly products, taking into account that the concept of green marketing is now being given greater importance. Responsible organizations have begun to adapt their strategies in production, promotion and interaction activities with consumers or potential consumers of organic products in the context we are going through, when environmental protection becomes an imperative. Analysis of the sustainable behavior of Generation Z is a determining factor from the perspective of the task that this generation will naturally take on, in terms of environmental responsibility. Methods: The research aims to determine the profile of the Generation Z consumer, in order to adapt the strategic actions of the government or organizations to direct and educate as objectively and efficiently as possible towards adopting the principles of ecological, sustainable and responsible consumption. Based on the data collected through a survey, we analyzed the sustainable behavior of Generation Z consumers studying at Romanian universities where there are specializations in this field. The research is quantitative, using structural equation mo</w:t>
      </w:r>
    </w:p>
    <w:p>
      <w:pPr/>
      <w:r>
        <w:rPr>
          <w:b/>
        </w:rPr>
        <w:t>POSSIBLE 2023:</w:t>
      </w:r>
      <w:r>
        <w:t xml:space="preserve"> GWAS Meta-Analysis of Suicide Attempt: Identification of 12 Genome-Wide Significant Loci and Implication of Genetic Risks for Specific Health Factors — https://doi.org/10.1176/appi.ajp.21121266</w:t>
      </w:r>
    </w:p>
    <w:p>
      <w:pPr/>
      <w:r>
        <w:rPr>
          <w:b/>
        </w:rPr>
        <w:t>Shared claim-specific concepts:</w:t>
      </w:r>
      <w:r>
        <w:t xml:space="preserve"> objective, attempt, identification, significant, factors; EU scope visible. This is a provisional connection, not an outcome finding.</w:t>
      </w:r>
    </w:p>
    <w:p>
      <w:pPr>
        <w:pStyle w:val="SourceNote"/>
      </w:pPr>
      <w:r>
        <w:rPr>
          <w:b/>
        </w:rPr>
        <w:t>Available abstract (not full text):</w:t>
      </w:r>
      <w:r>
        <w:t xml:space="preserve"> OBJECTIVE: Suicidal behavior is heritable and is a major cause of death worldwide. Two large-scale genome-wide association studies (GWASs) recently discovered and cross-validated genome-wide significant (GWS) loci for suicide attempt (SA). The present study leveraged the genetic cohorts from both studies to conduct the largest GWAS meta-analysis of SA to date. Multi-ancestry and admixture-specific meta-analyses were conducted within groups of significant African, East Asian, and European ancestry admixtures. METHODS: This study comprised 22 cohorts, including 43,871 SA cases and 915,025 ancestry-matched controls. Analytical methods across multi-ancestry and individual ancestry admixtures included inverse variance-weighted fixed-effects meta-analyses, followed by gene, gene-set, tissue-set, and drug-target enrichment, as well as summary-data-based Mendelian randomization with brain expression quantitative trait loci data, phenome-wide genetic correlation, and genetic causal proportion analyses. RESULTS: ). Significant brain tissue gene expression and drug set enrichment were observed. There was shared genetic variation of SA with attention deficit hyperactivity disorder, smoking, and risk tolerance after conditioning SA on both major depressive disorder and posttraumatic stress disorder. Genetic causal proportion analyses implicated shared genetic risk for specific health factor</w:t>
      </w:r>
    </w:p>
    <w:p>
      <w:pPr/>
      <w:r>
        <w:rPr>
          <w:b/>
        </w:rPr>
        <w:t>POSSIBLE 2023:</w:t>
      </w:r>
      <w:r>
        <w:t xml:space="preserve"> Sustainable Consumption and Production in the European Union—An Attempt to Assess Changes and Convergence from the Perspective of Central and Eastern European Countries — https://doi.org/10.3390/su152316485</w:t>
      </w:r>
    </w:p>
    <w:p>
      <w:pPr/>
      <w:r>
        <w:rPr>
          <w:b/>
        </w:rPr>
        <w:t>Shared claim-specific concepts:</w:t>
      </w:r>
      <w:r>
        <w:t xml:space="preserve"> attempt, perspective; EU scope visible. This is a provisional connection, not an outcome finding.</w:t>
      </w:r>
    </w:p>
    <w:p>
      <w:pPr>
        <w:pStyle w:val="SourceNote"/>
      </w:pPr>
      <w:r>
        <w:rPr>
          <w:b/>
        </w:rPr>
        <w:t>Available abstract (not full text):</w:t>
      </w:r>
      <w:r>
        <w:t xml:space="preserve"> The aim of this paper is to attempt to assess changes in terms of sustainable consumption and production (SCP) in the European Union (EU), with particular emphasis on the countries of central and eastern Europe (CEE). So far, relatively little attention has been paid to the analysis of SCP in countries at different levels of development in the literature in this subject area. Even less attention has been paid to the study of the similarity of economies in this respect and the signs of convergence. The basis for assessment is the analysis of dispersion measures, cluster analysis, variance analysis and the construction of a synthetic index. The authors conclude that CEE countries are characterized by a relatively low level of development in terms of SCP compared to the rest of the EU. The signs of σ-convergence and β-convergence can only be identified in terms of “Average CO2 emissions per km from new passenger cars”. It is also the only indicator that significantly differentiates both analyzed clusters. In CEE countries, changes in other SCP indicators were mainly negative (increased adverse environmental impact), and the distance to other EU countries increased. The pandemic was conducive to σ-convergence in terms of “Generation of waste” and β-convergence in terms of “Circular material use rate”, but in 2021, the conditions of gradual easing of pandemic restrictions favored di</w:t>
      </w:r>
    </w:p>
    <w:p>
      <w:pPr/>
      <w:r>
        <w:rPr>
          <w:b/>
        </w:rPr>
        <w:t>POSSIBLE 2021:</w:t>
      </w:r>
      <w:r>
        <w:t xml:space="preserve"> Identification of Suicide Attempt Risk Factors in a National US Survey Using Machine Learning — https://doi.org/10.1001/jamapsychiatry.2020.4165</w:t>
      </w:r>
    </w:p>
    <w:p>
      <w:pPr/>
      <w:r>
        <w:rPr>
          <w:b/>
        </w:rPr>
        <w:t>Shared claim-specific concepts:</w:t>
      </w:r>
      <w:r>
        <w:t xml:space="preserve"> objective, attempt, identification, factors, not; EU scope not established. This is a provisional connection, not an outcome finding.</w:t>
      </w:r>
    </w:p>
    <w:p>
      <w:pPr>
        <w:pStyle w:val="SourceNote"/>
      </w:pPr>
      <w:r>
        <w:rPr>
          <w:b/>
        </w:rPr>
        <w:t>Available abstract (not full text):</w:t>
      </w:r>
      <w:r>
        <w:t xml:space="preserve"> Importance: Because more than one-third of people making nonfatal suicide attempts do not receive mental health treatment, it is essential to extend suicide attempt risk factors beyond high-risk clinical populations to the general adult population. Objective: To identify future suicide attempt risk factors in the general population using a data-driven machine learning approach including more than 2500 questions from a large, nationally representative survey of US adults. Design, Setting, and Participants: Data came from wave 1 (2001 to 2002) and wave 2 (2004 to 2005) of the National Epidemiologic Survey on Alcohol and Related Conditions (NESARC). NESARC is a face-to-face longitudinal survey conducted with a national representative sample of noninstitutionalized civilian population 18 years and older in the US. The cumulative response rate across both waves was 70.2% resulting in 34 653 wave 2 interviews. A balanced random forest was trained using cross-validation to develop a suicide attempt risk model. Out-of-fold model prediction was used to assess model performance, including the area under the receiver operator curve, sensitivity, and specificity. Survey design and nonresponse weights allowed estimates to be representative of the US civilian population based on the 2000 census. Analyses were performed between May 15, 2019, and June 10, 2020. Main Outcomes and Measures: Atte</w:t>
      </w:r>
    </w:p>
    <w:p>
      <w:pPr/>
      <w:r>
        <w:rPr>
          <w:b/>
        </w:rPr>
        <w:t>POSSIBLE 2021:</w:t>
      </w:r>
      <w:r>
        <w:t xml:space="preserve"> Social Enterprise in Western Europe — https://doi.org/10.4324/9780429055140</w:t>
      </w:r>
    </w:p>
    <w:p>
      <w:pPr/>
      <w:r>
        <w:rPr>
          <w:b/>
        </w:rPr>
        <w:t>Shared claim-specific concepts:</w:t>
      </w:r>
      <w:r>
        <w:t xml:space="preserve"> objective, attempt, identification, decades; EU scope visible. This is a provisional connection, not an outcome finding.</w:t>
      </w:r>
    </w:p>
    <w:p>
      <w:pPr>
        <w:pStyle w:val="SourceNote"/>
      </w:pPr>
      <w:r>
        <w:rPr>
          <w:b/>
        </w:rPr>
        <w:t>Available abstract (not full text):</w:t>
      </w:r>
      <w:r>
        <w:t xml:space="preserve"> In the last two decades, the quest for a widely accepted definition of social enterprise has been a central issue in a great number of publications.The main objective of the ICSEM Project on which this book is based was to show that the social enterprise field would benefit much more from linking conceptualisation efforts to the huge diversity of social enterprises than from an additional and ambitious attempt at providing an encompassing definition. Starting from a hypothesis that could be termed "the impossibility of a unified definition", the ICSEM research strategy relied on bottom-up approaches to capture the social enterprise phenomenon in its local and national contexts. This strategy made it possible to take into account and give legitimacy to locally embedded approaches, while simultaneously allowing for the identification of major social enterprise models to delineate the field on common grounds at the international level.Social Enterprise in Western Europe –the third volume in a series of four ICSEM-based books on social enterprise worldwide – will serve as a key reference and resource for teachers, researchers, students, experts, policy makers, journalists and others who want to acquire a broad understanding of the social enterprise and social entrepreneurship phenomena as they emerge and develop in this region.</w:t>
      </w:r>
    </w:p>
    <w:p>
      <w:pPr>
        <w:pStyle w:val="Heading2"/>
      </w:pPr>
      <w:r>
        <w:t>816.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r>
        <w:rPr>
          <w:b/>
        </w:rPr>
        <w:t>POSSIBLE 2023:</w:t>
      </w:r>
      <w:r>
        <w:t xml:space="preserve"> Risk categorisation of abattoirs in Europe: Current state of play — https://doi.org/10.1016/j.foodcont.2023.109863</w:t>
      </w:r>
    </w:p>
    <w:p>
      <w:pPr/>
      <w:r>
        <w:rPr>
          <w:b/>
        </w:rPr>
        <w:t>Shared claim-specific concepts:</w:t>
      </w:r>
      <w:r>
        <w:t xml:space="preserve"> based, current, state, outcomes; EU scope visible. This is a provisional connection, not an outcome finding.</w:t>
      </w:r>
    </w:p>
    <w:p>
      <w:pPr>
        <w:pStyle w:val="SourceNote"/>
      </w:pPr>
      <w:r>
        <w:rPr>
          <w:b/>
        </w:rPr>
        <w:t>Available abstract (not full text):</w:t>
      </w:r>
      <w:r>
        <w:t xml:space="preserve"> In the last decades, a risk-based approach has been identified as a step forward in modernising meat safety system in Europe. Risk categorisation of abattoirs based on their process hygiene and the appropriate use of harmonised epidemiological indicators (HEIs) has been suggested as one essential component of the risk-based meat safety assurance system. However, to date, only a limited number of papers have investigated abattoir risk categorisation. Therefore, the objectives of this study were to (i) provide an overview of the use of risk categorisation systems in poultry, pig, cattle and small ruminant abattoirs in Europe and (ii) explore the criteria, relevance and applicability of risk categorisation systems for competent authorities (CAs). To that aim, a questionnaire was designed and sent to representatives of 35 European CAs. Of the 18/35 respondents (51%), 14 (78%) indicated that abattoirs in their country are categorised according to their food safety risk in a systematic way, whilst four countries (22%) do not categorise abattoirs according to their food safety risk. The main reported purpose of categorising abattoirs is to adapt the frequency of official controls. Major differences in the described categorisation systems were found between countries, particularly in their complexity and the criteria used. The number of included criteria ranged from 1 to 10, the main o</w:t>
      </w:r>
    </w:p>
    <w:p>
      <w:pPr/>
      <w:r>
        <w:rPr>
          <w:b/>
        </w:rPr>
        <w:t>POSSIBLE 2023:</w:t>
      </w:r>
      <w:r>
        <w:t xml:space="preserve"> ANALYSIS OF THE DYNAMICS OF EUROPE STOCK MARKETS DEVELOPMENT — https://doi.org/10.55643/fcaptp.4.51.2023.4038</w:t>
      </w:r>
    </w:p>
    <w:p>
      <w:pPr/>
      <w:r>
        <w:rPr>
          <w:b/>
        </w:rPr>
        <w:t>Shared claim-specific concepts:</w:t>
      </w:r>
      <w:r>
        <w:t xml:space="preserve"> state, stock, world; EU scope visible. This is a provisional connection, not an outcome finding.</w:t>
      </w:r>
    </w:p>
    <w:p>
      <w:pPr>
        <w:pStyle w:val="SourceNote"/>
      </w:pPr>
      <w:r>
        <w:rPr>
          <w:b/>
        </w:rPr>
        <w:t>Available abstract (not full text):</w:t>
      </w:r>
      <w:r>
        <w:t xml:space="preserve"> The article proposes a complex of economic and mathematical models of assessment, analysis, and forecasting of the world stock indices development state for effective management of investment flows. The modern concept and strategy of European countries’ stock market development were considered, and the existing methods of diagnosing the stock market development level were analyzed. ARIMA models were built and spectral analysis of the main world indices was carried out. The possible trends in the stock indices development for the future period were analyzed using predictive models. It makes it possible to determine directions for improving the stock market efficiency and investment strategies in modern conditions.The proposed set of models for evaluation, analysis, and forecasting of the world stock indices state can be used to test various trading strategies and to test various hypotheses in relation to the entire stock portfolio of a particular company or to one stock index. The results of the research can be used in the development of theoretical provisions and methodological tools for evaluating the global stock market effectiveness in modern conditions and development trends in local markets.</w:t>
      </w:r>
    </w:p>
    <w:p>
      <w:pPr/>
      <w:r>
        <w:rPr>
          <w:b/>
        </w:rPr>
        <w:t>POSSIBLE 2022:</w:t>
      </w:r>
      <w:r>
        <w:t xml:space="preserve"> Comparative Multidimensional Analysis of the Current State of European Economies Based on the Complex of Macroeconomic Indicators — https://doi.org/10.3390/math10050847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pPr/>
      <w:r>
        <w:rPr>
          <w:b/>
        </w:rPr>
        <w:t>POSSIBLE 2022:</w:t>
      </w:r>
      <w:r>
        <w:t xml:space="preserve"> The Current State of the “Green” Parties: Russia, Europe, the World — https://doi.org/10.22394/1726-1139-2022-8-15-27</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pPr/>
      <w:r>
        <w:rPr>
          <w:b/>
        </w:rPr>
        <w:t>POSSIBLE 2022:</w:t>
      </w:r>
      <w:r>
        <w:t xml:space="preserve"> Towards a decarbonised building stock by 2050: The meaning and the role of zero emission buildings (ZEBs) in Europe — https://doi.org/10.1016/j.esr.2022.101009</w:t>
      </w:r>
    </w:p>
    <w:p>
      <w:pPr/>
      <w:r>
        <w:rPr>
          <w:b/>
        </w:rPr>
        <w:t>Shared claim-specific concepts:</w:t>
      </w:r>
      <w:r>
        <w:t xml:space="preserve"> based, current, union, stock, role; EU scope visible. This is a provisional connection, not an outcome finding.</w:t>
      </w:r>
    </w:p>
    <w:p>
      <w:pPr>
        <w:pStyle w:val="SourceNote"/>
      </w:pPr>
      <w:r>
        <w:rPr>
          <w:b/>
        </w:rPr>
        <w:t>Available abstract (not full text):</w:t>
      </w:r>
      <w:r>
        <w:t xml:space="preserve"> The building sector plays a key role in the reduction of greenhouse gas (GHG) emissions in the European Union (EU). The revision of the Energy Performance of Building Directive (EPBD) sets out how Europe can achieve a decarbonised building stock by 2050. This paper offers an overview of the recent policy developments and examines the introduced provisions on new and existing buildings. While nearly zero energy buildings (NZEBs) remains the current building standard since 2011 for new buildings, zero emission buildings (ZEBs) are set as the future building target as of 2030. Accordingly, this paper provides insights into ZEBs, clarifying how and when this concept brought out. In particular, it discusses the key methodological aspects that ZEBs should address, outlining the decisive role of energy efficiency and renewable energy. This paper provides the main features of a pragmatic ZEB definition which should be distinguished from other building concepts. It suggests an approach to ZEBs calculations of grouping energy uses and associated emissions, as well as the steps to derive numerical benchmarks for operational energy. Furthermore, it examines the link with other policies as well as the market readiness for zero carbon buildings. The study points out how ZEBs are a crucial component of the EU strategy towards climate neutrality, able to trigger additional benefits, such as re</w:t>
      </w:r>
    </w:p>
    <w:p>
      <w:pPr>
        <w:pStyle w:val="Heading2"/>
      </w:pPr>
      <w:r>
        <w:t>817.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2024:</w:t>
      </w:r>
      <w:r>
        <w:t xml:space="preserve"> Assessing the Feasibility of Using Parents’ Social Media Conversations to Inform Burn First Aid Interventions: Mixed Methods Study — https://doi.org/10.2196/48695</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Burns are common childhood injuries, which can lead to serious physical and psychological outcomes. Appropriate first aid is essential in managing the pain and severity of these injuries; hence, parents who need timely access to such information often seek it from the web. In particular, social media allow them to reach other parents, hence these conversations may provide insight to aid the design and evaluation of burn first aid interventions for parents. OBJECTIVE: This study aims to determine the feasibility of finding, accessing, and analyzing parent burn first aid conversations on social media to inform intervention research. METHODS: The initial choice of the relevant social media was made based on the results of a parent focus group and survey. We considered Facebook (Meta Platforms, Inc), Mumsnet (Mumsnet Limited), Netmums (Aufeminin Group), Twitter (subsequently rebranded as "X"; X Corp), Reddit (Reddit, Inc), and YouTube (Google LLC). To locate the relevant data on these platforms, we collated a taxonomy of search terms and designed a search strategy. A combination of natural language processing and manual inspection was used to filter out irrelevant data. The remaining data were analyzed manually to determine the length of conversations, the number of participants, the purpose of the initial post (eg, asking for or offering advice), burn types, and distri</w:t>
      </w:r>
    </w:p>
    <w:p>
      <w:pPr/>
      <w:r>
        <w:rPr>
          <w:b/>
        </w:rPr>
        <w:t>POSSIBLE 2024:</w:t>
      </w:r>
      <w:r>
        <w:t xml:space="preserve"> A Gender-Informed Smoking Cessation App for Women: Protocol for an Acceptability and Feasibility Study — https://doi.org/10.2196/60677</w:t>
      </w:r>
    </w:p>
    <w:p>
      <w:pPr/>
      <w:r>
        <w:rPr>
          <w:b/>
        </w:rPr>
        <w:t>Shared claim-specific concepts:</w:t>
      </w:r>
      <w:r>
        <w:t xml:space="preserve"> informed, feasibility, acceptability, goal; EU scope not established. This is a provisional connection, not an outcome finding.</w:t>
      </w:r>
    </w:p>
    <w:p>
      <w:pPr>
        <w:pStyle w:val="SourceNote"/>
      </w:pPr>
      <w:r>
        <w:rPr>
          <w:b/>
        </w:rPr>
        <w:t>Available abstract (not full text):</w:t>
      </w:r>
      <w:r>
        <w:t xml:space="preserve"> BACKGROUND: Tobacco smoking remains the leading preventable cause of death and disease among women. Quitting smoking offers numerous health benefits; however, women tend to have less success than men when attempting to quit. This discrepancy is partly due to sex- and gender-related factors, including the lower effectiveness of smoking cessation medication and the presence of unique motives for smoking and barriers to quitting among women. Despite the gendered nature of smoking, most smoking cessation apps are gender-neutral and fail to address women's specific needs. OBJECTIVE: This study aims to test the acceptability and feasibility of a smartphone app that delivers gender-informed content to support women in quitting smoking. METHODS: We co-developed a smoking cessation app specifically tailored for women, named My Change Plan-Women (MCP-W). This app builds upon our previous gender-neutral app, MCP, by retaining its content grounded in behavioral change techniques aimed at supporting tobacco reduction and cessation. This includes goal setting for quitting, identifying triggers to smoking, creating coping strategies, tracking cigarettes and cravings, and assessing financial savings from quitting smoking. The MCP-W app contains additional gender-informed content that acknowledges barriers to quitting, such as coping with stress, having smokers in one's social circle, and manag</w:t>
      </w:r>
    </w:p>
    <w:p>
      <w:pPr/>
      <w:r>
        <w:rPr>
          <w:b/>
        </w:rPr>
        <w:t>POSSIBLE 2024:</w:t>
      </w:r>
      <w:r>
        <w:t xml:space="preserve"> Social workers in schools: A feasibility study of three local authorities — https://doi.org/10.1177/14680173241258927</w:t>
      </w:r>
    </w:p>
    <w:p>
      <w:pPr/>
      <w:r>
        <w:rPr>
          <w:b/>
        </w:rPr>
        <w:t>Shared claim-specific concepts:</w:t>
      </w:r>
      <w:r>
        <w:t xml:space="preserve"> feasibility, acceptability, reducing; EU scope not established. This is a provisional connection, not an outcome finding.</w:t>
      </w:r>
    </w:p>
    <w:p>
      <w:pPr>
        <w:pStyle w:val="SourceNote"/>
      </w:pPr>
      <w:r>
        <w:rPr>
          <w:b/>
        </w:rPr>
        <w:t>Available abstract (not full text):</w:t>
      </w:r>
      <w:r>
        <w:t xml:space="preserve"> Summary This study evaluated the feasibility of ‘Social Workers in Schools’, an intervention that involved social workers being based within schools across three local authorities in England (SWIS). Schools make a large number of referrals to Children's Social Care and play an important role in recognizing risks to children and protecting them from harm, but it is unusual for social workers to be based in schools in the U.K. and to do statutory work. We evaluated the pilots on the basis of the feasibility of implementing SWIS, how promising it was in terms of reducing the need for statutory intervention, and the extent to which it be scaled. We used a mixed methods approach, with a process evaluation and a difference in differences analysis of indicative impact on key social care outcomes. In addition, we estimated the cost of implementing and maintaining SWIS. Findings We found high levels of acceptability among those involved, and examples of how SWIS enhances the way safeguarding issues are addressed. There was also some evidence that it may reduce the need for social care interventions, though this needs ratifying with more and better data. Applications The study suggests that SWIS is a promising intervention. Both the qualitative and quantitative findings suggest it may have the intended policy impact, but this needs to be tested on a larger scale and with a more rigorous </w:t>
      </w:r>
    </w:p>
    <w:p>
      <w:pPr/>
      <w:r>
        <w:rPr>
          <w:b/>
        </w:rPr>
        <w:t>POSSIBLE 2024:</w:t>
      </w:r>
      <w:r>
        <w:t xml:space="preserve"> On race, equity and aid — https://doi.org/10.4337/9781800886810.00032</w:t>
      </w:r>
    </w:p>
    <w:p>
      <w:pPr/>
      <w:r>
        <w:rPr>
          <w:b/>
        </w:rPr>
        <w:t>Shared claim-specific concepts:</w:t>
      </w:r>
      <w:r>
        <w:t xml:space="preserve"> aid, informed, sector; EU scope not established. This is a provisional connection, not an outcome finding.</w:t>
      </w:r>
    </w:p>
    <w:p>
      <w:pPr>
        <w:pStyle w:val="SourceNote"/>
      </w:pPr>
      <w:r>
        <w:rPr>
          <w:b/>
        </w:rPr>
        <w:t>Available abstract (not full text):</w:t>
      </w:r>
      <w:r>
        <w:t xml:space="preserve"> Development assistance and development as ideology has long been criticized, first, for being guided by the same exploitative and often violent quest for maintaining asymmetrical power relationships inherent in the colonial project, but second, for being deeply imbued with the same structural racism and racist ideologies that underpinned it. This chapter takes a look at ongoing conversations within the international development sector about how to address legacies of racism that continue to condition practices and perceptions. It begins with an exploration of the different ways in which race as ideology was constructed and leveraged to sustain the colonial project and how it has subsequently informed the construction of development as ideology and practice, ever since. The chapter then explores the different ways questions of race and anti-racism are informing debates about ‘decolonizing’ the sector. The chapter concludes with a discussion of possible ways forward.</w:t>
      </w:r>
    </w:p>
    <w:p>
      <w:pPr/>
      <w:r>
        <w:rPr>
          <w:b/>
        </w:rPr>
        <w:t>POSSIBLE 2024:</w:t>
      </w:r>
      <w:r>
        <w:t xml:space="preserve"> 097 Interpersonal decision-making processes on aid in dying: an international scoping review — https://doi.org/10.1136/bmjebm-2024-sdc.96</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Introduction Aid in dying (AID) means supporting a person in hastening their death voluntarily. Decision-making on this existential, very personal, and ethically complex issue is a major challenge and communication between people seeking AID and health care professionals is an important aspect. Thus, we aimed to explore the current state regarding interpersonal AID decision-making processes from multiple perspectives. Methods For this scoping review, we searched Web of Science, PubMed, and CINAHL. We sought records on AID in a professional healthcare context that reported on interpersonal aspects of decision- making processes. Results We included n=109. Records showed a great variety of participants in AID decision-making processes and mentioned professionalized and/or team approaches. Several, possibly iterative process phases (e.g. beginning, assessment, preparation, realization, aftercare) and overarching themes such as coordination, patient-centered care, and multidisciplinary teamwork were described. A range of decisions that need to be made by different stakeholders was found. This complex process requires appropriate communication skills. For example, going from vague requests to informed decisions in a shared process and fulfilling patient-centered care needs and procedural requirements simultaneously. Examples of facilitators for such processes were a trusting pre-exis</w:t>
      </w:r>
    </w:p>
    <w:p>
      <w:pPr/>
      <w:r>
        <w:rPr>
          <w:b/>
        </w:rPr>
        <w:t>POSSIBLE 2023:</w:t>
      </w:r>
      <w:r>
        <w:t xml:space="preserve"> Foreign Aid — https://doi.org/10.4324/9781003265320</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pPr>
        <w:pStyle w:val="Heading2"/>
      </w:pPr>
      <w:r>
        <w:t>818.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2024:</w:t>
      </w:r>
      <w:r>
        <w:t xml:space="preserve"> Aerosol, Clouds and Trace Gases Research Infrastructure (ACTRIS): The European Research Infrastructure Supporting Atmospheric Science — https://doi.org/10.1175/bams-d-23-0064.1</w:t>
      </w:r>
    </w:p>
    <w:p>
      <w:pPr/>
      <w:r>
        <w:rPr>
          <w:b/>
        </w:rPr>
        <w:t>Shared claim-specific concepts:</w:t>
      </w:r>
      <w:r>
        <w:t xml:space="preserve"> infrastructure, provision, over; EU scope visible. This is a provisional connection, not an outcome finding.</w:t>
      </w:r>
    </w:p>
    <w:p>
      <w:pPr>
        <w:pStyle w:val="SourceNote"/>
      </w:pPr>
      <w:r>
        <w:rPr>
          <w:b/>
        </w:rPr>
        <w:t>Available abstract (not full text):</w:t>
      </w:r>
      <w:r>
        <w:t xml:space="preserve"> Abstract The Aerosol, Clouds and Trace Gases Research Infrastructure (ACTRIS) officially became the 33rd European Research Infrastructure Consortium (ERIC) on 25 April 2023 with the support of 17 founding member and observer countries. As a pan-European legal organization, ACTRIS ERIC will coordinate the provision of data and data products on short-lived atmospheric constituents and clouds relevant to climate and air pollution over the next 15–20 years. ACTRIS was designed more than a decade ago, and its development was funded at national and European levels. It was included in the European Strategy Forum on Research Infrastructures (ESFRI) roadmap in 2016 and, subsequently, in the national infrastructure roadmaps of European countries. It became a landmark of the ESFRI roadmap in 2021. The purpose of this paper is to describe the mission of ACTRIS, its added value to the community of atmospheric scientists, providing services to academia as well as the public and private sectors, and to summarize its main achievements. The present publication serves as a reference document for ACTRIS, its users, and the scientific community as a whole. It provides the reader with relevant information and an overview on ACTRIS governance and services, as well as a summary of the main scientific achievements of the last 20 years. The paper concludes with an outlook on the upcoming challenges for</w:t>
      </w:r>
    </w:p>
    <w:p>
      <w:pPr/>
      <w:r>
        <w:rPr>
          <w:b/>
        </w:rPr>
        <w:t>POSSIBLE 2024:</w:t>
      </w:r>
      <w:r>
        <w:t xml:space="preserve"> Financing and Provision of Social Infrastructure – Insights from Japan — https://doi.org/10.1080/13673882.2024.12466434</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The potential for policy transfer across regions generally requires carefully understanding local nuances, legal frameworks, and specific regional development needs. Hence, it is not realistic to fully transfer the DAS system to other countries like the UK, and DAS itself is not a perfect solution within Japan either. However, there are a few distinct characteristics and approaches of DAS that could be useful for future PPP frameworks in the Global North, such as the idea of a specific framework for social infrastructure management distinct from public services and operation, more flexible public-private partnership frameworks based on the needs of local regions, and scale-appropriate management approaches for individual facilities.</w:t>
      </w:r>
    </w:p>
    <w:p>
      <w:pPr/>
      <w:r>
        <w:rPr>
          <w:b/>
        </w:rPr>
        <w:t>POSSIBLE 2023:</w:t>
      </w:r>
      <w:r>
        <w:t xml:space="preserve"> Social Infrastructure and the Alleviation of Loneliness in Europe — https://doi.org/10.1007/s11577-023-00883-6</w:t>
      </w:r>
    </w:p>
    <w:p>
      <w:pPr/>
      <w:r>
        <w:rPr>
          <w:b/>
        </w:rPr>
        <w:t>Shared claim-specific concepts:</w:t>
      </w:r>
      <w:r>
        <w:t xml:space="preserve"> infrastructure, provision, other; EU scope visible. This is a provisional connection, not an outcome finding.</w:t>
      </w:r>
    </w:p>
    <w:p>
      <w:pPr>
        <w:pStyle w:val="SourceNote"/>
      </w:pPr>
      <w:r>
        <w:rPr>
          <w:b/>
        </w:rPr>
        <w:t>Available abstract (not full text):</w:t>
      </w:r>
      <w:r>
        <w:t xml:space="preserve"> In Europe, individualist societies, in which people more highly value independence, have fewer people who are lonely. Yet these societies also have more people who live alone, a strong determinant of loneliness. Evidence suggests that some unrecognized societal-level resources or characteristics can explain this. We uncover multiple pathways toward a lower degree of loneliness among European societies using an ideal method for this purpose, fuzzy-set qualitative comparative analysis. Using data from the 2014 wave of the European Social Survey and other sources, we analyzed loneliness outcomes among 26 European societies. Our findings suggest two necessary conditions for a low degree of loneliness: high internet access and high association participation. Further, three pathways are sufficient for achieving less loneliness at the societal level. Most societies that have less loneliness follow both the welfare support and cultural support pathways. The third path, commercial provision, is mutually exclusive with welfare support because the former requires a weak welfare state. The surest policy for building societies that have lower rates of loneliness includes the expansion of internet accessibility, the fostering of civil society through association participation and volunteering, and a welfare state that protects potentially vulnerable populations while funding opportunities fo</w:t>
      </w:r>
    </w:p>
    <w:p>
      <w:pPr/>
      <w:r>
        <w:rPr>
          <w:b/>
        </w:rPr>
        <w:t>POSSIBLE 2023:</w:t>
      </w:r>
      <w:r>
        <w:t xml:space="preserve"> Adaptive Infrastructure Provisioning Through Infrastructure as Code for Secure SAP Multi Cloud Environments — https://openalex.org/W7221269087</w:t>
      </w:r>
    </w:p>
    <w:p>
      <w:pPr/>
      <w:r>
        <w:rPr>
          <w:b/>
        </w:rPr>
        <w:t>Shared claim-specific concepts:</w:t>
      </w:r>
      <w:r>
        <w:t xml:space="preserve"> infrastructure, important, improving; EU scope not established. This is a provisional connection, not an outcome finding.</w:t>
      </w:r>
    </w:p>
    <w:p>
      <w:pPr>
        <w:pStyle w:val="SourceNote"/>
      </w:pPr>
      <w:r>
        <w:rPr>
          <w:b/>
        </w:rPr>
        <w:t>Available abstract (not full text):</w:t>
      </w:r>
      <w:r>
        <w:t xml:space="preserve"> Adaptive infrastructure provisioning has become increasingly important for organizations operating SAP workloads across multi-cloud environments, where scalability, security, compliance, and operational consistency must be maintained simultaneously. This study proposes an adaptive Infrastructure as Code (IaC) framework for secure SAP multi-cloud environments that integrates automated provisioning, policy-driven security controls, continuous monitoring, and intelligent resource optimization. The framework uses declarative IaC templates to standardize infrastructure deployment across heterogeneous cloud platforms while dynamically adapting compute, storage, networking, and security configurations according to workload requirements and organizational policies. A policy enforcement layer validates infrastructure configurations against security and compliance requirements before deployment, while continuous monitoring detects configuration drift, performance degradation, and emerging operational risks. The methodology combines infrastructure automation with adaptive decision mechanisms to improve deployment consistency, provisioning speed, resource utilization, and security posture. Experimental evaluation can be performed using representative SAP workloads deployed across multiple cloud environments, comparing the proposed framework with conventional manually managed provisioning a</w:t>
      </w:r>
    </w:p>
    <w:p>
      <w:pPr/>
      <w:r>
        <w:rPr>
          <w:b/>
        </w:rPr>
        <w:t>POSSIBLE 2023:</w:t>
      </w:r>
      <w:r>
        <w:t xml:space="preserve"> How 'one-size-fits-all' public works contract does it better? An assessment of infrastructure provision in Italy — https://doi.org/10.48550/arxiv.2304.10776</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Public infrastructure procurement is crucial as a prerequisite for public and private investments and for economic and social capital growth. However, low performance in execution severely hinders infrastructure provision and benefits delivery. One of the most sensitive phases in public infrastructure procurement is the design because of the strategic relationship that it potentially creates between procurers and contractors in the execution stage, affecting the costs and the duration of the contract. In this paper, using recent developments in non-parametric frontiers and propensity score matching, we evaluate the performance in the execution of public works in Italy. The analysis provides robust evidence of significant improvement of performance where procurers opt for a design and build contracts, which lead to lower transaction costs, allowing contractors to better accommodate the project in the execution. Our findings bear considerable policy implications.</w:t>
      </w:r>
    </w:p>
    <w:p>
      <w:pPr/>
      <w:r>
        <w:rPr>
          <w:b/>
        </w:rPr>
        <w:t>POSSIBLE 2022:</w:t>
      </w:r>
      <w:r>
        <w:t xml:space="preserve"> Technology Adoption and Early Network Infrastructure Provision in the Market for Electric Vehicles — https://doi.org/10.1007/s10640-022-00703-z</w:t>
      </w:r>
    </w:p>
    <w:p>
      <w:pPr/>
      <w:r>
        <w:rPr>
          <w:b/>
        </w:rPr>
        <w:t>Shared claim-specific concepts:</w:t>
      </w:r>
      <w:r>
        <w:t xml:space="preserve"> infrastructure, provision, early, stock; EU scope not established. This is a provisional connection, not an outcome finding.</w:t>
      </w:r>
    </w:p>
    <w:p>
      <w:pPr>
        <w:pStyle w:val="SourceNote"/>
      </w:pPr>
      <w:r>
        <w:rPr>
          <w:b/>
        </w:rPr>
        <w:t>Available abstract (not full text):</w:t>
      </w:r>
      <w:r>
        <w:t xml:space="preserve">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pPr>
        <w:pStyle w:val="Heading2"/>
      </w:pPr>
      <w:r>
        <w:t>819.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2023:</w:t>
      </w:r>
      <w:r>
        <w:t xml:space="preserve"> HOW IMPORTANT EDUCATION IS? AN EXPLORATIVE ANALYSIS OF THE DROPOUT PHENOMENON IN EASTERN EUROPE — https://doi.org/10.47535/1991auoes32(1)005</w:t>
      </w:r>
    </w:p>
    <w:p>
      <w:pPr/>
      <w:r>
        <w:rPr>
          <w:b/>
        </w:rPr>
        <w:t>Shared claim-specific concepts:</w:t>
      </w:r>
      <w:r>
        <w:t xml:space="preserve"> therefore, important, system, relationships; EU scope visible. This is a provisional connection, not an outcome finding.</w:t>
      </w:r>
    </w:p>
    <w:p>
      <w:pPr>
        <w:pStyle w:val="SourceNote"/>
      </w:pPr>
      <w:r>
        <w:rPr>
          <w:b/>
        </w:rPr>
        <w:t>Available abstract (not full text):</w:t>
      </w:r>
      <w:r>
        <w:t xml:space="preserve"> Early school leaving is a structural problem related to the socioeconomic environment involving aspects of local culture and customs that characterize a country. If not controlled, with the intent of hindering it, this phenomenon can generate unemployment, social exclusion, poverty, health problems and a slowdown in the country’s economic growth. Since education policies are one of the most important concerns of national governments and international organizations, the UN 2030 Agenda, containing the common ambitions of the signatory countries, proposes 17 sustainable development goals and specifically, among these, inclusive and equitable quality education. In some Eastern European countries, the percentage of young people who decide not to continue their studies is really too high, exceeding 10%. Therefore, the aim of the paper is to study the dropout phenomenon in this context. We employ a panel vector autoregressive model in first differences to test complex dynamic relationships between share of the population aged 18 to 24 not involved in any education or training (as a proxy for the dropout phenomenon), GDP per capita (as a proxy for a country’s wealth and industrial modernity), gross domestic expenditure on R&amp;D in higher education (as a proxy for a country’s effort to improve its education system), and share of people reporting crime, violence or vandalism (as a proxy fo</w:t>
      </w:r>
    </w:p>
    <w:p>
      <w:pPr/>
      <w:r>
        <w:rPr>
          <w:b/>
        </w:rPr>
        <w:t>POSSIBLE 2023:</w:t>
      </w:r>
      <w:r>
        <w:t xml:space="preserve"> Did We Miss Something Important? Studying and Exploring Variable-Aware Log Abstraction — https://doi.org/10.1109/icse48619.2023.00078</w:t>
      </w:r>
    </w:p>
    <w:p>
      <w:pPr/>
      <w:r>
        <w:rPr>
          <w:b/>
        </w:rPr>
        <w:t>Shared claim-specific concepts:</w:t>
      </w:r>
      <w:r>
        <w:t xml:space="preserve"> important, explore, different; EU scope not established. This is a provisional connection, not an outcome finding.</w:t>
      </w:r>
    </w:p>
    <w:p>
      <w:pPr>
        <w:pStyle w:val="SourceNote"/>
      </w:pPr>
      <w:r>
        <w:rPr>
          <w:b/>
        </w:rPr>
        <w:t>Available abstract (not full text):</w:t>
      </w:r>
      <w:r>
        <w:t xml:space="preserve"> Due to the sheer size of software logs, developers rely on automated techniques for log analysis. One of the first and most important steps of automated log analysis is log abstraction, which parses the raw logs into a structured format. Prior log abstraction techniques aim to identify and abstract all the dynamic variables in logs and output a static log template for automated log analysis. However, these abstracted dynamic variables may also contain important information that is useful to different tasks in log analysis. In this paper, we investigate the characteristics of dynamic variables and their importance in practice, and explore the potential of a variable-aware log abstraction technique. Through manual investigations and surveys with practitioners, we find that different categories of dynamic variables record various information that can be important depending on the given tasks, the distinction of dynamic variables in log abstraction can further assist in log analysis. We then propose a deep learning based log abstraction approach, named VALB, which can identify different categories of dynamic variables and preserve the value of specified categories of dynamic variables along with the log templates (i.e., variable-aware log abstraction). Through the evaluation on a widely used log abstraction benchmark, we find that VALB outperforms other state-of-the-art log abstrac</w:t>
      </w:r>
    </w:p>
    <w:p>
      <w:pPr/>
      <w:r>
        <w:rPr>
          <w:b/>
        </w:rPr>
        <w:t>POSSIBLE 2023:</w:t>
      </w:r>
      <w:r>
        <w:t xml:space="preserve"> Safe havens for energy democracy? Analysing the low-carbon transitions of Danish energy islands — https://doi.org/10.1007/s41358-023-00347-5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Denmark has long been known as a pioneer in renewable energy technology development. Apart from technological leadership, Denmark has also been the home to many community-based renewable energy initiatives. Citizen involvement in local energy projects has been key to increasing and maintaining acceptance to wind, solar and biomass. Three Danish islands (Bornholm, Samsø and Ærø) have been particularly active in promoting renewables. All three have claimed the title “energy island” and two of them have established specific institutions to promote further RE projects. In this article, we investigate community energy projects on two of the islands (Samsø and Ærø) through an Energy Democracy lens. The purpose of this investigation is to understand how the development on these islands relate to the concept of Energy Democracy: we outline how democratic processes and institutions shape the development of the local infrastructure and how this development, in turn, shaped local democracy. We found that many of the features of Energy Democracy were present in the two cases. Our research highlights a number of shortcomings of the concept of energy democracy, most importantly, a certain disregard for questions of energy justice and a blindness towards questions of scale.</w:t>
      </w:r>
    </w:p>
    <w:p>
      <w:pPr/>
      <w:r>
        <w:rPr>
          <w:b/>
        </w:rPr>
        <w:t>POSSIBLE 2023:</w:t>
      </w:r>
      <w:r>
        <w:t xml:space="preserve"> Energy Supply, Climate Change and Carbon Cycle–What Would Bring the Use of Recent Carbon? — https://doi.org/10.31031/jbb.2023.05.000609</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Climate change is to be eliminated through the annual transfer of a defined quantity of non-agriculturally produced plant biomass from the earth's aerobic natural carbon cycle to the anaerobic lithosphere, which is not covered by this cycle.This amount of biomass should correspond to the amount of fossil-based CO 2 that is released into the atmosphere from industry in the same time.The further use of fossil carbon, in particular for energy production, would thus be possible without any negative consequences for the climate.The biomass stored in the lithosphere shall be subjected to biological and chemical reactions that produce hydrocarbons analogous to those of natural gas and mineral oil.As a result, the current time limit on the availability of these raw materials could be lifted.Introducing global control of the processes involved is useful in order to maintain the constancy of the atmospheric CO 2 -concentration.Problems to be overcome are to provide the transport capacity for collecting the required amount of biomass above ground and to convey it underground.Furthermore, the spaces in the subsoil must be determined that are suitable for the storage of the biomass and the formation of the hydrocarbons.The proclaimed decarbonization should be redefined in terms of content and goal.</w:t>
      </w:r>
    </w:p>
    <w:p>
      <w:pPr/>
      <w:r>
        <w:rPr>
          <w:b/>
        </w:rPr>
        <w:t>POSSIBLE 2023:</w:t>
      </w:r>
      <w:r>
        <w:t xml:space="preserve"> Nexus of energy efficiency, carbon emission and economic growth in Nigeria — https://doi.org/10.22437/ppd.v10i6.21571</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Given rising temperatures, climate change, the alarming increase in energy demand, and the importance of energy efficiency, there is a need for an increasing review subject matter. In this sense, policymakers develop various measures, including renewable adoption and energy efficiency. This study examined the causal effect of oil production and carbon emission from gas flaring on the economic growth rate in Nigeria from 1980-2021. The findings revealed that economic growth and energy consumption significantly increases energy-related emissions. An increase in income level influences investors and industrialists to invest in the industrial sector, increasing production, diversification, and expansion. However, increased production and expansion of industries increase energy demand. Energy demand met by consuming fossil fuel increases energy-related emissions in Nigeria and negatively affects environmental quality. More importantly, carbon emission impedes environmental sustainability and sustainable economic growth in Nigeria. The study is relevant to the post-2015 Sustainable Development Goals agendas for two fundamental reasons: the world needs Sustainable Development Goal 7 – ensuring access to affordable, reliable, sustainable, and modern energy by 2030. (b) Large extractive industries primarily drive growth in Nigeria, and the country's population is expected to double in a</w:t>
      </w:r>
    </w:p>
    <w:p>
      <w:pPr/>
      <w:r>
        <w:rPr>
          <w:b/>
        </w:rPr>
        <w:t>POSSIBLE 2023:</w:t>
      </w:r>
      <w:r>
        <w:t xml:space="preserve"> Politics in the energy-security nexus: an epistemic governance approach to the zero-carbon energy transition in Finland, Estonia, and Norway — https://doi.org/10.1080/23251042.2023.2251873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To reduce the energy sector's CO 2 emissions, sustainability transitions are essential but may have unexpected national security consequences.We investigate policymaking around energy transitions and national security, combining sociology with sustainability transitions thinking to analyse 73 policy documents issued between 2006 and 2023 in Estonia, Finland, and Norway and investigate how zero-carbon energy and security issues have co-evolved with, strengthened, or undermined one another by analysing the rhetoric in official national strategy documents.With an epistemic governance framework, we identify the discourses that contextualise, justify, and explain policymaking in the energy-security nexus.We find that sustainable energy transitions are strengthened by connections to national security when alternative energy niches have matured but undermined for the same reason when fossil fuels are viewed as more robust sources of security.We detect policy intervention points aiming to indicate how transitions are enabled.Estonia and Finland evince strategic directions to destabilise the regime while supporting niches, whereas Norway focuses on continued oil and gas production.Whereas all are in principle in favour of sustainability transitions, they define transitions differently: Estonia values national sovereignty, Finland preparedness and the economy, and Norway sustainable deve</w:t>
      </w:r>
    </w:p>
    <w:p>
      <w:pPr/>
      <w:r>
        <w:rPr>
          <w:b/>
        </w:rPr>
        <w:t>POSSIBLE 2022:</w:t>
      </w:r>
      <w:r>
        <w:t xml:space="preserve"> ‘Reflexology: Exploring the mechanism of action’ — https://doi.org/10.1016/j.ctcp.2022.101606</w:t>
      </w:r>
    </w:p>
    <w:p>
      <w:pPr/>
      <w:r>
        <w:rPr>
          <w:b/>
        </w:rPr>
        <w:t>Shared claim-specific concepts:</w:t>
      </w:r>
      <w:r>
        <w:t xml:space="preserve"> therefore, important, individual; EU scope not established. This is a provisional connection, not an outcome finding.</w:t>
      </w:r>
    </w:p>
    <w:p>
      <w:pPr>
        <w:pStyle w:val="SourceNote"/>
      </w:pPr>
      <w:r>
        <w:rPr>
          <w:b/>
        </w:rPr>
        <w:t>Available abstract (not full text):</w:t>
      </w:r>
      <w:r>
        <w:t xml:space="preserve">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pPr>
        <w:pStyle w:val="Heading2"/>
      </w:pPr>
      <w:r>
        <w:t>820.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r>
        <w:rPr>
          <w:b/>
        </w:rPr>
        <w:t>POSSIBLE 2020:</w:t>
      </w:r>
      <w:r>
        <w:t xml:space="preserve"> An Assessment of the Cultivated Meat Innovation System in the USA and Europe — https://openalex.org/W3012844995</w:t>
      </w:r>
    </w:p>
    <w:p>
      <w:pPr/>
      <w:r>
        <w:rPr>
          <w:b/>
        </w:rPr>
        <w:t>Shared claim-specific concepts:</w:t>
      </w:r>
      <w:r>
        <w:t xml:space="preserve"> assessment, used, structured, system; EU scope visible. This is a provisional connection, not an outcome finding.</w:t>
      </w:r>
    </w:p>
    <w:p>
      <w:pPr>
        <w:pStyle w:val="SourceNote"/>
      </w:pPr>
      <w:r>
        <w:rPr>
          <w:b/>
        </w:rPr>
        <w:t>Available abstract (not full text):</w:t>
      </w:r>
      <w:r>
        <w:t xml:space="preserve"> This thesis compares the state of the cultivated meat (CM) industry in the USA and Europe. To do so, extensive desk-research was conducted, summarising existing data, and 21 interviews with CM experts were held. The result is an analysis comprised of both quantitative and qualitative data. In this thesis, the CM industry was understood as technological innovation system (TIS), a framework often used to analyse emerging industries. To compare the state of the CM industry in the USA and Europe, three research questions were answered. The first was: What is the structure of the cultivated meat innovation system, specifically its technology, actors and networks, and institutions? To answer this research question, a review of CM’s technology, an overview of actors and their associated networks and of the institutions governing CM is provided. The answer to this research question is in summary that CM is a nascent technology with many uncertainties from a technological standpoint, that its actor networks are still emerging, and that the regulatory framework is relatively clear in both the USA and Europe. The second research question was: How does the functional performance of the cultivated meat innovation system compare in the assessed regions? To answer this research questions, seven functions provided by the TIS framework were analysed. These seven functions are argued to influenc</w:t>
      </w:r>
    </w:p>
    <w:p>
      <w:pPr/>
      <w:r>
        <w:rPr>
          <w:b/>
        </w:rPr>
        <w:t>POSSIBLE 2019:</w:t>
      </w:r>
      <w:r>
        <w:t xml:space="preserve"> Plantation forests in Europe: challenges and opportunities — https://doi.org/10.36333/fs09</w:t>
      </w:r>
    </w:p>
    <w:p>
      <w:pPr/>
      <w:r>
        <w:rPr>
          <w:b/>
        </w:rPr>
        <w:t>Shared claim-specific concepts:</w:t>
      </w:r>
      <w:r>
        <w:t xml:space="preserve"> stakeholder, therefore, about, options, achieving; EU scope visible. This is a provisional connection, not an outcome finding.</w:t>
      </w:r>
    </w:p>
    <w:p>
      <w:pPr>
        <w:pStyle w:val="SourceNote"/>
      </w:pPr>
      <w:r>
        <w:rPr>
          <w:b/>
        </w:rPr>
        <w:t>Available abstract (not full text):</w:t>
      </w:r>
      <w:r>
        <w:t xml:space="preserve">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r>
        <w:rPr>
          <w:b/>
        </w:rPr>
        <w:t>POSSIBLE 2019:</w:t>
      </w:r>
      <w:r>
        <w:t xml:space="preserve"> A climatological assessment of balancing effects and shortfall risks of photovoltaics and wind energy in Germany and Europe — https://doi.org/10.5194/asr-16-119-2019</w:t>
      </w:r>
    </w:p>
    <w:p>
      <w:pPr/>
      <w:r>
        <w:rPr>
          <w:b/>
        </w:rPr>
        <w:t>Shared claim-specific concepts:</w:t>
      </w:r>
      <w:r>
        <w:t xml:space="preserve"> illustrate, assessment, system; EU scope visible. This is a provisional connection, not an outcome finding.</w:t>
      </w:r>
    </w:p>
    <w:p>
      <w:pPr>
        <w:pStyle w:val="SourceNote"/>
      </w:pPr>
      <w:r>
        <w:rPr>
          <w:b/>
        </w:rPr>
        <w:t>Available abstract (not full text):</w:t>
      </w:r>
      <w:r>
        <w:t xml:space="preserve"> Abstract. With an increased share of solar and wind energy e.g. in the German and European energy systems it is becoming increasingly important to analyze the impact of weather variability on the reliability of the energy production. In this study, we calculate solar PV and wind power capacity factors using two recently developed climatological datasets that provide information with high spatial and temporal details on the continental (European) scale and are of sufficient length for assessments at climatological time scales: Surface radiation derived from meteorological satellites (SARAH-2) and wind speed from a high-resolution regional reanalysis (COSMO-REA6). Balancing effects are analysed: On average, the seasonal cycles of PV and wind power production complement each other in Germany as well as in Europe. The frequency of events with a risk of low electricity generation is analyzed under different assumptions. When using wind energy over German land areas as a reference case, the results illustrate that the number of low production events is reduced when Germany's Exclusive Economic Zone is included into the analysis, or when a combined system of PV and wind energy is considered. A European-wide analysis also leads to a distinct reduction of such events.</w:t>
      </w:r>
    </w:p>
    <w:p>
      <w:pPr>
        <w:pStyle w:val="Heading2"/>
      </w:pPr>
      <w:r>
        <w:t>821.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COVID-19 pandemic and the European Union: politics, policies and institutions — https://doi.org/10.1080/13501763.2022.2141305</w:t>
      </w:r>
    </w:p>
    <w:p>
      <w:pPr/>
      <w:r>
        <w:rPr>
          <w:b/>
        </w:rPr>
        <w:t>Shared claim-specific concepts:</w:t>
      </w:r>
      <w:r>
        <w:t xml:space="preserve"> however, even, though, limited, become, increasingly; EU scope visible. This is a provisional connection, not an outcome finding.</w:t>
      </w:r>
    </w:p>
    <w:p>
      <w:pPr>
        <w:pStyle w:val="SourceNote"/>
      </w:pPr>
      <w:r>
        <w:rPr>
          <w:b/>
        </w:rPr>
        <w:t>Available abstract (not full text):</w:t>
      </w:r>
      <w:r>
        <w:t xml:space="preserve"> The COVID-19 pandemic posed unprecedented challenges to the European Union (EU) and its member states. In the EU, health policy competence has been and remains largely with member states. However, faced with a major external crisis, which more or less affected all member states at the same time, the EU developed a framework within which the member states (and their subnational units) could respond together to the crisis. This introductory article to the Special Issue ‘The COVID-19 Pandemic and the European Union,’ briefly examines how EU institutions, policies and politics were affected by the crisis. Contrary to earlier crises, the EU responded speedily and effectively this time around. The EU has become increasingly important in crisis management, in part due to the nature of transboundary crises. The EU proved itself to be a good crisis manager on some dimensions, but certainly not on all. The crisis created momentum for collective action and for fast decision-making, even though the legitimacy of some these actions has been subject to limited public scrutiny.</w:t>
      </w:r>
    </w:p>
    <w:p>
      <w:pPr/>
      <w:r>
        <w:rPr>
          <w:b/>
        </w:rPr>
        <w:t>POSSIBLE 2023:</w:t>
      </w:r>
      <w:r>
        <w:t xml:space="preserve"> Analysis of the Situation of Renewable and Non-Renewable Energy Consumption in the European Union — https://doi.org/10.3390/en16031338</w:t>
      </w:r>
    </w:p>
    <w:p>
      <w:pPr/>
      <w:r>
        <w:rPr>
          <w:b/>
        </w:rPr>
        <w:t>Shared claim-specific concepts:</w:t>
      </w:r>
      <w:r>
        <w:t xml:space="preserve"> renewable, resources, important; EU scope visible. This is a provisional connection, not an outcome finding.</w:t>
      </w:r>
    </w:p>
    <w:p>
      <w:pPr>
        <w:pStyle w:val="SourceNote"/>
      </w:pPr>
      <w:r>
        <w:rPr>
          <w:b/>
        </w:rPr>
        <w:t>Available abstract (not full text):</w:t>
      </w:r>
      <w:r>
        <w:t xml:space="preserve"> In this article, the authors present the results of research undertaken in relation to the situation regarding renewable and non-renewable energy reserves in the European Union, as well as the way in which this energy is consumed. The general view presented regarding energy resources around the world is that oil, natural gas and coal are being exhausted at an alarming rate and if we continue to exploit these oil resources at our current pace, we will see a massive depletion in energy resources over the next 41 years. The authors also focus on representing the intensity of greenhouse gas emissions from energy consumption, demonstrating that it has shown a slight decrease in the European Union. The resources and consumption of renewable and non-renewable energy were analyzed in close interdependence with these indicators under study, such as final energy consumption, renewable energy and total energy production, in order to give a correct interpretation of how these resources are used. At the same time, starting from the fact that the world economy is currently facing a cluster of crises (pandemic, financial-economic, energy, general resources), it was deemed important to highlight the fact that the total production of energy demonstrated an oscillating trend during this period.</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r>
        <w:rPr>
          <w:b/>
        </w:rPr>
        <w:t>POSSIBLE 2022:</w:t>
      </w:r>
      <w:r>
        <w:t xml:space="preserve"> A copula-based assessment of renewable energy droughts across Europe — https://doi.org/10.1016/j.renene.2022.10.091</w:t>
      </w:r>
    </w:p>
    <w:p>
      <w:pPr/>
      <w:r>
        <w:rPr>
          <w:b/>
        </w:rPr>
        <w:t>Shared claim-specific concepts:</w:t>
      </w:r>
      <w:r>
        <w:t xml:space="preserve"> renewable; EU scope visible. This is a provisional connection, not an outcome finding.</w:t>
      </w:r>
    </w:p>
    <w:p>
      <w:pPr>
        <w:pStyle w:val="SourceNote"/>
      </w:pPr>
      <w:r>
        <w:rPr>
          <w:b/>
        </w:rPr>
        <w:t>Available abstract (not full text):</w:t>
      </w:r>
      <w:r>
        <w:t xml:space="preserve"> Meeting carbon-reduction targets will require thorough consideration of climate variability and climate change due to the increasing share of climate-sensitive renewable energy sources (RES). One of the main concerns arises from situations of low renewable production and high demand, which can hinder the power system. We analysed energy droughts, defined as periods of low energy production (wind plus solar generation) or high residual load (demand minus production), in terms of two main properties: duration and severity. We estimated the joint return periods associated with energy droughts of residual load and power production. We showed that moderate winter energy droughts of both low renewable production and high residual load occur every half a year, while summer events occur every 3.6 and 2.4 years (on average). As expected, the occurrence of energy droughts tends to decrease with the degree of the severity of the energy drought, and moderate and extreme energy droughts showed longer return periods for most countries. In general, we found a large variability across Europe in summer, with some countries (e.g. Italy) being more sensitive to energy droughts. Our results highlight the relevance of sharing RES during prolonged periods of low production and high demand.</w:t>
      </w:r>
    </w:p>
    <w:p>
      <w:pPr>
        <w:pStyle w:val="Heading2"/>
      </w:pPr>
      <w:r>
        <w:t>822.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r>
        <w:rPr>
          <w:b/>
        </w:rPr>
        <w:t>POSSIBLE 2024:</w:t>
      </w:r>
      <w:r>
        <w:t xml:space="preserve"> A measurement model of trust in construction projects — https://doi.org/10.1108/ecam-10-2023-1080</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Purpose Lack of trust in construction projects will lead to poor project performance or project failure, indicating the importance of trust-building. Existing studies have developed various trust models, while most studies covered limited trust factors, failed to clarify their meanings and relationships or lacked qualitative or quantitative evidence. Thus, this study aims to develop a measurement model of trust in construction projects with theoretical justification as well as qualitative and quantitative data. Design/methodology/approach A literature review was conducted to identify conceptual types, factors and indicators of trust. Individual interviews and focus groups were performed to test the proposed framework with qualitative data. A survey and confirmatory factor analysis (CFA) method were utilized to build the measurement model of trust using quantitative data in BIM-assisted projects. Findings The proposed trust framework covered the four conceptual types, four factors (integrity, competency, benevolence and commitment) and 13 indicators, supported by the results of interviews and focus groups. The measurement model of trust from CFA results supported the significant, positive, and one-to-one relationships between 13 indicators and four factors of trust in BIM-assisted projects. Originality/value Theoretically, the study provides new insights into the multi-dimension</w:t>
      </w:r>
    </w:p>
    <w:p>
      <w:pPr/>
      <w:r>
        <w:rPr>
          <w:b/>
        </w:rPr>
        <w:t>POSSIBLE 2024:</w:t>
      </w:r>
      <w:r>
        <w:t xml:space="preserve"> A Study on the Construction and Utility Analysis of a Dataset of Interviews with Korean Disaster Survivors — https://doi.org/10.1109/bibm62325.2024.10821727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Post-Traumatic Stress Disorder (PTSD) is characterized by various maladaptive responses that occur after experiencing or witnessing severe trauma, underscoring the importance of early detection and the development of automated diagnostic systems. This study aimed to construct the Korean Disaster Survivors Interview (KDSI) dataset and use it to develop and evaluate an AI-based diagnostic model for PTSD. We designed and trained four deep learning models for the classification of PTSD, anxiety, and depression using the KDSI dataset, with acoustic features extracted for performance analysis. The results demonstrated that the ensemble model (Model D) achieved the highest F1 score and AUC in anxiety classification and also showed strong performance in PTSD and depression classifications. Despite the potential noise and reliability issues associated with self-reported data collected online, the findings confirm that the KDSI dataset is a valuable resource for building AI models to assess disaster-related psychological conditions, including PTSD, anxiety, and depression.</w:t>
      </w:r>
    </w:p>
    <w:p>
      <w:pPr>
        <w:pStyle w:val="Heading2"/>
      </w:pPr>
      <w:r>
        <w:t>823.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2022:</w:t>
      </w:r>
      <w:r>
        <w:t xml:space="preserve"> The 2018–2020 Multi‐Year Drought Sets a New Benchmark in Europe — https://doi.org/10.1029/2021ef002394</w:t>
      </w:r>
    </w:p>
    <w:p>
      <w:pPr/>
      <w:r>
        <w:rPr>
          <w:b/>
        </w:rPr>
        <w:t>Shared claim-specific concepts:</w:t>
      </w:r>
      <w:r>
        <w:t xml:space="preserve"> thus, here, climate, socioeconomic, coupled, assessment;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Climate-change-driven growth decline of European beech forests — https://doi.org/10.1038/s42003-022-03107-3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The growth of past, present, and future forests was, is and will be affected by climate variability. This multifaceted relationship has been assessed in several regional studies, but spatially resolved, large-scale analyses are largely missing so far. Here we estimate recent changes in growth of 5800 beech trees (Fagus sylvatica L.) from 324 sites, representing the full geographic and climatic range of species. Future growth trends were predicted considering state-of-the-art climate scenarios. The validated models indicate growth declines across large region of the distribution in recent decades, and project severe future growth declines ranging from −20% to more than −50% by 2090, depending on the region and climate change scenario (i.e. CMIP6 SSP1-2.6 and SSP5-8.5). Forecasted forest productivity losses are most striking towards the southern distribution limit of Fagus sylvatica, in regions where persisting atmospheric high-pressure systems are expected to increase drought severity. The projected 21st century growth changes across Europe indicate serious ecological and economic consequences that require immediate forest adaptation.</w:t>
      </w:r>
    </w:p>
    <w:p>
      <w:pPr>
        <w:pStyle w:val="Heading2"/>
      </w:pPr>
      <w:r>
        <w:t>824.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r>
        <w:rPr>
          <w:b/>
        </w:rPr>
        <w:t>POSSIBLE 2023:</w:t>
      </w:r>
      <w:r>
        <w:t xml:space="preserve"> Conclusion — https://doi.org/10.1017/9781009103862.010</w:t>
      </w:r>
    </w:p>
    <w:p>
      <w:pPr/>
      <w:r>
        <w:rPr>
          <w:b/>
        </w:rPr>
        <w:t>Shared claim-specific concepts:</w:t>
      </w:r>
      <w:r>
        <w:t xml:space="preserve"> key, power, also; EU scope visible. This is a provisional connection, not an outcome finding.</w:t>
      </w:r>
    </w:p>
    <w:p>
      <w:pPr>
        <w:pStyle w:val="SourceNote"/>
      </w:pPr>
      <w:r>
        <w:rPr>
          <w:b/>
        </w:rPr>
        <w:t>Available abstract (not full text):</w:t>
      </w:r>
      <w:r>
        <w:t xml:space="preserve"> The conclusion identifies the key turning points in the Court’s jurisprudence in light of the established theoretical framework and presents several key findings that further the debate on judicial politics and on the backlash. The main takeaway is that international courts may not always attempt to expand their power. On the contrary, concern for institutional survival or public image may compel them to under-utilize their power. Courts will follow forbearing or selectively forbearing policies to prevent or mitigate political pushback or backlash. They will reserve audacity or selective audacity for moments when they feel safe from political repercussions. Drawing upon my analysis of the Court over five decades, I call for historicizing the current instances of backlash against international courts and liberal institutions. At least in the context of the European Court, an important lesson is that the backlash is not unique to today’s political climate. The Court has seen different episodes of backlash and, as a result, it has forged a resilience strategy to fend off or pre-empt backlash. Such strategies can also be traced in other courts and institutions with delegated authority.</w:t>
      </w:r>
    </w:p>
    <w:p>
      <w:pPr/>
      <w:r>
        <w:rPr>
          <w:b/>
        </w:rPr>
        <w:t>POSSIBLE 2023:</w:t>
      </w:r>
      <w:r>
        <w:t xml:space="preserve"> What is the Potential of Bioccs to Deliver Negative Emissions in Norway? From Biomass Mapping to a Window of Negative Emissions Potential — https://doi.org/10.2139/ssrn.4623560</w:t>
      </w:r>
    </w:p>
    <w:p>
      <w:pPr/>
      <w:r>
        <w:rPr>
          <w:b/>
        </w:rPr>
        <w:t>Shared claim-specific concepts:</w:t>
      </w:r>
      <w:r>
        <w:t xml:space="preserve"> negative, emissions, biomass;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key, emissions, use, carbon, transport;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Sustainable aviation fuels – Options for negative emissions and high carbon efficiency — https://doi.org/10.1016/j.ijggc.2023.103886</w:t>
      </w:r>
    </w:p>
    <w:p>
      <w:pPr/>
      <w:r>
        <w:rPr>
          <w:b/>
        </w:rPr>
        <w:t>Shared claim-specific concepts:</w:t>
      </w:r>
      <w:r>
        <w:t xml:space="preserve"> negative, emissions, carbon, capture, storage, beccs; EU scope not established. This is a provisional connection, not an outcome finding.</w:t>
      </w:r>
    </w:p>
    <w:p>
      <w:pPr>
        <w:pStyle w:val="SourceNote"/>
      </w:pPr>
      <w:r>
        <w:rPr>
          <w:b/>
        </w:rPr>
        <w:t>Available abstract (not full text):</w:t>
      </w:r>
      <w:r>
        <w:t xml:space="preserve"> Mitigating the climate impact from aviation remains one of the tougher challenges in adapting society to fulfill stated climate targets. Long-range aviation cannot be electrified for the foreseeable future and the effects of combusting fuel at high altitude increase the climate impact compared to emissions of green-house gasses only, which further limits the range of sustainable fuel alternatives. We investigate seven different pathways for producing aviation biofuels coupled with either bio-energy carbon capture and storage (BECCS), or bio-energy carbon capture and utilization (BECCU). Both options allow for increased efficiency regarding utilization of feedstock carbon. Our analysis uses process-level carbon- and energy balances, with carbon efficiency, climate impact and levelized cost of production (LCOP) as primary performance indicators. The results show that CCS can achieve a negative carbon footprint for four out of the seven pathways, at a lower cost of GHG reduction than the base process option. Conversely, as a consequence of the electricity-intensive CO2 upgrading process, the CCU option shows less encouraging results with higher production costs, carbon footprints and costs of GHG reduction. Overall, pathways with large amounts of vented CO2, e.g., gasification of black liquor or bark, as well as fermentation of forest residues, reach a low GHG reduction cost for t</w:t>
      </w:r>
    </w:p>
    <w:p>
      <w:pPr>
        <w:pStyle w:val="Heading2"/>
      </w:pPr>
      <w:r>
        <w:t>825.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2024:</w:t>
      </w:r>
      <w:r>
        <w:t xml:space="preserve"> Factors influencing the reimbursement of cancer drugs in Europe: A scoping review — https://doi.org/10.1111/jep.14080</w:t>
      </w:r>
    </w:p>
    <w:p>
      <w:pPr/>
      <w:r>
        <w:rPr>
          <w:b/>
        </w:rPr>
        <w:t>Shared claim-specific concepts:</w:t>
      </w:r>
      <w:r>
        <w:t xml:space="preserve"> factors, influence, between; EU scope visible. This is a provisional connection, not an outcome finding.</w:t>
      </w:r>
    </w:p>
    <w:p>
      <w:pPr>
        <w:pStyle w:val="SourceNote"/>
      </w:pPr>
      <w:r>
        <w:rPr>
          <w:b/>
        </w:rPr>
        <w:t>Available abstract (not full text):</w:t>
      </w:r>
      <w:r>
        <w:t xml:space="preserve"> RATIONALE: Reimbursement process of oncology drugs in Europe occurs within a complex decision-making process that varies between Member States. Distinctions between the States trigger societal debates since it is necessary to balance access to medicines and health systems sustainability. AIMS AND OBJECTIVES: We aimed to review the evidence concerning factors associated with the reimbursement decision or Health Technology Agency recommendation of oncology drugs in Europe. METHODS: A systematic literature search was performed in two databases from inception to august 2023. Screening and data extraction were performed by pairs. RESULTS: Thirteen articles were included and encompassed data from 11 nations. Seven articles showed that cost-effective (C-E) drugs and lower Incremental Cost-Effectiveness Ratios (ICERs) had higher likelihood of reimbursement. Disease severity might influence the reimbursement decision with financial agreements. Improvement in clinical outcomes, substantial clinical benefit (p &lt; 0.01) or overall survival gains (p &lt; 0.05) were positively associated. Orphan drug designation impact varies between countries but positive decisions are usually achieved under specific conditions. Clinical and C-E uncertainty frequently led to reimbursement with financial agreements or outcomes-based conditions. Sociodemographic factors as: social health insurance system, higher </w:t>
      </w:r>
    </w:p>
    <w:p>
      <w:pPr/>
      <w:r>
        <w:rPr>
          <w:b/>
        </w:rPr>
        <w:t>POSSIBLE 2023:</w:t>
      </w:r>
      <w:r>
        <w:t xml:space="preserve"> A systematic review of environmental factors related to WNV circulation in European and Mediterranean countries — https://doi.org/10.1016/j.onehlt.2022.100478</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Introduction/objective: spp. are the main vectors, and birds its main vertebrate hosts. It can occasionally infect mammals, including humans. Different environmental factors can influence its distribution and transmission through its effects on vector or host populations. Our objective was to determine environmental factors associated with changes in vector distribution and WNV transmission in Europe and MR. Material &amp; methods: Systematic peer review of articles published between 2000 and 2020. We selected studies on WNV, and its vectors carried out in Europe and MR. The search included terms referring to climatic and environmental factors. Results: spp. was studied in 26 papers (40%), humans in 19 papers (29%) and host animals (mainly horses) in 16 papers (25%), whereas bird reservoirs were addressed in 5 studies (8%). A significant positive relationship was observed between changes in temperature and precipitation patterns and the epidemiology of WNV, although contrasting results were found among studies. Other factors positively related to WNV dynamics were the normalized difference vegetation index (NDVI] and expansion of anthropized habitats. Conclusion: The epidemiology of WNV seems to be related to climatic factors that are changing globally due to ongoing climate change. Unfortunately, the complete zoonotic cycle was not analyzed in most papers, making it difficult to d</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factors, between, significant;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Hunter-gatherer impact on European interglacial vegetation: A modelling approach — https://doi.org/10.1016/j.quascirev.2023.108439</w:t>
      </w:r>
    </w:p>
    <w:p>
      <w:pPr/>
      <w:r>
        <w:rPr>
          <w:b/>
        </w:rPr>
        <w:t>Shared claim-specific concepts:</w:t>
      </w:r>
      <w:r>
        <w:t xml:space="preserve"> factors, number, between, significant; EU scope visible. This is a provisional connection, not an outcome finding.</w:t>
      </w:r>
    </w:p>
    <w:p>
      <w:pPr>
        <w:pStyle w:val="SourceNote"/>
      </w:pPr>
      <w:r>
        <w:rPr>
          <w:b/>
        </w:rPr>
        <w:t>Available abstract (not full text):</w:t>
      </w:r>
      <w:r>
        <w:t xml:space="preserve"> This article focuses on hunter-gatherer impact on interglacial vegetation in Europe, using a case study from the Early Holocene (9200–8700 BP). We present a novel agent-based model, hereafter referred to as HUMLAND (HUMan impact on LANDscapes), specifically developed to define key factors in continental-level vegetation changes via assessment of differences between pollen-based reconstruction and dynamic global vegetation model output (climate-based vegetation cover). The identified significant difference between these two datasets can be partially explained by the difference in the models themselves, but also by the fact that climate is not the sole factor responsible for vegetation change. Sensitivity analysis of HUMLAND showed that the intensity of anthropogenic vegetation modification mainly depended on three factors: the number of groups present, their preferences for vegetation openness around campsites, and the size of an area impacted by humans. Overall, both climate and human activities had strong impacts on vegetation openness during the study period. Our modelling results support the hypothesis that European ecosystems were strongly shaped by human activities already in the Mesolithic.</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factors, significant;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Investigating the Factors That Determine the ESG Disclosure Practices in Europe — https://doi.org/10.3390/su15065508</w:t>
      </w:r>
    </w:p>
    <w:p>
      <w:pPr/>
      <w:r>
        <w:rPr>
          <w:b/>
        </w:rPr>
        <w:t>Shared claim-specific concepts:</w:t>
      </w:r>
      <w:r>
        <w:t xml:space="preserve"> factors, between, increased; EU scope visible. This is a provisional connection, not an outcome finding.</w:t>
      </w:r>
    </w:p>
    <w:p>
      <w:pPr>
        <w:pStyle w:val="SourceNote"/>
      </w:pPr>
      <w:r>
        <w:rPr>
          <w:b/>
        </w:rPr>
        <w:t>Available abstract (not full text):</w:t>
      </w:r>
      <w:r>
        <w:t xml:space="preserve"> The increased focus on environmental (E), social (S), and governance (G) (ESG) disclosure has become a necessary step toward the integration of sustainability practices into firms’ culture to meet the expectations of stakeholders. The social and environmental implications of firm activities on the environment and surrounding communities have led to the growing demand for useful non-financial information. This paper investigates the impacts of the board’s corporate social responsibility (CSR) strategy and CSR orientation, GRI, and the country–cultural dimensions, based on Hofstede’s measures of ESG disclosure practices within Europe. Using a European dataset from Bloomberg and Refinitiv Eikon, this paper adopts a quantitative research methodology to test the research hypotheses through a statistical analysis of 7840 observations from European companies to analyze the extent of the relationship between micro- and macro-variables and the disclosure of company ESG. Our findings suggest that both board CSR orientation and strategy and the GRI have positively and significantly affected the overall disclosure of ESG practices within Europe. When examining country–cultural dimensions, we find that individualism and feminine cultures are positively associated with increased levels of ESG disclosure. Our findings shed light on factors affecting ESG disclosure practices within Europe and </w:t>
      </w:r>
    </w:p>
    <w:p>
      <w:pPr/>
      <w:r>
        <w:rPr>
          <w:b/>
        </w:rPr>
        <w:t>POSSIBLE 2022:</w:t>
      </w:r>
      <w:r>
        <w:t xml:space="preserve"> Factors influencing antimicrobial resistance in the European food system and potential leverage points for intervention: A participatory, One Health study — https://doi.org/10.1371/journal.pone.0263914</w:t>
      </w:r>
    </w:p>
    <w:p>
      <w:pPr/>
      <w:r>
        <w:rPr>
          <w:b/>
        </w:rPr>
        <w:t>Shared claim-specific concepts:</w:t>
      </w:r>
      <w:r>
        <w:t xml:space="preserve"> factors, number, between; EU scope visible. This is a provisional connection, not an outcome finding.</w:t>
      </w:r>
    </w:p>
    <w:p>
      <w:pPr>
        <w:pStyle w:val="SourceNote"/>
      </w:pPr>
      <w:r>
        <w:rPr>
          <w:b/>
        </w:rPr>
        <w:t>Available abstract (not full text):</w:t>
      </w:r>
      <w:r>
        <w:t xml:space="preserve">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pPr>
        <w:pStyle w:val="Heading2"/>
      </w:pPr>
      <w:r>
        <w:t>826.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 reduction,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Balancing GHG mitigation and land-use conflicts: Alternative Northern European energy system scenarios — https://doi.org/10.1016/j.apenergy.2022.118557</w:t>
      </w:r>
    </w:p>
    <w:p>
      <w:pPr/>
      <w:r>
        <w:rPr>
          <w:b/>
        </w:rPr>
        <w:t>Shared claim-specific concepts:</w:t>
      </w:r>
      <w:r>
        <w:t xml:space="preserve"> show, ghg, target, energy, however; EU scope visible. This is a provisional connection, not an outcome finding.</w:t>
      </w:r>
    </w:p>
    <w:p>
      <w:pPr>
        <w:pStyle w:val="SourceNote"/>
      </w:pPr>
      <w:r>
        <w:rPr>
          <w:b/>
        </w:rPr>
        <w:t>Available abstract (not full text):</w:t>
      </w:r>
      <w:r>
        <w:t xml:space="preserve">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pPr/>
      <w:r>
        <w:rPr>
          <w:b/>
        </w:rPr>
        <w:t>POSSIBLE 2022:</w:t>
      </w:r>
      <w:r>
        <w:t xml:space="preserve"> Targeted, Implementable, and Practical Energy Relief Measures for Households in Europe — https://doi.org/10.5089/9798400227400.001</w:t>
      </w:r>
    </w:p>
    <w:p>
      <w:pPr/>
      <w:r>
        <w:rPr>
          <w:b/>
        </w:rPr>
        <w:t>Shared claim-specific concepts:</w:t>
      </w:r>
      <w:r>
        <w:t xml:space="preserve"> energy, however; EU scope visible. This is a provisional connection, not an outcome finding.</w:t>
      </w:r>
    </w:p>
    <w:p>
      <w:pPr>
        <w:pStyle w:val="SourceNote"/>
      </w:pPr>
      <w:r>
        <w:rPr>
          <w:b/>
        </w:rPr>
        <w:t>Available abstract (not full text):</w:t>
      </w:r>
      <w:r>
        <w:t xml:space="preserve"> The recommended way of helping households during the ongoing European energy crisis is to allow price signals to operate freely while providing targeted compensation to the vulnerable. In practice, however, institutional, political, and technical constraints have led many European governments to adopt broad, price-suppressing measures, which impede the adjustment in demand, have high fiscal costs, and widen cross-country gaps in prices. This paper focuses on easy-to-implement, second-best policies. Bonuses or rebates on energy bills (that are not linked to the current volume of consumption) or block tariffs are simple options which would improve on the current policy design in many countries. To avoid stoking inflation, fiscal policy should not add to aggregate demand, so relief for energy bills should be targeted and coupled with offsetting fiscal measures. One option is to reclaim the relief from the better-off through income taxation, which would also make support more progressive.</w:t>
      </w:r>
    </w:p>
    <w:p>
      <w:pPr>
        <w:pStyle w:val="Heading2"/>
      </w:pPr>
      <w:r>
        <w:t>827.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different, variation, between, regions;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Past, present and future distribution of the yellow fever mosquito Aedes aegypti: The European paradox — https://doi.org/10.1016/j.scitotenv.2022.157566</w:t>
      </w:r>
    </w:p>
    <w:p>
      <w:pPr/>
      <w:r>
        <w:rPr>
          <w:b/>
        </w:rPr>
        <w:t>Shared claim-specific concepts:</w:t>
      </w:r>
      <w:r>
        <w:t xml:space="preserve"> also, present, assess, different, until; EU scope visible. This is a provisional connection, not an outcome finding.</w:t>
      </w:r>
    </w:p>
    <w:p>
      <w:pPr>
        <w:pStyle w:val="SourceNote"/>
      </w:pPr>
      <w:r>
        <w:rPr>
          <w:b/>
        </w:rPr>
        <w:t>Available abstract (not full text):</w:t>
      </w:r>
      <w:r>
        <w:t xml:space="preserve"> The global distribution of the yellow fever mosquito Aedes aegypti is the subject of considerable attention because of its pivotal role as a biological vector of several high profile disease pathogens including dengue, chikungunya, yellow fever, and Zika viruses. There is also a lot of interest in the projected future species' distribution. However, less effort has been focused on its historical distribution, which has changed substantially over the past 100 years, especially in southern Europe where it was once widespread, but largely disappeared by the middle of the 20th century. The present work utilises all available historical records of the distribution of Ae. aegypti in southern Europe, the Near East within the Mediterranean Basin and North Africa from the late 19th century until the 1960's to construct a spatial distribution model using matching historical climatic and demographic data. The resulting model was then implemented using current climate and demographic data to assess the potential distribution of the vector in the present. The models were rerun with several different assumptions about the thresholds that determine habitat suitability for Ae. aegypti. The historical model matches the historical distributions well. When it is run with current climate values, the predicted present day distribution is somewhat broader than it used to be particularly in north-wes</w:t>
      </w:r>
    </w:p>
    <w:p>
      <w:pPr/>
      <w:r>
        <w:rPr>
          <w:b/>
        </w:rPr>
        <w:t>POSSIBLE 2022:</w:t>
      </w:r>
      <w:r>
        <w:t xml:space="preserve"> Assessment of extreme winds over Europe in Regional Climate Models — https://doi.org/10.5194/ems2022-365</w:t>
      </w:r>
    </w:p>
    <w:p>
      <w:pPr/>
      <w:r>
        <w:rPr>
          <w:b/>
        </w:rPr>
        <w:t>Shared claim-specific concepts:</w:t>
      </w:r>
      <w:r>
        <w:t xml:space="preserve"> also, present, assess, different, show, regions; EU scope visible. This is a provisional connection, not an outcome finding.</w:t>
      </w:r>
    </w:p>
    <w:p>
      <w:pPr>
        <w:pStyle w:val="SourceNote"/>
      </w:pPr>
      <w:r>
        <w:rPr>
          <w:b/>
        </w:rPr>
        <w:t>Available abstract (not full text):</w:t>
      </w:r>
      <w:r>
        <w:t xml:space="preserve">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pPr/>
      <w:r>
        <w:rPr>
          <w:b/>
        </w:rPr>
        <w:t>POSSIBLE 2022:</w:t>
      </w:r>
      <w:r>
        <w:t xml:space="preserve"> The Regional Development Trap in Europe — https://doi.org/10.1080/00130095.2022.2080655</w:t>
      </w:r>
    </w:p>
    <w:p>
      <w:pPr/>
      <w:r>
        <w:rPr>
          <w:b/>
        </w:rPr>
        <w:t>Shared claim-specific concepts:</w:t>
      </w:r>
      <w:r>
        <w:t xml:space="preserve"> also, regions, political; EU scope visible. This is a provisional connection, not an outcome finding.</w:t>
      </w:r>
    </w:p>
    <w:p>
      <w:pPr>
        <w:pStyle w:val="SourceNote"/>
      </w:pPr>
      <w:r>
        <w:rPr>
          <w:b/>
        </w:rPr>
        <w:t>Available abstract (not full text):</w:t>
      </w:r>
      <w:r>
        <w:t xml:space="preserve">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pPr>
        <w:pStyle w:val="Heading2"/>
      </w:pPr>
      <w:r>
        <w:t>828.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2022:</w:t>
      </w:r>
      <w:r>
        <w:t xml:space="preserve"> Policy instruments for green-growth of clusters: Implications from an agent-based model — https://doi.org/10.1016/j.eist.2022.04.003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Green-growth theory asserts that green-innovations will allow us to decouple economic growth from pollution. Policies that promote green-innovations are therefore paramount. Scholarship has become increasingly interested in how green-clusters can contribute to sustainable innovation and decoupled green-growth. In this study, we create an agent-based model that can simulate a cluster's transition, as shaped by different policy instruments. We use this model to explore the effects of a) innovation grants, b) fines for pollution c) financial incentives for entrants, and d) an instrument mix of incentives and fines, on the green-growth of a peripheral-region cluster. Our results indicate that designing instruments for absolutely decoupled growth of peripheral-clusters is close to impossible; and demonstrate the inherent trade-offs in designing policies for relatively decoupled growth. Based on these results, we opine there should be more nuanced deliberation on the potential contribution of green-clusters to sustainable development,with greater focus on the possible trade-offs.</w:t>
      </w:r>
    </w:p>
    <w:p>
      <w:pPr/>
      <w:r>
        <w:rPr>
          <w:b/>
        </w:rPr>
        <w:t>POSSIBLE 2022:</w:t>
      </w:r>
      <w:r>
        <w:t xml:space="preserve"> Policies for energy conservation and sufficiency: Review of existing policies and recommendations for new and effective policies in OECD countries — https://doi.org/10.1016/j.enbuild.2022.112075</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There is a strong consent among scholars and policy makers that limiting current global energy demand and gradually reducing it towards a sustainable level of consumption is a key component of any strategies and pathways to reach the Paris Agreement climate target, and, in particular, carbon neutrality by mid-century. Given the stringency and urgency of the climate target and the current global increase of energy demand, in addition to investments in energy efficiency technologies, there is the need for a change of energy end-users behaviour and life style to obtain additional energy savings by limiting the demand for services. Traditionally, energy efficiency policies have mainly targeted and promoted energy efficient technologies (e.g., energy performance standards for vehicles, appliances and buildings, financial incentives for new technologies, etc.). In some cases, the energy savings achieved have been less than expected, due to a rebound effect, or because external factors (e.g., growth in populations or economies) have increased energy consumption. The “traditional” energy efficiency policies are still very necessary, but are not sufficient for reaching the Paris Agreement target and the rapid reduction of the energy demand. Policies focusing on energy conservation and sufficiency principles complement efficiency policies, in particular those aiming at changing end-user </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r>
        <w:rPr>
          <w:b/>
        </w:rPr>
        <w:t>POSSIBLE 2020:</w:t>
      </w:r>
      <w:r>
        <w:t xml:space="preserve"> European environment policy for the circular economy: Implications for business and industry stakeholders — https://doi.org/10.1002/sd.2113</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pPr/>
      <w:r>
        <w:rPr>
          <w:b/>
        </w:rPr>
        <w:t>POSSIBLE 2020:</w:t>
      </w:r>
      <w:r>
        <w:t xml:space="preserve"> Mapping the evidence of climate change adaptation policy instruments in Europe — https://doi.org/10.1088/1748-9326/ab8fd1</w:t>
      </w:r>
    </w:p>
    <w:p>
      <w:pPr/>
      <w:r>
        <w:rPr>
          <w:b/>
        </w:rPr>
        <w:t>Shared claim-specific concepts:</w:t>
      </w:r>
      <w:r>
        <w:t xml:space="preserve"> number, instruments; EU scope visible. This is a provisional connection, not an outcome finding.</w:t>
      </w:r>
    </w:p>
    <w:p>
      <w:pPr>
        <w:pStyle w:val="SourceNote"/>
      </w:pPr>
      <w:r>
        <w:rPr>
          <w:b/>
        </w:rPr>
        <w:t>Available abstract (not full text):</w:t>
      </w:r>
      <w:r>
        <w:t xml:space="preserve"> Abstract With climate change impacts being felt across Europe, governments have started to invest in designing and implementing adaptation actions. The means through which governments adapt is generally referred to as policy instruments. Although there is a large body of adaptation policy literature emerging, our comprehensive understanding of policy instruments is limited nor do we know much about how scholarship on adaptation is addressing critical questions about policy instrument choice and effectiveness to support policy practice. In this article we map academic scholarship on climate change adaptation policy instruments in Europe. Using systematic approaches, we identify 184 relevant articles published 2014–2019. Our findings show that research is heavily concentrated on a limited number of western-European countries, with hardly any insights from eastern Europe and smaller countries. Most studies do not connect climate change impacts and risks with policy instruments, making assessment of policy effectiveness difficult, if not impossible. We argue that expanding the geographical scope of future research and enhancing the diversity of study types across Europe is critical for advancing theories on climate change adaptation policy, as well as providing useful recommendations for policy makers to strengthen the solution space and accelerate climate change adaptation.</w:t>
      </w:r>
    </w:p>
    <w:p>
      <w:pPr>
        <w:pStyle w:val="Heading2"/>
      </w:pPr>
      <w:r>
        <w:t>829.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Domestic Water Footprint of the Inhabitants of Iași Municipality. Preliminary results — https://doi.org/10.47743/lsgdc.v52i2.01</w:t>
      </w:r>
    </w:p>
    <w:p>
      <w:pPr/>
      <w:r>
        <w:rPr>
          <w:b/>
        </w:rPr>
        <w:t>Shared claim-specific concepts:</w:t>
      </w:r>
      <w:r>
        <w:t xml:space="preserve"> water, footprint, based, consumption; EU scope visible. This is a provisional connection, not an outcome finding.</w:t>
      </w:r>
    </w:p>
    <w:p>
      <w:pPr>
        <w:pStyle w:val="SourceNote"/>
      </w:pPr>
      <w:r>
        <w:rPr>
          <w:b/>
        </w:rPr>
        <w:t>Available abstract (not full text):</w:t>
      </w:r>
      <w:r>
        <w:t xml:space="preserve"> The water footprint is an essential indicator reflecting water usage across human activities, encompassing blue, green, and grey footprints. It raises awareness of direct and indirect water consumption and its environmental impacts. In our research, we developed a methodology based on bibliographic analysis, focusing specifically on the residential component of water usage. The results are based on average values of evaluated parameters, which provide suggestive insights. To gather data, we distributed a quantitative questionnaire to residents of the Iași metropolitan area. The preliminary findings, based on 175 anonymous responses, reveal an average water footprint of 7,999.277 liters per day per person. By comparison, the average daily water footprint is 3,397 liters globally, 3,287 liters in Europe and 4,627 liters in Romania. The highest footprint (11,536.22 liters per day) was found in Moara de Vânt-Țicău, while the lowest (6,293.57 liters per day) was in Centru. Statistical analyses were conducted to examine the relationship between water consumption and various demographic, educational and social factors (for instance, higher water usage among more educated individuals could be attributed to their habits or social influences). The study faced limitations, including poor questionnaire response rates, age restrictions, partial water footprint analysis, and uneven neighborh</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footprint, population, consumption, technological;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European Union Regulation of Water Stress Risks — https://doi.org/10.1017/err.2023.76</w:t>
      </w:r>
    </w:p>
    <w:p>
      <w:pPr/>
      <w:r>
        <w:rPr>
          <w:b/>
        </w:rPr>
        <w:t>Shared claim-specific concepts:</w:t>
      </w:r>
      <w:r>
        <w:t xml:space="preserve"> water, level, based; EU scope visible. This is a provisional connection, not an outcome finding.</w:t>
      </w:r>
    </w:p>
    <w:p>
      <w:pPr>
        <w:pStyle w:val="SourceNote"/>
      </w:pPr>
      <w:r>
        <w:rPr>
          <w:b/>
        </w:rPr>
        <w:t>Available abstract (not full text):</w:t>
      </w:r>
      <w:r>
        <w:t xml:space="preserve"> Abstract Water stress is a growing concern in Europe, partly due to the changing climate context. Despite the cross-cutting impacts that water availability has on different areas under the competence of the European Union (EU), there is not currently a comprehensive and systematic legal framework addressing this issue. The purpose of this article is therefore to examine the EU legislation that concerns the measures aimed at mitigating these risks. To this purpose, it is first examined how droughts and water scarcity are framed within EU legal acts. Based on such an overview, the analysis is directed to the mechanisms developed at the EU level for monitoring, identifying and forecasting water stress risks, as well as the legal provisions relating to the planning tools. The remainder of the article is devoted to the regulation of preventative measures for water scarcity and drought risk reduction, following the water hierarchy resulting from COM(2007) 414.</w:t>
      </w:r>
    </w:p>
    <w:p>
      <w:pPr/>
      <w:r>
        <w:rPr>
          <w:b/>
        </w:rPr>
        <w:t>POSSIBLE 2023:</w:t>
      </w:r>
      <w:r>
        <w:t xml:space="preserve"> European altimetry-derived tide model for improved tide and water level forecasting along the Dutch Continental Shelf — https://doi.org/10.5194/egusphere-egu23-1786</w:t>
      </w:r>
    </w:p>
    <w:p>
      <w:pPr/>
      <w:r>
        <w:rPr>
          <w:b/>
        </w:rPr>
        <w:t>Shared claim-specific concepts:</w:t>
      </w:r>
      <w:r>
        <w:t xml:space="preserve"> water, level, based, use; EU scope visible. This is a provisional connection, not an outcome finding.</w:t>
      </w:r>
    </w:p>
    <w:p>
      <w:pPr>
        <w:pStyle w:val="SourceNote"/>
      </w:pPr>
      <w:r>
        <w:rPr>
          <w:b/>
        </w:rPr>
        <w:t>Available abstract (not full text):</w:t>
      </w:r>
      <w:r>
        <w:t xml:space="preserve"> With the continued rise in global mean sea level, accurate operational predictions of tidal height and total water levels have become crucial for early warning of potential extreme events in the coastal region. Ocean tides play an important role in extreme sea level events, with high oceanic tides increasing the likelihood of coastal ﬂooding. The Dutch Continental Shelf Model in Flexible Mesh (DCSM-FM) is developed at Deltares to operationally estimate the total water levels to help trigger early warning systems to combat these extreme events along the Dutch coastline. At the boundaries of this model, a tidal forcing is applied from global ocean tide models to better incorporate the ocean tidal height estimations within the model.In this study, a regional Empirical Ocean Tide model for the Northwest European Continental Sea (EOT-NECS) is developed with the aim to apply better tidal forcing along the boundary of the regional DCSM-FM. EOT-NECS is developed at DGFI-TUM by using thirty years of multi-mission along-track satellite altimetry to derive tidal constituents which are estimated both empirically and semi-empirically. Compared to the previous global iteration, EOT20, EOT-NECS showed a reduction in the root-square-sum error for the eight major tidal constituents of 0.525 cm compared to in-situ tide gauges.Water levels of DCSM-FM are forced from a number of sources. At the op</w:t>
      </w:r>
    </w:p>
    <w:p>
      <w:pPr/>
      <w:r>
        <w:rPr>
          <w:b/>
        </w:rPr>
        <w:t>POSSIBLE 2022:</w:t>
      </w:r>
      <w:r>
        <w:t xml:space="preserve"> Analysis of the Water Footprint of Central and Eastern Europe Countries — https://doi.org/10.21697/seb.2022.27</w:t>
      </w:r>
    </w:p>
    <w:p>
      <w:pPr/>
      <w:r>
        <w:rPr>
          <w:b/>
        </w:rPr>
        <w:t>Shared claim-specific concepts:</w:t>
      </w:r>
      <w:r>
        <w:t xml:space="preserve"> water, footprint, production; EU scope visible. This is a provisional connection, not an outcome finding.</w:t>
      </w:r>
    </w:p>
    <w:p>
      <w:pPr>
        <w:pStyle w:val="SourceNote"/>
      </w:pPr>
      <w:r>
        <w:rPr>
          <w:b/>
        </w:rPr>
        <w:t>Available abstract (not full text):</w:t>
      </w:r>
      <w:r>
        <w:t xml:space="preserve">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pPr/>
      <w:r>
        <w:rPr>
          <w:b/>
        </w:rPr>
        <w:t>POSSIBLE 2022:</w:t>
      </w:r>
      <w:r>
        <w:t xml:space="preserve"> IoT-Based Solutions to Monitor Water Level, Leakage, and Motor Control for Smart Water Tanks — https://doi.org/10.3390/w14030309</w:t>
      </w:r>
    </w:p>
    <w:p>
      <w:pPr/>
      <w:r>
        <w:rPr>
          <w:b/>
        </w:rPr>
        <w:t>Shared claim-specific concepts:</w:t>
      </w:r>
      <w:r>
        <w:t xml:space="preserve"> water, level, population; EU scope not established. This is a provisional connection, not an outcome finding.</w:t>
      </w:r>
    </w:p>
    <w:p>
      <w:pPr>
        <w:pStyle w:val="SourceNote"/>
      </w:pPr>
      <w:r>
        <w:rPr>
          <w:b/>
        </w:rPr>
        <w:t>Available abstract (not full text):</w:t>
      </w:r>
      <w:r>
        <w:t xml:space="preserve"> Today, a large portion of the human population around the globe has no access to freshwater for drinking, cooking, and other domestic applications. Water resources in numerous countries are becoming scarce due to over urbanization, rapid industrial growth, and current global warming. Water is often stored in the aboveground or underground tanks. In developing countries, these tanks are maintained manually, and in some cases, water is wasted due to human negligence. In addition, water could also leak out from tanks and supply pipes due to the decayed infrastructure. To address these issues, researchers worldwide turned to the Internet-of-Things (IoT) technology to efficiently monitor water levels, detect leakage, and auto refill tanks whenever needed. Notably, this technology can also supply real-time feedback to end-users and other experts through a webpage or a smartphone. Literature reveals a plethora of review articles on smart water monitoring, including water quality, supply pipes leakage, and water waste recycling. However, none of the reviews focus on the IoT-based solution to monitor water level, detect water leakage, and auto control water pumps, especially at the induvial level that form a vast proportion of water consumers worldwide. To fill this gap in the literature, this study presents a review of IoT-controlled water storage tanks (IoT-WST). Some important contri</w:t>
      </w:r>
    </w:p>
    <w:p>
      <w:pPr>
        <w:pStyle w:val="Heading2"/>
      </w:pPr>
      <w:r>
        <w:t>830.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r>
        <w:rPr>
          <w:b/>
        </w:rPr>
        <w:t>POSSIBLE 2024:</w:t>
      </w:r>
      <w:r>
        <w:t xml:space="preserve"> THE INFLUENCE OF EUROPEAN FISCAL POLICIES ON STRATEGIES FOR ATTRACTING EUROPEAN FUNDS – A COMPARATIVE ANALYSIS — https://doi.org/10.61846/cuji-ssh.2024.4.08</w:t>
      </w:r>
    </w:p>
    <w:p>
      <w:pPr/>
      <w:r>
        <w:rPr>
          <w:b/>
        </w:rPr>
        <w:t>Shared claim-specific concepts:</w:t>
      </w:r>
      <w:r>
        <w:t xml:space="preserve"> member, states, fund, commission, funding, framework; EU scope visible. This is a provisional connection, not an outcome finding.</w:t>
      </w:r>
    </w:p>
    <w:p>
      <w:pPr>
        <w:pStyle w:val="SourceNote"/>
      </w:pPr>
      <w:r>
        <w:rPr>
          <w:b/>
        </w:rPr>
        <w:t>Available abstract (not full text):</w:t>
      </w:r>
      <w:r>
        <w:t xml:space="preserve"> European fiscal policies significantly shape member states' strategies for attracting and utilising European funds, influencing the allocation of resources, compliance requirements, and fund accessibility. This article explores the comparative impact of these policies on fund attraction strategies across EU member states, focusing on how fiscal regulations either facilitate or restrict effective fund utilisation. Using a legislative comparative analysis alongside cause-effect methodology, this study examines variations in fiscal policy frameworks, compliance dynamics, and administrative capacities. Findings suggest that while aligned fiscal policies can foster efficiency and transparency, variations in national frameworks create disparities in fund attraction success, requiring adaptive strategies tailored to each member state. KEYWORDS: comparative analysis, european fiscal policies, EU member states, fiscal strategy, fund attraction, legislative impact. J.E.L. CLASSIFICATION: H77, H87, E62 1. INTRODUCTION European fiscal policies play a pivotal role in shaping the ability of member states to attract and utilise European funds, which are essential for financing local development, infrastructure, and economic growth. By setting overarching regulatory frameworks, the European Union (EU) aims to standardise fund accessibility and encourage fiscal responsibility across its member </w:t>
      </w:r>
    </w:p>
    <w:p>
      <w:pPr/>
      <w:r>
        <w:rPr>
          <w:b/>
        </w:rPr>
        <w:t>POSSIBLE 2024:</w:t>
      </w:r>
      <w:r>
        <w:t xml:space="preserve"> Funding for sustainable development of rural communities: European experience — https://doi.org/10.51599/are.2024.10.04.09</w:t>
      </w:r>
    </w:p>
    <w:p>
      <w:pPr/>
      <w:r>
        <w:rPr>
          <w:b/>
        </w:rPr>
        <w:t>Shared claim-specific concepts:</w:t>
      </w:r>
      <w:r>
        <w:t xml:space="preserve"> member, states, funding, both, sources; EU scope visible. This is a provisional connection, not an outcome finding.</w:t>
      </w:r>
    </w:p>
    <w:p>
      <w:pPr>
        <w:pStyle w:val="SourceNote"/>
      </w:pPr>
      <w:r>
        <w:rPr>
          <w:b/>
        </w:rPr>
        <w:t>Available abstract (not full text):</w:t>
      </w:r>
      <w:r>
        <w:t xml:space="preserve"> Purpose. The study aims to assess the European experience of funding for sustainable development of rural communities and the possibility of its implementation in Ukraine. Methodology / approach. The research was carried out using the following methods: bibliometric, trend, cluster – to assess the scientific productivity of research, identify key trends in scientific approaches to the issues under study; comparative, systemic, institutional and functional analysis – to determine the functional links between different elements of the European Union (EU) funding system, as well as correlation and regression analysis – to establish the degree of interconnection between different sources of funding for rural communities in the EU member states. Results. The authors conducted a cluster analysis and built a bibliometric map of the distribution of publications by country for the search query “sustainable development” and “sustainable rural development funding” in the Scopus database between countries for the period 2000–2024. This allowed to form a clear scientific picture of the development of the studied issues, as well as to establish the relevance, complexity and interdisciplinarity of approaches to solving the outlined tasks. It has been proved that the common budget is an instrument for implementing policies and programmes that promote economic growth, social cohesion, and stabi</w:t>
      </w:r>
    </w:p>
    <w:p>
      <w:pPr/>
      <w:r>
        <w:rPr>
          <w:b/>
        </w:rPr>
        <w:t>POSSIBLE 2023:</w:t>
      </w:r>
      <w:r>
        <w:t xml:space="preserve"> The impact of the European social fund on youth education and employment — https://doi.org/10.1016/j.seps.2023.101650</w:t>
      </w:r>
    </w:p>
    <w:p>
      <w:pPr/>
      <w:r>
        <w:rPr>
          <w:b/>
        </w:rPr>
        <w:t>Shared claim-specific concepts:</w:t>
      </w:r>
      <w:r>
        <w:t xml:space="preserve"> fund, funding, both; EU scope visible. This is a provisional connection, not an outcome finding.</w:t>
      </w:r>
    </w:p>
    <w:p>
      <w:pPr>
        <w:pStyle w:val="SourceNote"/>
      </w:pPr>
      <w:r>
        <w:rPr>
          <w:b/>
        </w:rPr>
        <w:t>Available abstract (not full text):</w:t>
      </w:r>
      <w:r>
        <w:t xml:space="preserve"> The effectiveness of the European Union's Cohesion Policy in reducing regional socio-economic gaps remains an open empirical issue, while evidence as to how the policy is affected by specific territorial factors and which social groups benefit most from it remains sparse. This article seeks to address this gap by disentangling the impact of the European Social Fund (ESF) on youth education and employment prospects. Drawing on macro-level data for the European NUTS-2 regions, we assess the impact that this fund has on different education-specific youth population shares and employment rates. In the case of education, we find that the receipt of funding is associated with a human capital polarization of regional populations. Specifically, we identify a positive impact of the ESF on population shares with lower-secondary and tertiary education, and a simultaneous negative impact on the share of those with upper-secondary education. In the case of employment, we find a positive response for youth of all education levels. A heterogeneity analysis indicates that both the education and employment responses of the youth population to the receipt of the ESF are strongly influenced by local specialization in high-skilled activities.</w:t>
      </w:r>
    </w:p>
    <w:p>
      <w:pPr/>
      <w:r>
        <w:rPr>
          <w:b/>
        </w:rPr>
        <w:t>POSSIBLE 2023:</w:t>
      </w:r>
      <w:r>
        <w:t xml:space="preserve"> Environmental Assessment of Residential Space Heating and Cooling Technologies in Europe: A Review of 11 European Member States — https://doi.org/10.3390/su15054288</w:t>
      </w:r>
    </w:p>
    <w:p>
      <w:pPr/>
      <w:r>
        <w:rPr>
          <w:b/>
        </w:rPr>
        <w:t>Shared claim-specific concepts:</w:t>
      </w:r>
      <w:r>
        <w:t xml:space="preserve"> member, states, climate, energy; EU scope visible. This is a provisional connection, not an outcome finding.</w:t>
      </w:r>
    </w:p>
    <w:p>
      <w:pPr>
        <w:pStyle w:val="SourceNote"/>
      </w:pPr>
      <w:r>
        <w:rPr>
          <w:b/>
        </w:rPr>
        <w:t>Available abstract (not full text):</w:t>
      </w:r>
      <w:r>
        <w:t xml:space="preserve"> Greenhouse gas emissions have reached critical levels and climate change is threatening the globe. Thus, the space heating and cooling sector is striving to decarbonize assets through higher efficiency and renewable energy adoption for 2030 and 2050. This article reviewed data about the environmental impact and the primary energy consumption of 27 space heating and cooling technologies for the residential sector as if they were adopted in 11 different European member states: Austria, Cyprus, Denmark, Estonia, France, Germany, Italy, Poland, Romania, Spain, and Sweden. Direct emissions from the machineries and upstream indirect emissions from the energy carriers were considered. The analysis indicates that the adoption of renewable energy-powered technologies should be prioritized due to the significantly lower emissions related to these technologies. Notably, the emissions of electricity-powered technologies, if not driven by the direct self-consumption of renewable energy systems, highly depend on the region of adoption: in specific cases, such as in Poland, Cyprus, and Estonia, they can even exceed the emissions of coal-powered technologies. These countries should speed up the adoption of decarbonization policies regarding the residential sector to close the gap with the other EU member states and provide their contribution to the EU climate change goals.</w:t>
      </w:r>
    </w:p>
    <w:p>
      <w:pPr>
        <w:pStyle w:val="Heading2"/>
      </w:pPr>
      <w:r>
        <w:t>831.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2023:</w:t>
      </w:r>
      <w:r>
        <w:t xml:space="preserve"> Climate-trait relationships exhibit strong habitat specificity in plant communities across Europe — https://doi.org/10.1038/s41467-023-36240-6</w:t>
      </w:r>
    </w:p>
    <w:p>
      <w:pPr/>
      <w:r>
        <w:rPr>
          <w:b/>
        </w:rPr>
        <w:t>Shared claim-specific concepts:</w:t>
      </w:r>
      <w:r>
        <w:t xml:space="preserve"> assuming, strong, climate, only; EU scope visible. This is a provisional connection, not an outcome finding.</w:t>
      </w:r>
    </w:p>
    <w:p>
      <w:pPr>
        <w:pStyle w:val="SourceNote"/>
      </w:pPr>
      <w:r>
        <w:rPr>
          <w:b/>
        </w:rPr>
        <w:t>Available abstract (not full text):</w:t>
      </w:r>
      <w:r>
        <w:t xml:space="preserve"> Ecological theory predicts close relationships between macroclimate and functional traits. Yet, global climatic gradients correlate only weakly with the trait composition of local plant communities, suggesting that important factors have been ignored. Here, we investigate the consistency of climate-trait relationships for plant communities in European habitats. Assuming that local factors are better accounted for in more narrowly defined habitats, we assigned &gt; 300,000 vegetation plots to hierarchically classified habitats and modelled the effects of climate on the community-weighted means of four key functional traits using generalized additive models. We found that the predictive power of climate increased from broadly to narrowly defined habitats for specific leaf area and root length, but not for plant height and seed mass. Although macroclimate generally predicted the distribution of all traits, its effects varied, with habitat-specificity increasing toward more narrowly defined habitats. We conclude that macroclimate is an important determinant of terrestrial plant communities, but future predictions of climatic effects must consider how habitats are defined.</w:t>
      </w:r>
    </w:p>
    <w:p>
      <w:pPr/>
      <w:r>
        <w:rPr>
          <w:b/>
        </w:rPr>
        <w:t>POSSIBLE 2022:</w:t>
      </w:r>
      <w:r>
        <w:t xml:space="preserve"> 21st Century alpine climate change — https://doi.org/10.1007/s00382-022-06303-3</w:t>
      </w:r>
    </w:p>
    <w:p>
      <w:pPr/>
      <w:r>
        <w:rPr>
          <w:b/>
        </w:rPr>
        <w:t>Shared claim-specific concepts:</w:t>
      </w:r>
      <w:r>
        <w:t xml:space="preserve"> strong, climate, two, main, emission, show;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2021:</w:t>
      </w:r>
      <w:r>
        <w:t xml:space="preserve"> Assessing the Economic Structure, Climate Change and Decarbonisation in Europe — https://doi.org/10.1007/s41748-021-00232-7</w:t>
      </w:r>
    </w:p>
    <w:p>
      <w:pPr/>
      <w:r>
        <w:rPr>
          <w:b/>
        </w:rPr>
        <w:t>Shared claim-specific concepts:</w:t>
      </w:r>
      <w:r>
        <w:t xml:space="preserve"> assuming, strong, climate, mitigation, emission, reduction; EU scope visible. This is a provisional connection, not an outcome finding.</w:t>
      </w:r>
    </w:p>
    <w:p>
      <w:pPr>
        <w:pStyle w:val="SourceNote"/>
      </w:pPr>
      <w:r>
        <w:rPr>
          <w:b/>
        </w:rPr>
        <w:t>Available abstract (not full text):</w:t>
      </w:r>
      <w:r>
        <w:t xml:space="preserve">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pPr/>
      <w:r>
        <w:rPr>
          <w:b/>
        </w:rPr>
        <w:t>POSSIBLE 2021:</w:t>
      </w:r>
      <w:r>
        <w:t xml:space="preserve"> Emergent vulnerability to climate-driven disturbances in European forests — https://doi.org/10.1038/s41467-021-21399-7</w:t>
      </w:r>
    </w:p>
    <w:p>
      <w:pPr/>
      <w:r>
        <w:rPr>
          <w:b/>
        </w:rPr>
        <w:t>Shared claim-specific concepts:</w:t>
      </w:r>
      <w:r>
        <w:t xml:space="preserve"> climate, mitigation, strategies, reduction, period, show; EU scope visible. This is a provisional connection, not an outcome finding.</w:t>
      </w:r>
    </w:p>
    <w:p>
      <w:pPr>
        <w:pStyle w:val="SourceNote"/>
      </w:pPr>
      <w:r>
        <w:rPr>
          <w:b/>
        </w:rPr>
        <w:t>Available abstract (not full text):</w:t>
      </w:r>
      <w:r>
        <w:t xml:space="preserve">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climate, mitigation, only;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strong, climate, period, projections, show, clear;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pStyle w:val="Heading2"/>
      </w:pPr>
      <w:r>
        <w:t>832.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r>
        <w:rPr>
          <w:b/>
        </w:rPr>
        <w:t>POSSIBLE 2019:</w:t>
      </w:r>
      <w:r>
        <w:t xml:space="preserve"> Europe as an Idea, Will, and Profanation — https://doi.org/10.17265/2159-5313/2019.11.001</w:t>
      </w:r>
    </w:p>
    <w:p>
      <w:pPr/>
      <w:r>
        <w:rPr>
          <w:b/>
        </w:rPr>
        <w:t>Shared claim-specific concepts:</w:t>
      </w:r>
      <w:r>
        <w:t xml:space="preserve"> reason, upon, about; EU scope visible. This is a provisional connection, not an outcome finding.</w:t>
      </w:r>
    </w:p>
    <w:p>
      <w:pPr>
        <w:pStyle w:val="SourceNote"/>
      </w:pPr>
      <w:r>
        <w:rPr>
          <w:b/>
        </w:rPr>
        <w:t>Available abstract (not full text):</w:t>
      </w:r>
      <w:r>
        <w:t xml:space="preserve"> Author reflects on Europe as an idea, will and profanation. He argues that Europe has never crossed the threshold of sheer imagination, i.e. it has never been realized and it is for this reason that it remains a fantasy haunting the modern politics. The phantasm that Europe is – the author claims – turned out to be too weak to allow for the translation of the symbolic into a material dimension of Europe. The author ponders upon the reasons of this weakness to conclude that Europe is not only devoid of imagination, but it is also devoid of will (power) in its preference of the forms of as-if existence (a type of le bovarisme) which exercise the ability to imitate and to consider one as a different self. Following Agamben, the author arrives at the conclusion that the only remaining way of thinking about Europe is in terms of profanation whereby the contents of what was previously ascribed to the realm of the sacred is now accessible to all within the community. Yet, without desecration the original phantasm that Europe is would remain unchallenged and it would resist any attempts of its reconfiguration. Profanation should therefore be conceived as the necessary solicitation in order to create and construe a sort of “anti-device” or “anti-Europe”. Such despoliation of Europe restores the otherwise lost child’s seriousness, the seriousness observed in children playing war games. T</w:t>
      </w:r>
    </w:p>
    <w:p>
      <w:pPr/>
      <w:r>
        <w:rPr>
          <w:b/>
        </w:rPr>
        <w:t>POSSIBLE 2019:</w:t>
      </w:r>
      <w:r>
        <w:t xml:space="preserve"> Get It Right This Time? Leaving the Periphery of the European Economic Development — https://doi.org/10.1007/978-3-030-11361-2_4</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Abstract In 1990, the Central and East European countries started, at approximately the same level, the race to change their economic systems from communism to capitalism, which in turn was undergoing full-fledged mutations. Almost three decades later, the gap between Romania and other ex-communist, presently EU member states, is wider. Moreover, after joining the European Union, Romania did not surmount the inequalities, so in 2016 it was a paradoxical country, enjoying the highest rate of economic growth in the UE but, at the same time, ranking systematically low in welfare and development ratings. How can one explain such a meandering evolution? How is it that a country of significant natural resources and a development level like the others’ in the region, is behind three decades later? What can still be done, in the context of a globalized economy, undergoing higher and higher and unexpected pressure, where the big tend to become ever bigger? Decision makers might answer that the economy needed to be systemically changed to contain high value, ripple-effect activities. Yet this would involve structural investments in education and R&amp;D and attracting funds for production capacities that do not rely only on cheap labour at a time when Romania is facing a constant demographic decline, a lack of domestic capital and a deterioration in the systems of education, research and tra</w:t>
      </w:r>
    </w:p>
    <w:p>
      <w:pPr/>
      <w:r>
        <w:rPr>
          <w:b/>
        </w:rPr>
        <w:t>POSSIBLE 2018:</w:t>
      </w:r>
      <w:r>
        <w:t xml:space="preserve"> Molecular Epidemiology and Evolution of European Bat Lyssavirus 2 — https://doi.org/10.3390/ijms19010156</w:t>
      </w:r>
    </w:p>
    <w:p>
      <w:pPr/>
      <w:r>
        <w:rPr>
          <w:b/>
        </w:rPr>
        <w:t>Shared claim-specific concepts:</w:t>
      </w:r>
      <w:r>
        <w:t xml:space="preserve"> presently, rate, level;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Examining the Effects of Exogenous Ketones on Exercise Metabolism and Performance in Male Varsity Athletes — https://openalex.org/W2811360614</w:t>
      </w:r>
    </w:p>
    <w:p>
      <w:pPr/>
      <w:r>
        <w:rPr>
          <w:b/>
        </w:rPr>
        <w:t>Shared claim-specific concepts:</w:t>
      </w:r>
      <w:r>
        <w:t xml:space="preserve"> exogenous, reached, maintained; EU scope not established. This is a provisional connection, not an outcome finding.</w:t>
      </w:r>
    </w:p>
    <w:p>
      <w:pPr>
        <w:pStyle w:val="SourceNote"/>
      </w:pPr>
      <w:r>
        <w:rPr>
          <w:b/>
        </w:rPr>
        <w:t>Available abstract (not full text):</w:t>
      </w:r>
      <w:r>
        <w:t xml:space="preserve"> Previous research has shown that administration of exogenous acetoacetate (AcAc), beta-hydroxybutyrate (BHB) and glucose in a perfused rodent heart model can increase cardiac output while reducing oxygen uptake compared with glucose alone. With this apparent improvement in mechanical efficiency induced by AcAc and BHB, there is speculation that they may also enhance exercise performance in athletes. Although AcAc and BHB can be produced endogenously, exogenous BHB supplements have recently become commercially available in the form of ketone mineral salts (KS). Research to date has not found any performance enhancing effects of an acute dose of KS but the effects of more regular KS supplementation on whole body metabolism and exercise performance are unknown. Furthermore, medium-chain triglycerides (MCT) have recently been added to KS supplements, as the administration of KS plus MCT in rodents has been shown to increase blood BHB concentrations compared to KS administration alone. Therefore, the overall purpose of this study was to examine the hypotheses that a twice-daily KS plus MCT supplementation protocol would increase mechanical efficiency and improve exercise performance during a submaximal time to exhaustion (TTE) cycling protocol and a time trial (TT) cycling protocol in male varsity athletes. A single-blinded placebo-controlled crossover design was employed where part</w:t>
      </w:r>
    </w:p>
    <w:p>
      <w:pPr>
        <w:pStyle w:val="Heading2"/>
      </w:pPr>
      <w:r>
        <w:t>833.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2025:</w:t>
      </w:r>
      <w:r>
        <w:t xml:space="preserve"> An innovative methodology in analyzing certain pendulum oscillators — https://doi.org/10.1038/s41598-025-99645-x</w:t>
      </w:r>
    </w:p>
    <w:p>
      <w:pPr/>
      <w:r>
        <w:rPr>
          <w:b/>
        </w:rPr>
        <w:t>Shared claim-specific concepts:</w:t>
      </w:r>
      <w:r>
        <w:t xml:space="preserve"> issues, methodology, approach, assess; EU scope not established. This is a provisional connection, not an outcome finding.</w:t>
      </w:r>
    </w:p>
    <w:p>
      <w:pPr>
        <w:pStyle w:val="SourceNote"/>
      </w:pPr>
      <w:r>
        <w:rPr>
          <w:b/>
        </w:rPr>
        <w:t>Available abstract (not full text):</w:t>
      </w:r>
      <w:r>
        <w:t xml:space="preserve"> Pendulum oscillators study harmonic motion, energy conservation, and nonlinear dynamics, providing insights into mechanical vibrations, wave phenomena, weather patterns, and quantum mechanics, with real-world applications in engineering, seismology, and clock mechanisms. The present study addresses three distinct issues related to SPs; a charged magnetic spherical simple pendulum (SP), and a SP composed of heavy cylinders that roll freely in a horizontal plane, and a nonlinear model depicting the motion of a damped SP in a fluid flow. The SPs are analyzed via an innovative technology known as the non-perturbative approach (NPA), which is based on He's frequency formula (HFF). This advanced approach linearizes a nonlinear ordinary differential equation (ODE), enabling more straightforward analysis and solution. As-well known, implementing the NPA has several advantages, chief among them the removal of the constraints associated with managing Taylor expansions. Consequently, there have been no augmentations to the current restorative forces. Secondly, the novel method enables us to assess the stability criteria of the system away from the traditional perturbation techniques. The numerical comparison of nonlinear ODEs into linear ones using Mathematica Software (MS) is conducted to validate this innovative method. An analysis of the two responses demonstrates a strong concordance,</w:t>
      </w:r>
    </w:p>
    <w:p>
      <w:pPr/>
      <w:r>
        <w:rPr>
          <w:b/>
        </w:rPr>
        <w:t>POSSIBLE 2025:</w:t>
      </w:r>
      <w:r>
        <w:t xml:space="preserve"> METHODOLOGICAL BASIS FOR DEVELOPING DIGITAL ASTRONOMY CONTENT IN PEDAGOGICAL UNIVERSITIES — https://openalex.org/W7220225929</w:t>
      </w:r>
    </w:p>
    <w:p>
      <w:pPr/>
      <w:r>
        <w:rPr>
          <w:b/>
        </w:rPr>
        <w:t>Shared claim-specific concepts:</w:t>
      </w:r>
      <w:r>
        <w:t xml:space="preserve"> analyzes, methodological, content; EU scope not established. This is a provisional connection, not an outcome finding.</w:t>
      </w:r>
    </w:p>
    <w:p>
      <w:pPr>
        <w:pStyle w:val="SourceNote"/>
      </w:pPr>
      <w:r>
        <w:rPr>
          <w:b/>
        </w:rPr>
        <w:t>Available abstract (not full text):</w:t>
      </w:r>
      <w:r>
        <w:t xml:space="preserve"> This article analyzes methodological foundations for developing digital astronomy content in pedagogical higher education institutions. Stages of development of digital materials, their organization based on didactic principles, and the use of visual and interactive software are considered. Particular attention is attended to the role of digital content in improving the effectiveness of education and supporting of students’ independent cognitive activity.</w:t>
      </w:r>
    </w:p>
    <w:p>
      <w:pPr/>
      <w:r>
        <w:rPr>
          <w:b/>
        </w:rPr>
        <w:t>POSSIBLE 2025:</w:t>
      </w:r>
      <w:r>
        <w:t xml:space="preserve"> FROM THE EXPERIENCE OF DEVELOPING HISTORICAL-METHODOLOGICAL DIDACTIC CONTENT ON THEORY OF RELATIVITY — https://doi.org/10.48081/wjyr5545</w:t>
      </w:r>
    </w:p>
    <w:p>
      <w:pPr/>
      <w:r>
        <w:rPr>
          <w:b/>
        </w:rPr>
        <w:t>Shared claim-specific concepts:</w:t>
      </w:r>
      <w:r>
        <w:t xml:space="preserve"> methodological, content, systems, methodology, approach, first; EU scope not established. This is a provisional connection, not an outcome finding.</w:t>
      </w:r>
    </w:p>
    <w:p>
      <w:pPr>
        <w:pStyle w:val="SourceNote"/>
      </w:pPr>
      <w:r>
        <w:rPr>
          <w:b/>
        </w:rPr>
        <w:t>Available abstract (not full text):</w:t>
      </w:r>
      <w:r>
        <w:t xml:space="preserve"> The relevance of this research is determined by the fact that the quality of training specialists in physics for science and education depends not only on their level of specialized knowledge but also on their cognitive thinking and metacognitive skills. In the digital era, the development of educational content for specialized courses aligned with modern constructivist didactic systems remains a pressing challenge. These systems aim to enhance the learning process through the integration of historical and methodological material. However, in the current practice of scientific and professional education, the application of metacognitive learning technologies is rare due to the lack of systematized historical-methodological content based on primary sources and methodological literature. The study aims to develop historical-methodological didactic content for a specialized course section on “Einstein’s Theory of Relativity.” The theoretical basis of the research involves the analysis of primary sources on the topic using a cognitive approach. Research Results: 1) based on a review and analysis of events from the first half of the 20th century, which saw a revolutionary leap in the development of physics content and methodology, historical facts concerning the emergence, development, and formulation of the fundamental principles of Einstein’s theory of relativity were selected and</w:t>
      </w:r>
    </w:p>
    <w:p>
      <w:pPr/>
      <w:r>
        <w:rPr>
          <w:b/>
        </w:rPr>
        <w:t>POSSIBLE 2025:</w:t>
      </w:r>
      <w:r>
        <w:t xml:space="preserve"> THE CONTENT OF FOREIGN LANGUAGE TEACHING IN THE METHODOLOGY OF TEACHING LANGUAGES AND EDUCATION TECHNOLOGIES — https://doi.org/10.5281/zenodo.17967534</w:t>
      </w:r>
    </w:p>
    <w:p>
      <w:pPr/>
      <w:r>
        <w:rPr>
          <w:b/>
        </w:rPr>
        <w:t>Shared claim-specific concepts:</w:t>
      </w:r>
      <w:r>
        <w:t xml:space="preserve"> content, design, methodology, framework; EU scope not established. This is a provisional connection, not an outcome finding.</w:t>
      </w:r>
    </w:p>
    <w:p>
      <w:pPr>
        <w:pStyle w:val="SourceNote"/>
      </w:pPr>
      <w:r>
        <w:rPr>
          <w:b/>
        </w:rPr>
        <w:t>Available abstract (not full text):</w:t>
      </w:r>
      <w:r>
        <w:t xml:space="preserve"> This article examines the essential components of foreign language teaching within the framework of modern language teaching methodology and educational technologies. It explores theoretical foundations, principles, and practical aspects that shape the design of foreign language curricula. The integration of communicative, cognitive, sociocultural, and technological approaches is analyzed in order to define how content is selected, organized, and delivered in contemporary classrooms. Particular attention is given to the development of linguistic and communicative competence, the role of cultural knowledge, the incorporation of digital tools, and the importance of learner-centered instruction. By synthesizing current research and best practices, the article provides insights into how foreign language teaching content can be optimized to meet the needs of 21st-century learners.</w:t>
      </w:r>
    </w:p>
    <w:p>
      <w:pPr/>
      <w:r>
        <w:rPr>
          <w:b/>
        </w:rPr>
        <w:t>POSSIBLE 2025:</w:t>
      </w:r>
      <w:r>
        <w:t xml:space="preserve"> Methodology for studying images of the future and the place in it of sociolinguistic analysis of digital content — https://doi.org/10.17223/15617793/510/8</w:t>
      </w:r>
    </w:p>
    <w:p>
      <w:pPr/>
      <w:r>
        <w:rPr>
          <w:b/>
        </w:rPr>
        <w:t>Shared claim-specific concepts:</w:t>
      </w:r>
      <w:r>
        <w:t xml:space="preserve"> methodological, content, methodology, developed; EU scope not established. This is a provisional connection, not an outcome finding.</w:t>
      </w:r>
    </w:p>
    <w:p>
      <w:pPr>
        <w:pStyle w:val="SourceNote"/>
      </w:pPr>
      <w:r>
        <w:rPr>
          <w:b/>
        </w:rPr>
        <w:t>Available abstract (not full text):</w:t>
      </w:r>
      <w:r>
        <w:t xml:space="preserve"> The authors of the article aim to present existing methodological approaches to the study of images of the future, to analyze their connection with the research objectives and the materials used. The authors introduce readers to the developed and tested methodology of a sociolinguistic analysis of information flows on the Internet, thematically oriented to the image of the future. The article presents the results of a study conducted in November, 2023, and January, 2024. The database included 50,036,592 tokens. The results of the study revealed both positive and negative semantic accents, which turned out to be the most significant for the participants in the discussions. The research strategy aimed at fixing the "information waves" and the reaction to them allows us to identify the main content orientations of the idea of the future. In addition, this strategy makes possible to reveal the actors of these ideas, on the one hand, and to track their reaction to the proposed models of the future, on the other hand. Thus, according to the authors, this method makes it possible to get closer to the solution of the issue of the principles of the emergence of images of the future as phenomena of public consciousness. The presented methods have advantages such as the possibility of significantly reducing the number of analysis units by isolating information waves, as well as the abilit</w:t>
      </w:r>
    </w:p>
    <w:p>
      <w:pPr/>
      <w:r>
        <w:rPr>
          <w:b/>
        </w:rPr>
        <w:t>POSSIBLE 2025:</w:t>
      </w:r>
      <w:r>
        <w:t xml:space="preserve"> METHODOLOGY FOR ANALYZING AND EVALUATING LESSONS — https://doi.org/10.33514/1694-7851-2025-4/2-200-209</w:t>
      </w:r>
    </w:p>
    <w:p>
      <w:pPr/>
      <w:r>
        <w:rPr>
          <w:b/>
        </w:rPr>
        <w:t>Shared claim-specific concepts:</w:t>
      </w:r>
      <w:r>
        <w:t xml:space="preserve"> methodological, content, methodology, framework; EU scope not established. This is a provisional connection, not an outcome finding.</w:t>
      </w:r>
    </w:p>
    <w:p>
      <w:pPr>
        <w:pStyle w:val="SourceNote"/>
      </w:pPr>
      <w:r>
        <w:rPr>
          <w:b/>
        </w:rPr>
        <w:t>Available abstract (not full text):</w:t>
      </w:r>
      <w:r>
        <w:t xml:space="preserve"> One of the main goals of the education system is to provide students with deep, solid, and meaningful knowledge, as well as to develop a structured system of skills and competencies through the study of each subject. This process creates the conditions necessary for students’ intellectual, social, and spiritual development. The implementation of this goal requires well-thoughtout lesson content, proper planning, methodological consistency, and diversity in teaching forms and methods. Therefore, along with organizing the lesson effectively, an important aspect of a teacher’s professional activity is the analysis of the lesson’s progress and effectiveness. This article briefly examines the objectives of lesson analysis, an approximate plan of questions for teachers’ selfassessment of their lessons, the stages of lesson analysis, and a suggested framework for a comprehensive psychological and pedagogical analysis. In the modern educational process, the lesson remains the primary form of active interaction between teacher and student. Each lesson integrates the goals of education, upbringing, and personal development in close interrelation. However, achieving these goals requires a deep and comprehensive analysis of the lesson.</w:t>
      </w:r>
    </w:p>
    <w:p>
      <w:pPr/>
      <w:r>
        <w:rPr>
          <w:b/>
        </w:rPr>
        <w:t>POSSIBLE 2025:</w:t>
      </w:r>
      <w:r>
        <w:t xml:space="preserve"> A Cybersecurity Maturity Model for Digitally Transformed Organizations — https://doi.org/10.1002/smr.70074</w:t>
      </w:r>
    </w:p>
    <w:p>
      <w:pPr/>
      <w:r>
        <w:rPr>
          <w:b/>
        </w:rPr>
        <w:t>Shared claim-specific concepts:</w:t>
      </w:r>
      <w:r>
        <w:t xml:space="preserve"> five, transformed, systems, methodology, assessment, developed; EU scope not established. This is a provisional connection, not an outcome finding.</w:t>
      </w:r>
    </w:p>
    <w:p>
      <w:pPr>
        <w:pStyle w:val="SourceNote"/>
      </w:pPr>
      <w:r>
        <w:rPr>
          <w:b/>
        </w:rPr>
        <w:t>Available abstract (not full text):</w:t>
      </w:r>
      <w:r>
        <w:t xml:space="preserve"> ABSTRACT Cybersecurity is a critical component of digital transformation, as the two must be integrated to enable business modernization and the adoption of innovative technologies while ensuring system security. Modern technologies introduce increasingly complex threats as more data is stored, transmitted, and processed across systems. Threats include the violation or misuse of data, such as data corruption, data theft, or a privacy violation. Determining if an organization applies the best practices requires measurements using maturity models. Several maturity models with different goals and qualities have been developed. However, no cybersecurity maturity model is related to digitally enabled or transforming organizations. The objective of this study is to develop a model that measures cybersecurity maturity for digitally transformed organizations. The model aims to provide a customizable assessment method for organizations of different sizes and domains. Two multivocal literature reviews (MLRs) were conducted to identify the available maturity models and best practices from formal and grey literature. After analyzing 165 studies, seven cybersecurity categories, as the capability areas, and 22 practice areas, were identified. Moreover, an assessment tool that supports self‐assessment was developed. Finally, the model was evaluated through five case studies and expert judgmen</w:t>
      </w:r>
    </w:p>
    <w:p>
      <w:pPr>
        <w:pStyle w:val="Heading2"/>
      </w:pPr>
      <w:r>
        <w:t>834.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r>
        <w:rPr>
          <w:b/>
        </w:rPr>
        <w:t>POSSIBLE 2017:</w:t>
      </w:r>
      <w:r>
        <w:t xml:space="preserve"> World Development Report 2018: Learning to Realize Education's Promise — https://doi.org/10.1596/978-1-4648-1096-1</w:t>
      </w:r>
    </w:p>
    <w:p>
      <w:pPr/>
      <w:r>
        <w:rPr>
          <w:b/>
        </w:rPr>
        <w:t>Shared claim-specific concepts:</w:t>
      </w:r>
      <w:r>
        <w:t xml:space="preserve"> learning, school; EU scope not established. This is a provisional connection, not an outcome finding.</w:t>
      </w:r>
    </w:p>
    <w:p>
      <w:pPr>
        <w:pStyle w:val="SourceNote"/>
      </w:pPr>
      <w:r>
        <w:rPr>
          <w:b/>
        </w:rPr>
        <w:t>Available abstract (not full text):</w:t>
      </w:r>
      <w:r>
        <w:t xml:space="preserve"> Every year, the World Bank's World Development Report takes on a topic of central importance to global development. The 2018 Report, Learning to Realize Education's Promise, is the first ever devoted entirely to education. Now is an excellent time for it: education has long been critical for human welfare, but is even more so in a time of rapid economic change. The Report explores four main themes. First, education's promise: Education is a powerful instrument for eradicating poverty and promoting shared prosperity, but fulfilling its potential requires better policies - both within and outside the education system. Second, the learning crisis: Despite gains in education access, recent learning assessments show that many young people around the world, especially from poor families, are leaving school unequipped with even the most foundational skills they need for life. At the same time, internationally comparable learning assessments show that skills in many middle-income countries lag far behind what those countries aspire to. Third, promising interventions to improve learning: Research from areas such as brain science, pedagogical innovations, or school management have identified interventions that promote learning by ensuring that learners are prepared, that teachers are skilled as well as motivated, and that other inputs support the teacher-learner relationship. Fourth, lea</w:t>
      </w:r>
    </w:p>
    <w:p>
      <w:pPr>
        <w:pStyle w:val="Heading2"/>
      </w:pPr>
      <w:r>
        <w:t>835.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2025:</w:t>
      </w:r>
      <w:r>
        <w:t xml:space="preserve"> Potential systemic availability classification of chemicals for safety assessment — https://doi.org/10.1016/j.envint.2025.109636</w:t>
      </w:r>
    </w:p>
    <w:p>
      <w:pPr/>
      <w:r>
        <w:rPr>
          <w:b/>
        </w:rPr>
        <w:t>Shared claim-specific concepts:</w:t>
      </w:r>
      <w:r>
        <w:t xml:space="preserve"> based, systemic, assessment, approach, framework; EU scope visible. This is a provisional connection, not an outcome finding.</w:t>
      </w:r>
    </w:p>
    <w:p>
      <w:pPr>
        <w:pStyle w:val="SourceNote"/>
      </w:pPr>
      <w:r>
        <w:rPr>
          <w:b/>
        </w:rPr>
        <w:t>Available abstract (not full text):</w:t>
      </w:r>
      <w:r>
        <w:t xml:space="preserve"> The assessment of chemical safety is essential for protecting human health, yet current approaches have severe limitations. They are unable to address the rapidly growing number of substances requiring evaluation and further rely on animal testing, which the public expects to be phased out for ethical reasons. To address this, the European Partnership for Alternative Approaches to Animal Testing (EPAA) proposed the use of a novel framework for the classification of systemic toxicity based on new approach methodologies. One dimension of this framework is the grouping of substances into different classes of Potential Systemic Availability (PSA) concern (low, medium, high). But so far it remained conceptually and practically unclear how this classification can be achieved. Here, we outline the theoretical considerations for a health-protective definition of PSA concern classes and present a method for the quantitative evaluation of this property. Using high-throughput physiologically based kinetic modelling, we are able to classify the PSA concerns of 139 out of 150 EPAA NAM Designathon compounds. Further, we manually annotate these compounds to evaluate the plausibility of predicted classifications against expert judgement. Our results outline under which circumstances it is appropriate to prioritise or deprioritise chemicals due to their toxicokinetic properties. However, we fin</w:t>
      </w:r>
    </w:p>
    <w:p>
      <w:pPr/>
      <w:r>
        <w:rPr>
          <w:b/>
        </w:rPr>
        <w:t>POSSIBLE 2025:</w:t>
      </w:r>
      <w:r>
        <w:t xml:space="preserve"> The Opinions of Chemistry Teachers and Chemistry Teaching Students on Systemic Assessment — https://doi.org/10.1088/1742-6596/3037/1/012018</w:t>
      </w:r>
    </w:p>
    <w:p>
      <w:pPr/>
      <w:r>
        <w:rPr>
          <w:b/>
        </w:rPr>
        <w:t>Shared claim-specific concepts:</w:t>
      </w:r>
      <w:r>
        <w:t xml:space="preserve"> based, systemic, assessment, approach; EU scope not established. This is a provisional connection, not an outcome finding.</w:t>
      </w:r>
    </w:p>
    <w:p>
      <w:pPr>
        <w:pStyle w:val="SourceNote"/>
      </w:pPr>
      <w:r>
        <w:rPr>
          <w:b/>
        </w:rPr>
        <w:t>Available abstract (not full text):</w:t>
      </w:r>
      <w:r>
        <w:t xml:space="preserve"> Abstract The paper deals with the education strategy referred to as SATL (Systemic Approach in Teaching and Learning). This approach involves systemic assessment. It is based on systemic tasks in which students are supposed to consider multiple concepts at once and apply them in a new situation, which requires synthesis to formulate a complex answer. The research goal was to collect the opinions of chemistry teachers and chemistry teaching students on the implementation of systemic tasks in teaching. For this purpose, worksheets with different types of systemic tasks were created (e.g. systemic synthesis, systemic analysis, multiple choice, true/false, matching, arranging) for the selected topics of inorganic (sodium and its compounds, calcium and its compounds) and organic (e.g. hydrocarbons, hydroxy derivatives, carboxylic acids) chemistry. 89 teachers implemented the worksheets in their teaching over two school years (2019 – 2021) with a sample of 2136 2nd-year grammar school students. Subsequently, these teachers expressed their views and attitudes towards this type of task in a questionnaire. 40 chemistry teaching students were learning about systemic tasks and performing them during the Chemistry Didactics course over two academic years (2019 – 2021). Subsequently, they expressed their opinions on and attitudes to these tasks in a questionnaire developed by the authors. T</w:t>
      </w:r>
    </w:p>
    <w:p>
      <w:pPr/>
      <w:r>
        <w:rPr>
          <w:b/>
        </w:rPr>
        <w:t>POSSIBLE 2025:</w:t>
      </w:r>
      <w:r>
        <w:t xml:space="preserve"> Polycrisis and Systemic Risk: Assessment, Governance, and Communication — https://doi.org/10.1007/s13753-025-00636-3</w:t>
      </w:r>
    </w:p>
    <w:p>
      <w:pPr/>
      <w:r>
        <w:rPr>
          <w:b/>
        </w:rPr>
        <w:t>Shared claim-specific concepts:</w:t>
      </w:r>
      <w:r>
        <w:t xml:space="preserve"> based, systemic, assessment; EU scope not established. This is a provisional connection, not an outcome finding.</w:t>
      </w:r>
    </w:p>
    <w:p>
      <w:pPr>
        <w:pStyle w:val="SourceNote"/>
      </w:pPr>
      <w:r>
        <w:rPr>
          <w:b/>
        </w:rPr>
        <w:t>Available abstract (not full text):</w:t>
      </w:r>
      <w:r>
        <w:t xml:space="preserve"> Abstract The emphasis of integrated disaster and risk research has shifted from topical analysis, such as dealing with natural hazard-related disasters, technological accidents, or environmental crises, to a comprehensive analysis of interconnected and mutually interactive risk sources and crises. This interaction has often been framed in the language of “polycrisis” indicating the potentially amplifying and cascading effects of each crisis from one domain to the next. At the same time, the literature on systemic risk also includes the effects of multiple, interacting risks on the functionality and survivability of entire systems such as climate stability, cybersecurity, or energy production. This review article provides first a summary of the literature on both concepts, explicates the commonalities and differences and develops a risk and crisis concept that builds a bridge between the two research traditions. Based on this concept, the review delineates the implementations of a joint understanding of polycrisis and systemic risk for risk assessment, risk and crisis governance, and effective communication to different audiences.</w:t>
      </w:r>
    </w:p>
    <w:p>
      <w:pPr/>
      <w:r>
        <w:rPr>
          <w:b/>
        </w:rPr>
        <w:t>POSSIBLE 2025:</w:t>
      </w:r>
      <w:r>
        <w:t xml:space="preserve"> Smart carbon–neutral development: Embracing complexity with multi-level governance and convolution — https://doi.org/10.1016/j.worlddev.2025.107026</w:t>
      </w:r>
    </w:p>
    <w:p>
      <w:pPr/>
      <w:r>
        <w:rPr>
          <w:b/>
        </w:rPr>
        <w:t>Shared claim-specific concepts:</w:t>
      </w:r>
      <w:r>
        <w:t xml:space="preserve"> systemic, approach, framework, process; EU scope visible. This is a provisional connection, not an outcome finding.</w:t>
      </w:r>
    </w:p>
    <w:p>
      <w:pPr>
        <w:pStyle w:val="SourceNote"/>
      </w:pPr>
      <w:r>
        <w:rPr>
          <w:b/>
        </w:rPr>
        <w:t>Available abstract (not full text):</w:t>
      </w:r>
      <w:r>
        <w:t xml:space="preserve"> • The EU Missions framework drives transformative and systemic changes essential for achieving both mitigation and adaptation outcomes. • Thessaloniki’s Net Zero Plan uses tech, governance and management solutions across sectors, applying a systems-innovation approach and multiple levers to cut emissions. • Enhancing our understanding of spatial impacts requires continuous recalibration of governance strategies to ensure effective policy implementation. • Path-dependence in both actions and governance models poses limitations, highlighting the need for a systems perspective in smart carbon–neutral development. • Policy design should be seen as a convolution process—where actions and governance models merge—rather than as separate entities that need to be linked or combined. This paper delves into the current EU policy and strategy for advancing smart, carbon–neutral development across Europe, as outlined by the EU Missions framework. This framework aims to boost the resilience to climate change of at least 150 European regions and communities and facilitate the transformation of 100 cities into climate-neutral and smart urban centers by 2030. Our primary objective is to explore potential synergies between theoretical concepts and their practical application in realizing smart carbon–neutral development. Specifically, we examine the challenges associated with scaling processes i</w:t>
      </w:r>
    </w:p>
    <w:p>
      <w:pPr/>
      <w:r>
        <w:rPr>
          <w:b/>
        </w:rPr>
        <w:t>POSSIBLE 2025:</w:t>
      </w:r>
      <w:r>
        <w:t xml:space="preserve"> Advances in automated governance: Mitigating operational and systemic risks in multi-country delivery networks — https://doi.org/10.51594/gjabr.v3i12.219</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pStyle w:val="Heading2"/>
      </w:pPr>
      <w:r>
        <w:t>836.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2023:</w:t>
      </w:r>
      <w:r>
        <w:t xml:space="preserve"> Factors Affecting Gastric Perforation Patient Outcome with History of Arthritis and Long Term Use of NSAIDs in Dr. Kariadi Semarang Period 2020 – 2022 — https://doi.org/10.36408/mhjcm.v10i3.978</w:t>
      </w:r>
    </w:p>
    <w:p>
      <w:pPr/>
      <w:r>
        <w:rPr>
          <w:b/>
        </w:rPr>
        <w:t>Shared claim-specific concepts:</w:t>
      </w:r>
      <w:r>
        <w:t xml:space="preserve"> gives, background, factors, long-term; EU scope not established. This is a provisional connection, not an outcome finding.</w:t>
      </w:r>
    </w:p>
    <w:p>
      <w:pPr>
        <w:pStyle w:val="SourceNote"/>
      </w:pPr>
      <w:r>
        <w:rPr>
          <w:b/>
        </w:rPr>
        <w:t>Available abstract (not full text):</w:t>
      </w:r>
      <w:r>
        <w:t xml:space="preserve"> Background: The incidence of gastric perforation gives a high mortality outcome. The second most common cause of gastric perforation is long-term use of NSAIDs. In cases of arthritis during the COVID-19 pandemic, a conservative therapeutic approach and administration of NSAIDs are preferred. Due to this, researchers want to know the factors affecting gastric perforation cause by NSAIDs. Method: An analytic descriptive study with a retrospective cohort study design, using electronic medical records of patients at RSUP Dr. Kariadi Semarang from January 2020 - December 2022. Data collected was in the form of demographics, diagnoses, procedures, preoperative conditions, scoring system, and outcome. Results: PULP score, one of prognostic factor, has a good level of significance compared to other scoring systems in determining the prognostic mortality of patients with gastric perforation. The combination of variables between the type of NSAIDs and the type of arthritis has a direct correlation with a positive inter-variable power of 86.7% and a significance of 0.049 on patient outcome. Conclusion: NSAIDs pose a risk of gastric perforation in long-term use. tNSAIDs carry a higher risk inducing gastric perforation than selective NSAIDs.</w:t>
      </w:r>
    </w:p>
    <w:p>
      <w:pPr/>
      <w:r>
        <w:rPr>
          <w:b/>
        </w:rPr>
        <w:t>POSSIBLE 2022:</w:t>
      </w:r>
      <w:r>
        <w:t xml:space="preserve"> Long-Term Effects in Structures: background and recent developments — https://doi.org/10.21203/rs.3.rs-2009060/v1</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Abstract The article presents overview of selected long-term effects in civil-engineering structures. Those effects are usually neglected in standard engineering practice, but in some cases can be very important for mechanical resistance and safety of the structures. Main aspects of these phenomena are discussed, with three illustrative examples which accentuated why is important to take them into account.</w:t>
      </w:r>
    </w:p>
    <w:p>
      <w:pPr/>
      <w:r>
        <w:rPr>
          <w:b/>
        </w:rPr>
        <w:t>POSSIBLE 2022:</w:t>
      </w:r>
      <w:r>
        <w:t xml:space="preserve"> Active methodologies and ICT to prevent bullying. Main study background and contributions — https://doi.org/10.46661/ijeri.5222</w:t>
      </w:r>
    </w:p>
    <w:p>
      <w:pPr/>
      <w:r>
        <w:rPr>
          <w:b/>
        </w:rPr>
        <w:t>Shared claim-specific concepts:</w:t>
      </w:r>
      <w:r>
        <w:t xml:space="preserve"> gives, background, main, world; EU scope not established. This is a provisional connection, not an outcome finding.</w:t>
      </w:r>
    </w:p>
    <w:p>
      <w:pPr>
        <w:pStyle w:val="SourceNote"/>
      </w:pPr>
      <w:r>
        <w:rPr>
          <w:b/>
        </w:rPr>
        <w:t>Available abstract (not full text):</w:t>
      </w:r>
      <w:r>
        <w:t xml:space="preserve"> Bullying is a widespread problem that has caused great social alarm in recent years because of its serious effects on children. In the educational context it is one of the most common expressions of peer violence along with cyber-bullying. The aim of this research has been to analyse the scientific production about the prevention of school bullying through active methodologies and the use of ICTs in formal educational contexts. This study derives from a research project financed through the Ministry of Science, Innovation and Universities (FPU18/00676) and is the result of a bibliometric study, in which various current articles have been analysed through the application of different indicators. The results show that scientific productivity on this subject has proliferated in recent years, which gives a glimpse of the relevance given to these issues in the scientific community. Among the conclusions of this work, the advantages of the use of gamification and the use of digital applications such as Kahoot or digital comics, which allow students to simulate experiences that would occur in the real world in order to develop new skills, critical self-reflection and greater awareness of the problem, should be highlighted. In the same way, it is essential that teachers, through the use of these teaching strategies, promote the students' protagonism, their expectations towards learning</w:t>
      </w:r>
    </w:p>
    <w:p>
      <w:pPr/>
      <w:r>
        <w:rPr>
          <w:b/>
        </w:rPr>
        <w:t>POSSIBLE 2022:</w:t>
      </w:r>
      <w:r>
        <w:t xml:space="preserve"> Background* — https://doi.org/10.4324/9781003343653-2</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Methods of personality screening based on psychological tests arose in part from the attempt to exclude from combat those who might break down under its most severe stresses; the measurement of motivation was allied to the selection of suitable persons for promotion; the development of role theory to the need for an impersonal system of command and obedience. From the early 1950s onwards the systematic study of values began to gain momentum. To a few theorists it appeared, indeed, that insight into values might be the fundamental key to the understanding of human behaviour. In the natural sciences there have been two main views about the function of models. For positivists they serve simply as heuristic aids, and that is the end of matter. Realists, on the other hand, give them a more substantial function. In the social sciences, however, the function of models is more problematic. Even an approximate ‘fit’ between theory and fact is much harder to obtain.</w:t>
      </w:r>
    </w:p>
    <w:p>
      <w:pPr/>
      <w:r>
        <w:rPr>
          <w:b/>
        </w:rPr>
        <w:t>POSSIBLE 2022:</w:t>
      </w:r>
      <w:r>
        <w:t xml:space="preserve"> Risk Factors of Long-Term Care Insurance Certification in Japan: A Scoping Review — https://doi.org/10.3390/ijerph19042162</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This study aimed to review evidence on future long-term care associated with pre-existing factors among community-dwelling Japanese older adults. We systematically searched cohort and nested case-control studies published between 2000 and 2019 that assessed long-term care certification using the PubMed, CINAHL, and EMBASE databases. The relationship between long-term care insurance information and risk factors was investigated. The protocol was registered with the Open Science Framework. We extracted 91 studies for synthesis, including 84 prospective cohort studies, 1 retrospective cohort study, and 6 nested case-control studies. Certification for long-term care was classified into two endpoints: onset of functional disability and dementia. There were 72 studies that used long-term care certification as a proxy for functional disability, and 22 used long-term care information to indicate the onset of dementia. Common risk factors related to functional disability were physical function, frailty, and oral condition. Motor function and nutritional status were common risk factors for dementia. We found consistent associations between premorbid risk factors and functional disability and dementia. The accumulation of evidence on the incidence of long-term care and associated factors can aid the development of preventive measures. Future studies should aim to integrate this evidence.</w:t>
      </w:r>
    </w:p>
    <w:p>
      <w:pPr/>
      <w:r>
        <w:rPr>
          <w:b/>
        </w:rPr>
        <w:t>POSSIBLE 2020:</w:t>
      </w:r>
      <w:r>
        <w:t xml:space="preserve"> Adapting the Multilingual Assessment Instrument for Narratives (MAIN) to Torwali — https://doi.org/10.21248/zaspil.64.2020.583</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pPr/>
      <w:r>
        <w:rPr>
          <w:b/>
        </w:rPr>
        <w:t>POSSIBLE 2020:</w:t>
      </w:r>
      <w:r>
        <w:t xml:space="preserve"> Digital transformation: theoretical backgrounds of digital change — https://doi.org/10.15611/ms.2019.4.05</w:t>
      </w:r>
    </w:p>
    <w:p>
      <w:pPr/>
      <w:r>
        <w:rPr>
          <w:b/>
        </w:rPr>
        <w:t>Shared claim-specific concepts:</w:t>
      </w:r>
      <w:r>
        <w:t xml:space="preserve"> gives, background, main, trends, world; EU scope not established. This is a provisional connection, not an outcome finding.</w:t>
      </w:r>
    </w:p>
    <w:p>
      <w:pPr>
        <w:pStyle w:val="SourceNote"/>
      </w:pPr>
      <w:r>
        <w:rPr>
          <w:b/>
        </w:rPr>
        <w:t>Available abstract (not full text):</w:t>
      </w:r>
      <w:r>
        <w:t xml:space="preserve">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pPr>
        <w:pStyle w:val="Heading2"/>
      </w:pPr>
      <w:r>
        <w:t>837.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Design Futures: Cultivating Strategic Foresight Competencies in Design Education — https://doi.org/10.5772/intechopen.1007696</w:t>
      </w:r>
    </w:p>
    <w:p>
      <w:pPr/>
      <w:r>
        <w:rPr>
          <w:b/>
        </w:rPr>
        <w:t>Shared claim-specific concepts:</w:t>
      </w:r>
      <w:r>
        <w:t xml:space="preserve"> foresight, crucial, current; EU scope not established. This is a provisional connection, not an outcome finding.</w:t>
      </w:r>
    </w:p>
    <w:p>
      <w:pPr>
        <w:pStyle w:val="SourceNote"/>
      </w:pPr>
      <w:r>
        <w:rPr>
          <w:b/>
        </w:rPr>
        <w:t>Available abstract (not full text):</w:t>
      </w:r>
      <w:r>
        <w:t xml:space="preserve"> Future thinking and speculation practices can be seen as a crucial premise to approach solving a problem in an innovative way. It is profitable at circumstances in which challenges are complex. Future thinking incorporates two particular approaches: diverging and converging. It requires a flexible way of understanding, to come with different thoughts. This chapter reviews the literature crossing Strategic Foresight and Design disciplines with the accentuation put on how innovation design students, educators and design practitioners may engage with the future. Combining Foresight and Design, as part of Strategic Planning processes, can help the emergence of new possibilities, cultivate the incorporation of diverse stakeholders, and provide for continuous learning through experimentation by utilizing design approaches to attain more profound knowledge and arrangement around current reality. A framework was presented to integrate speculation in design education highlighting the significance of the strategic foresight approach and explaining the theoretical background behind creating the framework. A participatory design workshop was conducted to explain methods used to validate the results of the theoretical background in order to further develop the framework. This framework can be adopted in the design field in order to facilitate the process and to support practitioners’ decisi</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foresight, based, policies;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Foresight: Fifty Years to Think Your Futures — https://doi.org/10.1007/978-3-031-66100-6_4</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Design Thinking for Innovation in Sustainable Built Environments and the Integration of an Inclusive Foresight and Design Thinking Framework — https://doi.org/10.18280/ijsdp.180314</w:t>
      </w:r>
    </w:p>
    <w:p>
      <w:pPr/>
      <w:r>
        <w:rPr>
          <w:b/>
        </w:rPr>
        <w:t>Shared claim-specific concepts:</w:t>
      </w:r>
      <w:r>
        <w:t xml:space="preserve"> foresight, based, following; EU scope not established. This is a provisional connection, not an outcome finding.</w:t>
      </w:r>
    </w:p>
    <w:p>
      <w:pPr>
        <w:pStyle w:val="SourceNote"/>
      </w:pPr>
      <w:r>
        <w:rPr>
          <w:b/>
        </w:rPr>
        <w:t>Available abstract (not full text):</w:t>
      </w:r>
      <w:r>
        <w:t xml:space="preserve"> The search for new methods and tools to successfully address sustainability challenges is gaining momentum, due to the growing awareness of sustainability issues.Over the past two decades, design thinking (DT) has become a phenomenon in a wide range of contexts, and has recently drawn research attention as an innovative approach for handling complex socioecological problems.This review paper analyzes DT processes covered in sustainable built environment (SBE) articles that focus specifically on DT and innovation, with a view to suggesting/developing an affective new model for sustainability research.The research design was developed following Denyer and Tranfield's method.The author reviewed documents using the evidence from all open access English language articles related to this issue between 2000 and 2022 identified using a Scopus database search in order to clearly identify and analyze the challenges and opportunities for innovation growth in SBE using a DT and innovation framework, 50 articles were selected based on the PRISMA statement and plotted on a modified Ansoff Matrix.This systematic literature review indicates that research regarding DT for innovation in SBE is challenged by the matter of how to identify new contexts and new solutions for future-oriented sustainability.It is also proposed that a wider range of stakeholders are required to help optimize the soluti</w:t>
      </w:r>
    </w:p>
    <w:p>
      <w:pPr/>
      <w:r>
        <w:rPr>
          <w:b/>
        </w:rPr>
        <w:t>POSSIBLE 2022:</w:t>
      </w:r>
      <w:r>
        <w:t xml:space="preserve"> Unsettling the Coloniality of Foresight — https://doi.org/10.4324/9781003199816-10</w:t>
      </w:r>
    </w:p>
    <w:p>
      <w:pPr/>
      <w:r>
        <w:rPr>
          <w:b/>
        </w:rPr>
        <w:t>Shared claim-specific concepts:</w:t>
      </w:r>
      <w:r>
        <w:t xml:space="preserve"> foresight, designed, systems; EU scope not established. This is a provisional connection, not an outcome finding.</w:t>
      </w:r>
    </w:p>
    <w:p>
      <w:pPr>
        <w:pStyle w:val="SourceNote"/>
      </w:pPr>
      <w:r>
        <w:rPr>
          <w:b/>
        </w:rPr>
        <w:t>Available abstract (not full text):</w:t>
      </w:r>
      <w:r>
        <w:t xml:space="preserve">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pPr/>
      <w:r>
        <w:rPr>
          <w:b/>
        </w:rPr>
        <w:t>POSSIBLE 2022:</w:t>
      </w:r>
      <w:r>
        <w:t xml:space="preserve"> Analysis and foresight of the European Union - Mercosur Association Agreement — https://doi.org/10.33960/issn-e.1885-9119.dtff04en</w:t>
      </w:r>
    </w:p>
    <w:p>
      <w:pPr/>
      <w:r>
        <w:rPr>
          <w:b/>
        </w:rPr>
        <w:t>Shared claim-specific concepts:</w:t>
      </w:r>
      <w:r>
        <w:t xml:space="preserve"> foresight, following, current; EU scope visible. This is a provisional connection, not an outcome finding.</w:t>
      </w:r>
    </w:p>
    <w:p>
      <w:pPr>
        <w:pStyle w:val="SourceNote"/>
      </w:pPr>
      <w:r>
        <w:rPr>
          <w:b/>
        </w:rPr>
        <w:t>Available abstract (not full text):</w:t>
      </w:r>
      <w:r>
        <w:t xml:space="preserve"> After a negotiation that has been ongoing for more than two decades, the “agreement in principle” between the European Union and Mercosur regarding the trade pillar, announced in June 2019, has not been confirmed. Moreover, in the current context, the perspectives that are outlined in both blocks are not auspicious, for various reasons that are analyzed. In this context, the text will analyzes the following points: i) in the absence of a specific Treaty in progress of application, it informs about the negotiations of the trade pillar, its current status, the contents of the principle of agreement signed in 2019, the possibilities of closure and ratification by the two parties and the main expected impacts; ii) the potential implications of this agreement for both the European Union and Mercosur, in particular with regard to its foreseeable consequences for the strategic autonomy of both regions and for the strengthening of multilateralism at present; and iii) the expected impacts of the COVID-19 pandemic and the eventual contribution of this Association Agreement in the new scenarios. The text closes with a brief overview.</w:t>
      </w:r>
    </w:p>
    <w:p>
      <w:pPr>
        <w:pStyle w:val="Heading2"/>
      </w:pPr>
      <w:r>
        <w:t>838.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r>
        <w:rPr>
          <w:b/>
        </w:rPr>
        <w:t>POSSIBLE 2025:</w:t>
      </w:r>
      <w:r>
        <w:t xml:space="preserve"> Theorizing imaginary emergence: Insights from the field of social impact — https://doi.org/10.1177/13505084251376801</w:t>
      </w:r>
    </w:p>
    <w:p>
      <w:pPr/>
      <w:r>
        <w:rPr>
          <w:b/>
        </w:rPr>
        <w:t>Shared claim-specific concepts:</w:t>
      </w:r>
      <w:r>
        <w:t xml:space="preserve"> imaginary, political, build; EU scope not established. This is a provisional connection, not an outcome finding.</w:t>
      </w:r>
    </w:p>
    <w:p>
      <w:pPr>
        <w:pStyle w:val="SourceNote"/>
      </w:pPr>
      <w:r>
        <w:rPr>
          <w:b/>
        </w:rPr>
        <w:t>Available abstract (not full text):</w:t>
      </w:r>
      <w:r>
        <w:t xml:space="preserve"> Imaginaries are shared visions that reflect how people perceive social reality and guide ways of thinking and acting. As interest in “seeing the future” grows, imaginaries are gaining more attention in organizational studies, especially in relation to societal challenges. Yet, we still know little about how they originate within contested fields. To address this gap, we build upon the Cultural Political Economy approach to advance a processual framework involving three dynamics—structural interruption, discursive interaction, and material resonance—that facilitate the emergence of new imaginaries. We interweave examples from the social impact field to illustrate how the framework operates in real-world contexts. This paper contributes to imaginaries research by theorizing the constitutive dynamics through which imaginaries emerge. It also advances broader organizational scholarship by deepening understanding of organizational future-making and offering critical insights into how organizations engage with grand challenges.</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2023:</w:t>
      </w:r>
      <w:r>
        <w:t xml:space="preserve"> A Rocket to Protect? Sociotechnical Imaginaries of Strategic Autonomy in Controversies About the European Rocket Program — https://doi.org/10.1080/14650045.2023.2177157</w:t>
      </w:r>
    </w:p>
    <w:p>
      <w:pPr/>
      <w:r>
        <w:rPr>
          <w:b/>
        </w:rPr>
        <w:t>Shared claim-specific concepts:</w:t>
      </w:r>
      <w:r>
        <w:t xml:space="preserve"> political, age; EU scope visible. This is a provisional connection, not an outcome finding.</w:t>
      </w:r>
    </w:p>
    <w:p>
      <w:pPr>
        <w:pStyle w:val="SourceNote"/>
      </w:pPr>
      <w:r>
        <w:rPr>
          <w:b/>
        </w:rPr>
        <w:t>Available abstract (not full text):</w:t>
      </w:r>
      <w:r>
        <w:t xml:space="preserve"> When we think about European integration practices, we rarely consider how they may extend to outer space. Yet, a new global space race is in full swing, in which commercial and government actors worldwide are putting forward bold visions of human futures in outer space. Europe is at the cusp of deciding which role to play in this new Space Age, with the European rocket program Ariane being at the centre of many debates about the future of Europe in space. Controversies about the future of the jointly built and heavily subsidised rocket entangle questions of innovation, in/security, and geopolitical power constellations. This paper traces which kind of space futures are projected onto and realised through Ariane, how the current geopolitical dynamics in the accelerating New Space Age are co-constitutive of how European strategic autonomy is envisioned, and how these futures relate to ideals and tensions of European integration. Mobilising work in science and technology studies (STS) on sociotechnical imaginaries and insights from the emerging social studies of outer space (SSOS), the paper offers unique and timely insights into how future visions of space shape forms of European collaboration in the present and how, conversely, geopolitical relations on Earth shape how and by whom these futures are imagined. The empirical part builds on two years of fieldwork in the European sp</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2022:</w:t>
      </w:r>
      <w:r>
        <w:t xml:space="preserve"> Introduction to the Imaginary of Precision Oncology — https://doi.org/10.1007/978-3-030-92612-0_2</w:t>
      </w:r>
    </w:p>
    <w:p>
      <w:pPr/>
      <w:r>
        <w:rPr>
          <w:b/>
        </w:rPr>
        <w:t>Shared claim-specific concepts:</w:t>
      </w:r>
      <w:r>
        <w:t xml:space="preserve"> imaginary, ideas, around; EU scope not established. This is a provisional connection, not an outcome finding.</w:t>
      </w:r>
    </w:p>
    <w:p>
      <w:pPr>
        <w:pStyle w:val="SourceNote"/>
      </w:pPr>
      <w:r>
        <w:rPr>
          <w:b/>
        </w:rPr>
        <w:t>Available abstract (not full text):</w:t>
      </w:r>
      <w:r>
        <w:t xml:space="preserve"> Abstract Ideas about precision medicine found its way into cancer research around the turn of the twentieth century and resulted in the imaginary of precision oncology. This chapter presents the emergence of the imaginary as well as its historical background. It furthermore argues that the imaginary is not well suited to take full biological complexity into account. This gives rise to conceptual limitations as well as practical risks as ambitions of precision are translated into practice.</w:t>
      </w:r>
    </w:p>
    <w:p>
      <w:pPr/>
      <w:r>
        <w:rPr>
          <w:b/>
        </w:rPr>
        <w:t>POSSIBLE 2022:</w:t>
      </w:r>
      <w:r>
        <w:t xml:space="preserve"> Towards the imaginary of collective prosperity in the European Union (EU): reorienting the corporation — https://doi.org/10.1017/elo.2023.5</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In February 2022, the European Commission published the ‘Proposal for a Directive on Sustainable Due Diligence’. This proposal appears a first tentative step to move the European Union (EU) away from a neoliberal conception of corporation. It replaces the wholesale trust in shareholders as the drivers of social progress with a greater reliance on public intervention that, via law, should expand the purposes pursued by corporations and set more sustainable rules for their action. This intended shift towards a more socially responsible, ‘collectivist’ understanding of corporation, I argue, should be seen as part of a broader change in perception of the desirable relationship between the market, government and law in the EU, forced by the many unfolding crises. In this paper I develop the concept of ‘imaginaries of prosperity’ as an analytical category that should enable us to grasp deep changes in the conception of political economy that the EU is currently undergoing. I use the Commission’s attempt to transform one of the core institutions of the deeply entrenched imaginary of privatised prosperity – the neoliberal corporation – to identify shifts in our background understanding of the economy, politics, government, nature and law which are pointing to the emergence of a more collective imaginary of prosperity in the EU. However, even if Commission’s due diligence propo</w:t>
      </w:r>
    </w:p>
    <w:p>
      <w:pPr/>
      <w:r>
        <w:rPr>
          <w:b/>
        </w:rPr>
        <w:t>POSSIBLE 2022:</w:t>
      </w:r>
      <w:r>
        <w:t xml:space="preserve"> A Further Conversation on Social Imaginaries — https://doi.org/10.1163/27727866-bja00007</w:t>
      </w:r>
    </w:p>
    <w:p>
      <w:pPr/>
      <w:r>
        <w:rPr>
          <w:b/>
        </w:rPr>
        <w:t>Shared claim-specific concepts:</w:t>
      </w:r>
      <w:r>
        <w:t xml:space="preserve"> imaginary, political; EU scope not established. This is a provisional connection, not an outcome finding.</w:t>
      </w:r>
    </w:p>
    <w:p>
      <w:pPr>
        <w:pStyle w:val="SourceNote"/>
      </w:pPr>
      <w:r>
        <w:rPr>
          <w:b/>
        </w:rPr>
        <w:t>Available abstract (not full text):</w:t>
      </w:r>
      <w:r>
        <w:t xml:space="preserve"> Abstract The conversation begins with a discussion of political philosophy, a critique of a priori normativist approaches to that field, and reflections on the distinction between politics and the political. It moves on to clarify the place of the political within an ontology of the social-historical; while the pioneering contribution of Castoriadis to such an ontology is acknowledged, the need for a more elaborate theory of creative action, with due allowance for its involvement in historical processes, is emphasized. After some considerations on the role of ideology and utopia within the social-historical context, the conversation moves back to the questions of autonomy, creativity and the imaginary, and underlines the need to theorize autonomy as an imaginary signification in its own right, rather than merely a new attitude to imaginary significations. Implications of that view for the idea of reflective autonomy are discussed, with particular emphasis on confronting the omnipresent temptation of hubris, the condition of value pluralism and the fundamental fact of uncertainty about the future. The conversation concludes with some comments on diagnoses of our times, and a critique of various “postisms” as well as of the attempts to reduce contemporary societies to a single denominator.</w:t>
      </w:r>
    </w:p>
    <w:p>
      <w:pPr/>
      <w:r>
        <w:rPr>
          <w:b/>
        </w:rPr>
        <w:t>POSSIBLE 2021:</w:t>
      </w:r>
      <w:r>
        <w:t xml:space="preserve"> Popular imaginative geographies and Brexit: Evidence from Mass Observation — https://doi.org/10.1111/tran.12444</w:t>
      </w:r>
    </w:p>
    <w:p>
      <w:pPr/>
      <w:r>
        <w:rPr>
          <w:b/>
        </w:rPr>
        <w:t>Shared claim-specific concepts:</w:t>
      </w:r>
      <w:r>
        <w:t xml:space="preserve"> imaginative, political, events; EU scope visible. This is a provisional connection, not an outcome finding.</w:t>
      </w:r>
    </w:p>
    <w:p>
      <w:pPr>
        <w:pStyle w:val="SourceNote"/>
      </w:pPr>
      <w:r>
        <w:rPr>
          <w:b/>
        </w:rPr>
        <w:t>Available abstract (not full text):</w:t>
      </w:r>
      <w:r>
        <w:t xml:space="preserve"> The EU Referendum of 2016 was one of the most significant events in recent British political history. It is widely recognised that citizens engaged with the referendum through understandings of Britain, the EU, the world, and their place in it. This study complements existing research where such understandings have been inferred from citizens’ demographic characteristics, the characteristics of their localities/regions, or elite discourses. It builds on existing research where a more direct engagement with citizens’ understandings has been achieved through interviews or focus groups, allowing the content of understandings to be thickly described. To these latter studies, this paper makes three main contributions. First, it focuses on popular imaginative geographies, which are conceptualised drawing on literatures in Geography and Political Science as fast‐thinking heuristics. Second, it brings new evidence to the conversation in the form of volunteer writing for Mass Observation. Third, the focus is on the content of popular imaginative geographies, but also how and why such geographies were used by voters in the referendum. The main findings include that many Leave supporters imagined Britain as an island – either a once great military and imperial power, an island separate from Europe, needing freedom from Europe to engage in the wider world; or a small island, a full contain</w:t>
      </w:r>
    </w:p>
    <w:p>
      <w:pPr>
        <w:pStyle w:val="Heading2"/>
      </w:pPr>
      <w:r>
        <w:t>839.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2024:</w:t>
      </w:r>
      <w:r>
        <w:t xml:space="preserve"> The European green deal, retail investors and sustainable investments: A perspective article covering economic, behavioral, and regulatory insights — https://doi.org/10.1016/j.crsust.2024.100241</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The purpose of the European Green Deal and the regulation associated with the so-called EU Taxonomy for Sustainable Activities is to lead capital flows towards sustainable investments. According to the European Commission this is necessary to finance solutions for the immense challenges ahead, such as climate change, social inequality, and loss of biodiversity. However, academic research raises concerns that sustainable investments may earn lower risk-adjusted returns in the long run. The European Supervisory Authorities identify greenwashing risks and pronounce the limited ability of retail investors to make informed investment decisions. The aim of this perspective article is to provide suggestions for a regulation on relevant information on sustainable investments provided by financial service providers to retail investors. Therefore, the existing regulations are put in relation with recent research on investments considering ESG issues. To enable retail investors' self-determined decision-making, financial service providers such as banks, mutual funds, and financial advisors must provide easily accessible, clear, and easily understandable information regarding the ESG-conformity of the offered financial products. In addition, financial service providers must inform retail investors about some specific risks that can arise from a narrow focus on ESG assets such as under-dive</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better, understanding, germany;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2024:</w:t>
      </w:r>
      <w:r>
        <w:t xml:space="preserve"> Understanding public support for workplace diversity and antidiscrimination policies in Europe — https://doi.org/10.3389/fsoc.2024.1256751</w:t>
      </w:r>
    </w:p>
    <w:p>
      <w:pPr/>
      <w:r>
        <w:rPr>
          <w:b/>
        </w:rPr>
        <w:t>Shared claim-specific concepts:</w:t>
      </w:r>
      <w:r>
        <w:t xml:space="preserve"> information, better, understanding, show, range; EU scope visible. This is a provisional connection, not an outcome finding.</w:t>
      </w:r>
    </w:p>
    <w:p>
      <w:pPr>
        <w:pStyle w:val="SourceNote"/>
      </w:pPr>
      <w:r>
        <w:rPr>
          <w:b/>
        </w:rPr>
        <w:t>Available abstract (not full text):</w:t>
      </w:r>
      <w:r>
        <w:t xml:space="preserve"> Societal processes and public opinion can affect whether employers take action and which policy measures they choose to boost diversity, equal opportunities and inclusion, and to reduce discrimination in the workplace. Yet, public opinion regarding workplace diversity initiatives (other than affirmative action) has so far received little scholarly attention, especially in Europe. Consequently, we have very little evidence about how the general public feels about workplace diversity policies - particularly those that are more common or more often discussed in Europe - and about which factors shape public support for these workplace diversity initiatives. Yet, a better understanding of the patterns and antecedents of citizens' attitudes toward workplace diversity policies is of clear scientific and practical importance. Against this background, this study sheds light on public attitudes toward three different, commonly applied types of workplace diversity policies, and examines which individual-level and - innovatively - national-level conditions shape public support. To do so, we bring together insights from various different and so far largely disconnected strands of research and a range of theoretical perspectives. We use large-scale, representative survey data from two pooled waves of the Eurobarometer, covering 38,009 citizens across 26 European countries. We enrich these da</w:t>
      </w:r>
    </w:p>
    <w:p>
      <w:pPr/>
      <w:r>
        <w:rPr>
          <w:b/>
        </w:rPr>
        <w:t>POSSIBLE 2023:</w:t>
      </w:r>
      <w:r>
        <w:t xml:space="preserve"> The European Universities Initiative and European spatial imaginaries — https://doi.org/10.1080/14767724.2023.2210515</w:t>
      </w:r>
    </w:p>
    <w:p>
      <w:pPr/>
      <w:r>
        <w:rPr>
          <w:b/>
        </w:rPr>
        <w:t>Shared claim-specific concepts:</w:t>
      </w:r>
      <w:r>
        <w:t xml:space="preserve"> article, role, range; EU scope visible. This is a provisional connection, not an outcome finding.</w:t>
      </w:r>
    </w:p>
    <w:p>
      <w:pPr>
        <w:pStyle w:val="SourceNote"/>
      </w:pPr>
      <w:r>
        <w:rPr>
          <w:b/>
        </w:rPr>
        <w:t>Available abstract (not full text):</w:t>
      </w:r>
      <w:r>
        <w:t xml:space="preserve">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pPr>
        <w:pStyle w:val="Heading2"/>
      </w:pPr>
      <w:r>
        <w:t>840.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2024:</w:t>
      </w:r>
      <w:r>
        <w:t xml:space="preserve"> Examining the Market Potential for Smart Intelligent Packaging: A Focus on Italian Consumers — https://doi.org/10.34021/ve.2024.07.02(5)</w:t>
      </w:r>
    </w:p>
    <w:p>
      <w:pPr/>
      <w:r>
        <w:rPr>
          <w:b/>
        </w:rPr>
        <w:t>Shared claim-specific concepts:</w:t>
      </w:r>
      <w:r>
        <w:t xml:space="preserve"> factors, potential, meet; EU scope not established. This is a provisional connection, not an outcome finding.</w:t>
      </w:r>
    </w:p>
    <w:p>
      <w:pPr>
        <w:pStyle w:val="SourceNote"/>
      </w:pPr>
      <w:r>
        <w:rPr>
          <w:b/>
        </w:rPr>
        <w:t>Available abstract (not full text):</w:t>
      </w:r>
      <w:r>
        <w:t xml:space="preserve"> This study addresses the effect of smart intelligent packaging on consumers’ perceptions and aims to explore new market opportunities for smart intelligent packaging. Based on a quantitative research methodology, this study is exploratory in nature and aims to determine consumer attitudes toward smart, intelligent food packaging. The research findings show that smart packaging offers new technologies that better satisfy consumers’ needs. Italian respondents appreciate the monitoring and tracking functions of food packaging. In addition, different factors of food packaging that lead consumers to purchase are emphasized in our findings. This study confirms that packaging affects consumer purchase decisions. According to the results, although consumers’ knowledge of smart packaging technologies was low, their interest in obtaining more information related to smart intelligent packaging was high. Findings indicate that integrating smart packaging with advanced storage systems and technologies designed to prolong product shelf life is a sought-after technological approach for reducing food wastage. However, the research highlights a lack of consumer awareness and understanding concerning intelligent active packaging, hindering its widespread adoption. Therefore, it is recommended to ascertain consumer preferences regarding packaging characteristics to uncover effective marketing str</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aim, examine, trends, measures;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Hydrogen energy in Ukraine: preconditions, potential and prospects for european integration — https://doi.org/10.15407/econindustry2024.04.049</w:t>
      </w:r>
    </w:p>
    <w:p>
      <w:pPr/>
      <w:r>
        <w:rPr>
          <w:b/>
        </w:rPr>
        <w:t>Shared claim-specific concepts:</w:t>
      </w:r>
      <w:r>
        <w:t xml:space="preserve"> potential, construction; EU scope visible. This is a provisional connection, not an outcome finding.</w:t>
      </w:r>
    </w:p>
    <w:p>
      <w:pPr>
        <w:pStyle w:val="SourceNote"/>
      </w:pPr>
      <w:r>
        <w:rPr>
          <w:b/>
        </w:rPr>
        <w:t>Available abstract (not full text):</w:t>
      </w:r>
      <w:r>
        <w:t xml:space="preserve"> The article examines the development of renewable hydrogen production in Ukraine, emphasizing its critical role in global decarbonization efforts and integration into the European energy system. Ukraine has significant potential to become a key supplier of “green” hydrogen for the European Union, leveraging its vast renewable energy resources, particularly from solar and wind energy. The analysis explores the geographic advantages of the Western and Southern regions, which present favorable conditions for the construction of hydrogen-related infrastructure, such as electrolysis plants, storage, and transportation systems. Furthermore, the article highlights European initiatives, particularly the REPowerEU program, which designates Ukraine as a strategic partner in the supply of renewable hydrogen to Europe. It examines the necessary infrastructure projects, including the Central European Hydrogen Corridor, which is pivotal for connecting Ukrainian hydrogen production with European markets. The analysis also identifies Ukraine's potential contribution to the 2x40 GW initiative, aiming to construct 10 GW of electrolysis capacity within Ukraine by 2035, making it one of the key hydrogen suppliers to the EU. One of the critical challenges identified in the article is Ukraine's integration into the European hydrogen market. The article discusses the regulatory and certification barr</w:t>
      </w:r>
    </w:p>
    <w:p>
      <w:pPr/>
      <w:r>
        <w:rPr>
          <w:b/>
        </w:rPr>
        <w:t>POSSIBLE 2023:</w:t>
      </w:r>
      <w:r>
        <w:t xml:space="preserve"> Market and Market Potential: A Conceptual Paper — https://doi.org/10.61739/tbf.2023.12.2.341</w:t>
      </w:r>
    </w:p>
    <w:p>
      <w:pPr/>
      <w:r>
        <w:rPr>
          <w:b/>
        </w:rPr>
        <w:t>Shared claim-specific concepts:</w:t>
      </w:r>
      <w:r>
        <w:t xml:space="preserve"> factors, potential, trends, industries, framework; EU scope not established. This is a provisional connection, not an outcome finding.</w:t>
      </w:r>
    </w:p>
    <w:p>
      <w:pPr>
        <w:pStyle w:val="SourceNote"/>
      </w:pPr>
      <w:r>
        <w:rPr>
          <w:b/>
        </w:rPr>
        <w:t>Available abstract (not full text):</w:t>
      </w:r>
      <w:r>
        <w:t xml:space="preserve"> This paper focuses on an important aspect of marketing upon which all the concepts of marketing depend like segmentation, targeting, positioning, distribution, pricing, etc.This conceptual research paper delves into the fundamental concepts of markets and market potential.As essential drivers of economic activity, markets serve as pivotal arenas where buyers and sellers interact to exchange goods, services, and information.The paper explores the multifaceted dimensions of markets, and types of demand, elucidating their characteristics, classi ications, and functions in diverse industries and sectors.The market plays an important role in all the sectors like primary (Agriculture), secondary, and tertiary sector.Central to this study is the exploration of market potential, a crucial aspect that determines the growth prospects and pro itability of businesses and the agricultural sector.By delving into market potential analysis, this paper examines the underlying factors that in luence market attractiveness, including consumer demographics, purchasing power, demand trends, and competitive landscapes.Through a comprehensive review of existing literature, this research seeks to provide a conceptual framework that deepens the understanding of markets, types of demand, and market potential.</w:t>
      </w:r>
    </w:p>
    <w:p>
      <w:pPr>
        <w:pStyle w:val="Heading2"/>
      </w:pPr>
      <w:r>
        <w:t>841.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r>
        <w:rPr>
          <w:b/>
        </w:rPr>
        <w:t>POSSIBLE 2023:</w:t>
      </w:r>
      <w:r>
        <w:t xml:space="preserve"> A Review of Herbal Regulations and Approval Process in India and Europe — https://doi.org/10.22270/ijdra.v11i4.629</w:t>
      </w:r>
    </w:p>
    <w:p>
      <w:pPr/>
      <w:r>
        <w:rPr>
          <w:b/>
        </w:rPr>
        <w:t>Shared claim-specific concepts:</w:t>
      </w:r>
      <w:r>
        <w:t xml:space="preserve"> since, main, they; EU scope visible. This is a provisional connection, not an outcome finding.</w:t>
      </w:r>
    </w:p>
    <w:p>
      <w:pPr>
        <w:pStyle w:val="SourceNote"/>
      </w:pPr>
      <w:r>
        <w:rPr>
          <w:b/>
        </w:rPr>
        <w:t>Available abstract (not full text):</w:t>
      </w:r>
      <w:r>
        <w:t xml:space="preserve"> The main suppliers of herbal plants and medications are India and Europe. People prefer using plants and herbs as remedies over synthetic ones since they have fewer adverse effects. In India, AYUSH, CDSCO (Central Drugs Standard Control Organization), AND D&amp;C Act 1940 &amp; 1945(amendment) all control herbal medications. In India, AYUSH systems have been developed to house almost 8000 herbal medications. While in Europe, the European Medicines Agency (EMA) and the Herbal Medicinal Products Committee (HMPC) are in charge of overseeing herbal medications. The regulation of herbal goods in India and Europe is the subject of this essay.</w:t>
      </w:r>
    </w:p>
    <w:p>
      <w:pPr/>
      <w:r>
        <w:rPr>
          <w:b/>
        </w:rPr>
        <w:t>POSSIBLE 2022:</w:t>
      </w:r>
      <w:r>
        <w:t xml:space="preserve"> Seropositivity of main vector-borne pathogens in dogs across Europe — https://doi.org/10.1186/s13071-022-05316-5</w:t>
      </w:r>
    </w:p>
    <w:p>
      <w:pPr/>
      <w:r>
        <w:rPr>
          <w:b/>
        </w:rPr>
        <w:t>Shared claim-specific concepts:</w:t>
      </w:r>
      <w:r>
        <w:t xml:space="preserve"> main, identify; EU scope visible. This is a provisional connection, not an outcome finding.</w:t>
      </w:r>
    </w:p>
    <w:p>
      <w:pPr>
        <w:pStyle w:val="SourceNote"/>
      </w:pPr>
      <w:r>
        <w:rPr>
          <w:b/>
        </w:rPr>
        <w:t>Available abstract (not full text):</w:t>
      </w:r>
      <w:r>
        <w:t xml:space="preserve">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pPr/>
      <w:r>
        <w:rPr>
          <w:b/>
        </w:rPr>
        <w:t>POSSIBLE 2022:</w:t>
      </w:r>
      <w:r>
        <w:t xml:space="preserve"> Achieving Sustainable Development Goals Through Collaborative Innovation: Evidence from Four European Initiatives — https://doi.org/10.1007/s10551-022-05193-z</w:t>
      </w:r>
    </w:p>
    <w:p>
      <w:pPr/>
      <w:r>
        <w:rPr>
          <w:b/>
        </w:rPr>
        <w:t>Shared claim-specific concepts:</w:t>
      </w:r>
      <w:r>
        <w:t xml:space="preserve"> goals, identify, they, findings; EU scope visible. This is a provisional connection, not an outcome finding.</w:t>
      </w:r>
    </w:p>
    <w:p>
      <w:pPr>
        <w:pStyle w:val="SourceNote"/>
      </w:pPr>
      <w:r>
        <w:rPr>
          <w:b/>
        </w:rPr>
        <w:t>Available abstract (not full text):</w:t>
      </w:r>
      <w:r>
        <w:t xml:space="preserve"> The role to be played by multi-stakeholder partnerships in addressing the 'wicked problems' of sustainable development is made explicit by the seventeenth Sustainable Development Goal. But how do these partnerships really work? Based on the analysis of four sustainability-oriented innovation initiatives implemented in Belgium, Italy, Germany, and France, this study explores the roles and mechanisms that collaborating actors may enact to facilitate the pursuit of sustainable development, with a particular focus on non-profit organizations. The results suggest that collaborative innovations for sustainability contribute simultaneously to the fulfilment of different Sustainable Development Goals, reaching beyond their original intent, and that the value being created has the potential to reinforce such roles and mechanisms. These partnerships are prompted and managed by non-profit organizations that act as metagovernors of collaborative innovation processes as they play the roles of cultural spreaders, enablers, relational brokers, service provides, and influencers. These findings will help policy-makers and practitioners in the public and non-profit sector to identify and utilize emerging opportunities for value creation through collaborative innovation, and to better design existing and prospective collaborative efforts aimed at sustainable objectives, thereby supporting progres</w:t>
      </w:r>
    </w:p>
    <w:p>
      <w:pPr>
        <w:pStyle w:val="Heading2"/>
      </w:pPr>
      <w:r>
        <w:t>842.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r>
        <w:rPr>
          <w:b/>
        </w:rPr>
        <w:t>POSSIBLE 2023:</w:t>
      </w:r>
      <w:r>
        <w:t xml:space="preserve"> Engagement of European Countries in the Implementation of the US Indo-Pacific Strategy (Part 1) — https://doi.org/10.22394/1726-1139-2023-11-25-45</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2022:</w:t>
      </w:r>
      <w:r>
        <w:t xml:space="preserve"> Systematic literature review and meta-analysis of the prevalence of secondary progressive multiple sclerosis in the USA, Europe, Canada, Australia, and Brazil — https://doi.org/10.1186/s12883-022-02820-0</w:t>
      </w:r>
    </w:p>
    <w:p>
      <w:pPr/>
      <w:r>
        <w:rPr>
          <w:b/>
        </w:rPr>
        <w:t>Shared claim-specific concepts:</w:t>
      </w:r>
      <w:r>
        <w:t xml:space="preserve"> countries, australia, brazil, canada, united, states; EU scope visible. This is a provisional connection, not an outcome finding.</w:t>
      </w:r>
    </w:p>
    <w:p>
      <w:pPr>
        <w:pStyle w:val="SourceNote"/>
      </w:pPr>
      <w:r>
        <w:rPr>
          <w:b/>
        </w:rPr>
        <w:t>Available abstract (not full text):</w:t>
      </w:r>
      <w:r>
        <w:t xml:space="preserve">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pPr/>
      <w:r>
        <w:rPr>
          <w:b/>
        </w:rPr>
        <w:t>POSSIBLE 2022:</w:t>
      </w:r>
      <w:r>
        <w:t xml:space="preserve"> Potential Distribution of and Sensitivity Analysis for Urochloa panicoides Weed Using Modeling: An Implication of Invasion Risk Analysis for China and Europe — https://doi.org/10.3390/plants11131761</w:t>
      </w:r>
    </w:p>
    <w:p>
      <w:pPr/>
      <w:r>
        <w:rPr>
          <w:b/>
        </w:rPr>
        <w:t>Shared claim-specific concepts:</w:t>
      </w:r>
      <w:r>
        <w:t xml:space="preserve"> countries, australia, brazil, china, india, mexico; EU scope visible. This is a provisional connection, not an outcome finding.</w:t>
      </w:r>
    </w:p>
    <w:p>
      <w:pPr>
        <w:pStyle w:val="SourceNote"/>
      </w:pPr>
      <w:r>
        <w:rPr>
          <w:b/>
        </w:rPr>
        <w:t>Available abstract (not full text):</w:t>
      </w:r>
      <w:r>
        <w:t xml:space="preserve"> Urochloapanicoides P. Beauv. is considered one of the most harmful weeds in the United States and Australia. It is invasive in Pakistan, Mexico, and Brazil, but its occurrence is hardly reported in China and European countries. Species distribution models enable the measurement of the impact of climate change on plant growth, allowing for risk analysis, effective management, and invasion prevention. The objective of this study was to develop current and future climate models of suitable locations for U. panicoides and to determine the most influential climatic parameters. Occurrence data and biological information on U. panicoides were collected, and climatic parameters were used to generate the Ecoclimatic Index (EI) and to perform sensitivity analysis. The future projections for 2050, 2080, and 2100 were modeled under the A2 SRES scenario using the Global Climate Model, CSIRO-Mk3.0 (CS). The potential distribution of U. panicoides coincided with the data collected, and the reliability of the final model was demonstrated. The generated model identified regions where the occurrence was favorable, despite few records of the species. Sensitivity analysis showed that the most sensitive parameters of the model were related to temperature, humidity, and cold stress. Future projections predict reductions in climate suitability for U. panicoides in Brazil, Australia, India, and Africa</w:t>
      </w:r>
    </w:p>
    <w:p>
      <w:pPr/>
      <w:r>
        <w:rPr>
          <w:b/>
        </w:rPr>
        <w:t>POSSIBLE 2022:</w:t>
      </w:r>
      <w:r>
        <w:t xml:space="preserve"> Uses of the Journal Impact Factor in national journal rankings in China and Europe — https://doi.org/10.1002/asi.24706</w:t>
      </w:r>
    </w:p>
    <w:p>
      <w:pPr/>
      <w:r>
        <w:rPr>
          <w:b/>
        </w:rPr>
        <w:t>Shared claim-specific concepts:</w:t>
      </w:r>
      <w:r>
        <w:t xml:space="preserve"> countries, china, italy, national; EU scope visible. This is a provisional connection, not an outcome finding.</w:t>
      </w:r>
    </w:p>
    <w:p>
      <w:pPr>
        <w:pStyle w:val="SourceNote"/>
      </w:pPr>
      <w:r>
        <w:rPr>
          <w:b/>
        </w:rPr>
        <w:t>Available abstract (not full text):</w:t>
      </w:r>
      <w:r>
        <w:t xml:space="preserve"> Abstract This paper investigates different uses of the Journal Impact Factor (JIF) in national journal rankings and discusses the merits of supplementing metrics with expert assessment. Our focus is national journal rankings used as evidence to support decisions about the distribution of institutional funding or career advancement. The seven countries under comparison are China, Denmark, Finland, Italy, Norway, Poland, and Turkey—and the region of Flanders in Belgium. With the exception of Italy, top‐tier journals used in national rankings include those classified at the highest level, or according to tier, or points implemented. A total of 3,565 (75.8%) out of 4,701 unique top‐tier journals were identified as having a JIF, with 55.7% belonging to the first Journal Impact Factor quartile. Journal rankings in China, Flanders, Poland, and Turkey classify journals with a JIF as being top‐tier, but only when they are in the first quartile of the Average Journal Impact Factor Percentile. Journal rankings that result from expert assessment in Denmark, Finland, and Norway regularly classify journals as top‐tier outside the first quartile, particularly in the social sciences and humanities. We conclude that experts, when tasked with metric‐informed journal rankings, take into account quality dimensions that are not covered by JIFs.</w:t>
      </w:r>
    </w:p>
    <w:p>
      <w:pPr>
        <w:pStyle w:val="Heading2"/>
      </w:pPr>
      <w:r>
        <w:t>843.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Phasing out Fossil Fuels: — https://doi.org/10.2307/jj.18377014.16</w:t>
      </w:r>
    </w:p>
    <w:p>
      <w:pPr/>
      <w:r>
        <w:rPr>
          <w:b/>
        </w:rPr>
        <w:t>Shared claim-specific concepts:</w:t>
      </w:r>
      <w:r>
        <w:t xml:space="preserve"> nature, fossil, need; EU scope not established. This is a provisional connection, not an outcome finding.</w:t>
      </w:r>
    </w:p>
    <w:p>
      <w:pPr>
        <w:pStyle w:val="SourceNote"/>
      </w:pPr>
      <w:r>
        <w:rPr>
          <w:b/>
        </w:rPr>
        <w:t>Available abstract (not full text):</w:t>
      </w:r>
      <w:r>
        <w:t xml:space="preserve"> This chapter concludes by answering the questions: How do different actors use different arguments and approaches to engage with a fossil fuel phase-out? Which arguments and approaches grapple with the multiple trade-offs, for which actors, and why? And how can these be scaled up? The chapter identifies 10 niche arguments that need scaling up: Revisiting how development is defined, using court cases as an effective option for social movements, social movements can build on existing contextual ideas such as the rights of nature, the need for extraction moratoria, demanding compensation for stranded fossil fuel assets, emphasizing the vulnerability of exports to border tax adjustments can influence national and business policy, holding all accountable for their own climate debt, subject fiduciary responsibility to socio-ecological criteria, use philanthropic funds to decommission existing fossil fuel projects and adapt and implement OECD policy to prohibit ECA finance for fossil fuel projects.</w:t>
      </w:r>
    </w:p>
    <w:p>
      <w:pPr/>
      <w:r>
        <w:rPr>
          <w:b/>
        </w:rPr>
        <w:t>POSSIBLE 2023:</w:t>
      </w:r>
      <w:r>
        <w:t xml:space="preserve"> Bedrock geological map predictions for Phanerozoic fossil occurrences — https://doi.org/10.1017/pab.2022.46</w:t>
      </w:r>
    </w:p>
    <w:p>
      <w:pPr/>
      <w:r>
        <w:rPr>
          <w:b/>
        </w:rPr>
        <w:t>Shared claim-specific concepts:</w:t>
      </w:r>
      <w:r>
        <w:t xml:space="preserve"> fossil, need, expected; EU scope visible. This is a provisional connection, not an outcome finding.</w:t>
      </w:r>
    </w:p>
    <w:p>
      <w:pPr>
        <w:pStyle w:val="SourceNote"/>
      </w:pPr>
      <w:r>
        <w:rPr>
          <w:b/>
        </w:rPr>
        <w:t>Available abstract (not full text):</w:t>
      </w:r>
      <w:r>
        <w:t xml:space="preserve"> Abstract Geographically explicit, taxonomically resolved fossil occurrences are necessary for reconstructing macroevolutionary patterns and for testing a wide range of hypotheses in the Earth and life sciences. Heterogeneity in the spatial and temporal distribution of fossil occurrences in the Paleobiology Database (PBDB) is attributable to several different factors, including turnover among biological communities, socioeconomic disparities in the intensity of paleontological research, and geological controls on the distribution and fossil yield of sedimentary deposits. Here we use the intersection of global geological map data from Macrostrat and fossil collections in the PBDB to assess the extent to which the potentially fossil-bearing, surface-expressed sedimentary record has yielded fossil occurrences. We find a significant and moderately strong positive correlation between geological map area and the number of fossil occurrences. This correlation is consistent regardless of map unit age and binning protocol, except at period level; the Neogene and Quaternary have non-marine map units covering large areas and yielding fewer occurrences than expected. The sedimentary record of North America and Europe yields significantly more fossil occurrences per sedimentary area than similarly aged deposits in most of the rest of the world. However, geographic differences in area and age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driven, growing, industrial, production, conclude;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r>
        <w:rPr>
          <w:b/>
        </w:rPr>
        <w:t>POSSIBLE 2023:</w:t>
      </w:r>
      <w:r>
        <w:t xml:space="preserve"> Potential impacts of rapidly changing european use of fossil fuels on global warming — https://doi.org/10.1088/2515-7620/acf3d7</w:t>
      </w:r>
    </w:p>
    <w:p>
      <w:pPr/>
      <w:r>
        <w:rPr>
          <w:b/>
        </w:rPr>
        <w:t>Shared claim-specific concepts:</w:t>
      </w:r>
      <w:r>
        <w:t xml:space="preserve"> fossil, pathways, potential; EU scope visible. This is a provisional connection, not an outcome finding.</w:t>
      </w:r>
    </w:p>
    <w:p>
      <w:pPr>
        <w:pStyle w:val="SourceNote"/>
      </w:pPr>
      <w:r>
        <w:rPr>
          <w:b/>
        </w:rPr>
        <w:t>Available abstract (not full text):</w:t>
      </w:r>
      <w:r>
        <w:t xml:space="preserve"> Abstract The balance of primary energy sources for Europe has been changing rapidly over recent decades, shifting towards more renewables and using fossil fuels with lower carbon emissions. However, the latter is being impacted by the Russia-Ukraine conflict. Here, we determine the potential bounds of how this may affect global warming, based on whether the European use of Russian gas and oil is replaced with either less efficient burning of coal (with and without the gas and oil then used in new markets elsewhere) or with renewables. We perform calculations as perturbations from a baseline carbon dioxide (CO2) trajectory associated with ‘middle range’ and ‘low’ Shared Socioeconomic Pathways (SSP), SSP2-45 and SSP1-26. We calculate the CO2 perturbations as a simulated step change in emissions for the year 2023, which then decays linearly to zero by 2043. The emission profiles drive the FaIR simple climate model. FaIR links greenhouse gas emissions to global warming levels and includes a representation of warming uncertainty based on projections made using more complex Earth system models. We find that the direct impact of the conflict on the global mean temperature is likely to be relatively small, amounting to the worst case of nearly one-hundredth of a degree. This warming is equivalent to approximately an extra half year of current global CO2 emissions. However, we suggest t</w:t>
      </w:r>
    </w:p>
    <w:p>
      <w:pPr/>
      <w:r>
        <w:rPr>
          <w:b/>
        </w:rPr>
        <w:t>POSSIBLE 2023:</w:t>
      </w:r>
      <w:r>
        <w:t xml:space="preserve"> Uncertainty-aware data-driven predictive control in a stochastic setting — https://doi.org/10.1016/j.ifacol.2023.10.878</w:t>
      </w:r>
    </w:p>
    <w:p>
      <w:pPr/>
      <w:r>
        <w:rPr>
          <w:b/>
        </w:rPr>
        <w:t>Shared claim-specific concepts:</w:t>
      </w:r>
      <w:r>
        <w:t xml:space="preserve"> finite, need, potential; EU scope not established. This is a provisional connection, not an outcome finding.</w:t>
      </w:r>
    </w:p>
    <w:p>
      <w:pPr>
        <w:pStyle w:val="SourceNote"/>
      </w:pPr>
      <w:r>
        <w:rPr>
          <w:b/>
        </w:rPr>
        <w:t>Available abstract (not full text):</w:t>
      </w:r>
      <w:r>
        <w:t xml:space="preserve"> Data-Driven Predictive Control (DDPC) has been recently proposed as an effective alternative to traditional Model Predictive Control (MPC), in that the same constrained optimization problem can be addressed without the need to explicitly identify a full model of the plant. However, DDPC is built upon input/output trajectories. Therefore, the finite sample effect of stochastic data, due to, e.g., measurement noise, may have a detrimental impact on closed-loop performance. Exploiting a formal statistical analysis of the prediction error, in this paper we propose the first systematic approach to deal with uncertainty due to finite sample effects. To this end, we introduce two regularization strategies for which, differently from existing regularization-based DDPC techniques, we propose a tuning rationale allowing us to select the regularization hyper-parameters before closing the loop and without additional experiments. Simulation results confirm the potential of the proposed strategy when closing the loop.</w:t>
      </w:r>
    </w:p>
    <w:p>
      <w:pPr>
        <w:pStyle w:val="Heading2"/>
      </w:pPr>
      <w:r>
        <w:t>844.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2024:</w:t>
      </w:r>
      <w:r>
        <w:t xml:space="preserve"> Iraq’s Human Security and the Challenges of the Rapid Population Growth — https://doi.org/10.25130/tjfps.v1i34.296</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Abstract Iraq is going through a rapid population growth resulting from high birthrate and fertility compared to regional and international rates. Iraq’s annual population growth is estimated at 2.55, while the country’s fertility stands roughly at 3.5 births per woman. It is projected that Iraq’s population will reach around 50 million by 2030. This increase in Iraq’s population, especially when the majority of Iraq’s population is youth, has perilous impacts on Iraq’s human security. Challenges emanating from population growth and demographic transformation overlap and feed into an array of economic, social, security, and environmental problems that Iraq is already facing. Iraq’s economy which relies almost entirely on oil revenues is not capable of creating enough job opportunities to accommodate the increasing number of Iraq’s labour force. Also, the growing population is putting immense pressure on the country’s debilitated infrastructure and limited public services. Population growth puts pressure on the authorities to keep up with the people needs of millions of citizens for housing, health, and education. Population growth is straining Iraq’s natural resources when climate change and water scarcity are causing drought, destruction of arable land and demise of food crops. Finally, the loss of prospects for the future and lack of job opportunities are driving Iraqi youth </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r>
        <w:rPr>
          <w:b/>
        </w:rPr>
        <w:t>POSSIBLE 2023:</w:t>
      </w:r>
      <w:r>
        <w:t xml:space="preserve"> Solving the stochastic dynamics of population growth — https://doi.org/10.1002/ece3.10295</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Population growth is a fundamental process in ecology and evolution. The population size dynamics during growth are often described by deterministic equations derived from kinetic models. Here, we simulate several population growth models and compare the size averaged over many stochastic realizations with the deterministic predictions. We show that these deterministic equations are generically bad predictors of the average stochastic population dynamics. Specifically, deterministic predictions overestimate the simulated population sizes, especially those of populations starting with a small number of individuals. Describing population growth as a stochastic birth process, we prove that the discrepancy between deterministic predictions and simulated data is due to unclosed-moment dynamics. In other words, the deterministic approach does not consider the variability of birth times, which is particularly important with small population sizes. We show that some moment-closure approximations describe the growth dynamics better than the deterministic prediction. However, they do not reduce the error satisfactorily and only apply to some population growth models. We explicitly solve the stochastic growth dynamics, and our solution applies to any population growth model. We show that our solution exactly quantifies the dynamics of a community composed of different strains and correctl</w:t>
      </w:r>
    </w:p>
    <w:p>
      <w:pPr/>
      <w:r>
        <w:rPr>
          <w:b/>
        </w:rPr>
        <w:t>POSSIBLE 2023:</w:t>
      </w:r>
      <w:r>
        <w:t xml:space="preserve"> Environmental taxation as a boost mechanism for European Union green growth: The Greek response — https://doi.org/10.22495/rgcv13i1p1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Before the early negative effects of human activity on the environment and nature became apparent, there was no particular concern. The consequences of exponential population growth over the years brought a negative impact, increasing the risk and concern for the future. In recent decades, there has been an admittedly large, joint, and ambitious effort at the international and European levels to promote and implement the values and rules of green development and growth. Green growth is crucial regarding the policy implemented by the European Union (EU). Therefore, it calls on all its member states to participate in this effort concerning the environment and natural resources, having as its main tool environmental taxation. This paper primarily aims in proving that environmental taxation facilitates, through the proper implementation of European Union rules, the achievement of green growth. The research methodology followed, was the study of the environmental indexes of the European Union countries from 2002 to 2020, including Greece. They were analyzed and compared to the European Union average indexes (Eurostat, 2020). The study results highlighted that environmental taxation is crucial in enhancing green growth by increasing the revenues of state funds and reducing environmental problems at European and international levels.</w:t>
      </w:r>
    </w:p>
    <w:p>
      <w:pPr>
        <w:pStyle w:val="Heading2"/>
      </w:pPr>
      <w:r>
        <w:t>845.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2021:</w:t>
      </w:r>
      <w:r>
        <w:t xml:space="preserve"> Generative Adversarial Networks in Computer Vision — https://doi.org/10.1145/3439723</w:t>
      </w:r>
    </w:p>
    <w:p>
      <w:pPr/>
      <w:r>
        <w:rPr>
          <w:b/>
        </w:rPr>
        <w:t>Shared claim-specific concepts:</w:t>
      </w:r>
      <w:r>
        <w:t xml:space="preserve"> popular, vision, based; EU scope not established. This is a provisional connection, not an outcome finding.</w:t>
      </w:r>
    </w:p>
    <w:p>
      <w:pPr>
        <w:pStyle w:val="SourceNote"/>
      </w:pPr>
      <w:r>
        <w:rPr>
          <w:b/>
        </w:rPr>
        <w:t>Available abstract (not full text):</w:t>
      </w:r>
      <w:r>
        <w:t xml:space="preserve"> Generative adversarial networks (GANs) have been extensively studied in the past few years. Arguably their most significant impact has been in the area of computer vision where great advances have been made in challenges such as plausible image generation, image-to-image translation, facial attribute manipulation, and similar domains. Despite the significant successes achieved to date, applying GANs to real-world problems still poses significant challenges, three of which we focus on here. These are as follows: (1) the generation of high quality images, (2) diversity of image generation, and (3) stabilizing training. Focusing on the degree to which popular GAN technologies have made progress against these challenges, we provide a detailed review of the state-of-the-art in GAN-related research in the published scientific literature. We further structure this review through a convenient taxonomy we have adopted based on variations in GAN architectures and loss functions. While several reviews for GANs have been presented to date, none have considered the status of this field based on their progress toward addressing practical challenges relevant to computer vision. Accordingly, we review and critically discuss the most popular architecture-variant, and loss-variant GANs, for tackling these challenges. Our objective is to provide an overview as well as a critical analysis of the s</w:t>
      </w:r>
    </w:p>
    <w:p>
      <w:pPr/>
      <w:r>
        <w:rPr>
          <w:b/>
        </w:rPr>
        <w:t>POSSIBLE 2021:</w:t>
      </w:r>
      <w:r>
        <w:t xml:space="preserve"> A Simple Long-Tailed Recognition Baseline via Vision-Language Model — https://doi.org/10.48550/arxiv.2111.14745</w:t>
      </w:r>
    </w:p>
    <w:p>
      <w:pPr/>
      <w:r>
        <w:rPr>
          <w:b/>
        </w:rPr>
        <w:t>Shared claim-specific concepts:</w:t>
      </w:r>
      <w:r>
        <w:t xml:space="preserve"> popular, world, simple; EU scope not established. This is a provisional connection, not an outcome finding.</w:t>
      </w:r>
    </w:p>
    <w:p>
      <w:pPr>
        <w:pStyle w:val="SourceNote"/>
      </w:pPr>
      <w:r>
        <w:rPr>
          <w:b/>
        </w:rPr>
        <w:t>Available abstract (not full text):</w:t>
      </w:r>
      <w:r>
        <w:t xml:space="preserve"> The visual world naturally exhibits a long-tailed distribution of open classes, which poses great challenges to modern visual systems. Existing approaches either perform class re-balancing strategies or directly improve network modules to address the problem. However, they still train models with a finite set of predefined labels, limiting their supervision information and restricting their transferability to novel instances. Recent advances in large-scale contrastive visual-language pretraining shed light on a new pathway for visual recognition. With open-vocabulary supervisions, pretrained contrastive vision-language models learn powerful multimodal representations that are promising to handle data deficiency and unseen concepts. By calculating the semantic similarity between visual and text inputs, visual recognition is converted to a vision-language matching problem. Inspired by this, we propose BALLAD to leverage contrastive vision-language models for long-tailed recognition. We first continue pretraining the vision-language backbone through contrastive learning on a specific long-tailed target dataset. Afterward, we freeze the backbone and further employ an additional adapter layer to enhance the representations of tail classes on balanced training samples built with re-sampling strategies. Extensive experiments have been conducted on three popular long-tailed recognition</w:t>
      </w:r>
    </w:p>
    <w:p>
      <w:pPr/>
      <w:r>
        <w:rPr>
          <w:b/>
        </w:rPr>
        <w:t>POSSIBLE 2020:</w:t>
      </w:r>
      <w:r>
        <w:t xml:space="preserve"> European Strategic Autonomy - chances and challenges for Europe — https://openalex.org/W3129001693</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The thesis explores the use of the term European Strategic Autonomy in the Common Security and Defence Policy (CFSP) of the European Union. The security environment around Europe has become increasingly unstable in the last 15 years. The EU Commission has tried to take account of the deteriorating geopolitical landscape by publishing an EU Global Strategy document in 2016 to share its vision for a stronger Europe. The document calls for strategic autonomy without properly defining it. Since then, many policy papers have captured the term and used it as a popular buzzword. Because it has not been properly defined on the political level, European Strategy Autonomy (ESA) was subject to speculations and national interpretations which did not help to advance the debate. Based on an extensive literature review the paper provides a comprehensive understanding by giving an historic overview and presenting different configurations of ESA in the contemporary context. A comparative case study, including France, Germany, and the Czech Republic has been conducted to assess their interpretation of the notion. The result of the case studies showed inherently different perceptions underlaid by different motivations and identifies the political layer to be the biggest challenge for moving forward with the topic....</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r>
        <w:rPr>
          <w:b/>
        </w:rPr>
        <w:t>POSSIBLE 2019:</w:t>
      </w:r>
      <w:r>
        <w:t xml:space="preserve"> The Church in a Pluralistic World: The Public Vision of Ressourcement — https://doi.org/10.3390/rel10110594</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The dual concern of this article is to present the vision of the church articulated by the renowned generation of Catholic ressourcement thinkers in the mid-twentieth century, and to demonstrate its continued fecundity in the pluralist, multi-cultural context of contemporary western society. It seeks to contribute primarily to ecclesiology, while also providing historical and social commentary with respectful suggestions for its relevance to present-day ecclesiology. The article provides an interpretative framework for understanding ressourcement with reference to its philosophical foundations and the vision of its founders. Its aims are, first, to articulate the role of ressourcement in the modern context and, secondly, to document the genesis and emergence of that movement’s perception of the church’s mandate in the world, based on an essential return to the sources of Christianity. The paper presents the public vision of ressourcement ecclesiology in two parts, drawing principally, though not exclusively, on the work of the two leading intellectual orders of the Catholic Church at the time of its formulation, namely, the Dominicans and the Jesuits of France. In this paper, I limit myself to the French-speaking Jesuits and Dominicans and do not refer to Rahner, Semmelroth, Schillebeeckx or Schoonenberg.</w:t>
      </w:r>
    </w:p>
    <w:p>
      <w:pPr/>
      <w:r>
        <w:rPr>
          <w:b/>
        </w:rPr>
        <w:t>POSSIBLE 2019:</w:t>
      </w:r>
      <w:r>
        <w:t xml:space="preserve"> H.C. ANDERSEN’S TRAVEL BOOKS – A FAIRY-TALE VISION OF EUROPE — https://doi.org/10.2307/j.ctvggx29s.22</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Hans Christian Andersen is well known as a writer of fairy tales, but a corpus of travel books also constitutes a large part of his literary heritage. Influenced by the poetics of the novel, the focus of travel books shifted from images of foreign countries, landscapes and descriptions of unusual situations, to the inner world of the traveller, which might be more interesting for a reader than the external world. The narrator thus becomes the protagonist of the tale, bringing such travel books closer to fiction. It is argued that Andersen's fairy tale poetics has its roots in his travel books. These books include many stories, each of which could be considered a separate text. The first book, Skyggebillede (1831), was based on his trip to Germany and contains a number of small narratives similar to fairy tales published after 1835. Here, Andersen transformed the traditional form of travel book, with his poetic vision of Germany more important than reality, which was only the background for the author's fantasy. His later travel books, En digters bazar (1842) and I Sverige (1849), contain texts which were included in Andersen's collections of fairy tales and stories. Here, his images of European cities, nature and other famous sites are not mere descriptions but also romantic pictures where fairy tale fantasy plays a very important role.</w:t>
      </w:r>
    </w:p>
    <w:p>
      <w:pPr/>
      <w:r>
        <w:rPr>
          <w:b/>
        </w:rPr>
        <w:t>POSSIBLE 2017:</w:t>
      </w:r>
      <w:r>
        <w:t xml:space="preserve"> MobileNets: Efficient Convolutional Neural Networks for Mobile Vision Applications — https://doi.org/10.48550/arxiv.1704.04861</w:t>
      </w:r>
    </w:p>
    <w:p>
      <w:pPr/>
      <w:r>
        <w:rPr>
          <w:b/>
        </w:rPr>
        <w:t>Shared claim-specific concepts:</w:t>
      </w:r>
      <w:r>
        <w:t xml:space="preserve"> popular, vision, called, simple, based; EU scope not established. This is a provisional connection, not an outcome finding.</w:t>
      </w:r>
    </w:p>
    <w:p>
      <w:pPr>
        <w:pStyle w:val="SourceNote"/>
      </w:pPr>
      <w:r>
        <w:rPr>
          <w:b/>
        </w:rPr>
        <w:t>Available abstract (not full text):</w:t>
      </w:r>
      <w:r>
        <w:t xml:space="preserve"> We present a class of efficient models called MobileNets for mobile and embedded vision applications. MobileNets are based on a streamlined architecture that uses depth-wise separable convolutions to build light weight deep neural networks. We introduce two simple global hyper-parameters that efficiently trade off between latency and accuracy. These hyper-parameters allow the model builder to choose the right sized model for their application based on the constraints of the problem. We present extensive experiments on resource and accuracy tradeoffs and show strong performance compared to other popular models on ImageNet classification. We then demonstrate the effectiveness of MobileNets across a wide range of applications and use cases including object detection, finegrain classification, face attributes and large scale geo-localization.</w:t>
      </w:r>
    </w:p>
    <w:p>
      <w:pPr>
        <w:pStyle w:val="Heading2"/>
      </w:pPr>
      <w:r>
        <w:t>846.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2025:</w:t>
      </w:r>
      <w:r>
        <w:t xml:space="preserve"> Storylines of the March 2022 heatwave event at Concordia - East Antarctica — https://doi.org/10.16904/envidat.700</w:t>
      </w:r>
    </w:p>
    <w:p>
      <w:pPr/>
      <w:r>
        <w:rPr>
          <w:b/>
        </w:rPr>
        <w:t>Shared claim-specific concepts:</w:t>
      </w:r>
      <w:r>
        <w:t xml:space="preserve"> used, storylines; EU scope not established. This is a provisional connection, not an outcome finding.</w:t>
      </w:r>
    </w:p>
    <w:p>
      <w:pPr>
        <w:pStyle w:val="SourceNote"/>
      </w:pPr>
      <w:r>
        <w:rPr>
          <w:b/>
        </w:rPr>
        <w:t>Available abstract (not full text):</w:t>
      </w:r>
      <w:r>
        <w:t xml:space="preserve"> This dataset contains the input data generated for the pseudo-global warming (PGW) experiments used in the study of the March 2022 Antarctic heatwave with the CRYOWRF model. It includes: - PGW delta fields derived from CMIP6 simulations, used to perturb ERA5 reanalysis data for past and future storyline experiments. - Model configuration files required to reproduce the CRYOWRF simulations. These resources allow researchers to reproduce the experimental setup and generate model outputs consistent with the results presented in the study.</w:t>
      </w:r>
    </w:p>
    <w:p>
      <w:pPr/>
      <w:r>
        <w:rPr>
          <w:b/>
        </w:rPr>
        <w:t>POSSIBLE 2024:</w:t>
      </w:r>
      <w:r>
        <w:t xml:space="preserve"> Storylines for Future Projections of Precipitation Over New Zealand in CMIP6 Models — https://doi.org/10.1029/2023jd039664</w:t>
      </w:r>
    </w:p>
    <w:p>
      <w:pPr/>
      <w:r>
        <w:rPr>
          <w:b/>
        </w:rPr>
        <w:t>Shared claim-specific concepts:</w:t>
      </w:r>
      <w:r>
        <w:t xml:space="preserve"> storylines, pressure; EU scope not established. This is a provisional connection, not an outcome finding.</w:t>
      </w:r>
    </w:p>
    <w:p>
      <w:pPr>
        <w:pStyle w:val="SourceNote"/>
      </w:pPr>
      <w:r>
        <w:rPr>
          <w:b/>
        </w:rPr>
        <w:t>Available abstract (not full text):</w:t>
      </w:r>
      <w:r>
        <w:t xml:space="preserve"> Abstract Large uncertainty exists in the sign of long‐term changes in regional scale mean precipitation across the current generation of global climate models. To explore the physical drivers of this uncertainty for New Zealand, here we adopt a storyline approach applying cluster analysis to spatial patterns of future projected seasonal mean precipitation change across CMIP6 models (n = 43). For the winter precipitation change signal, the models split roughly into two main groups: both groups have a very robust wet signal across the west coast of the South Island but differ notably in terms of the sign of precipitation change across the north of the North Island. These far north winter precipitation differences appear related to how far the Hadley cell edge and regional eddy‐driven jet shift across the models relative to their historical positions. In contrast, for summer, most models have a markedly weaker and spatially non‐uniform response, where internal variability often plays a large role. However, a small group of models predict a robust wet signal across most of the country in summer. This “wet model” group is characterized by a regional La Niña‐like increase in high pressure shifted further to the south‐east of New Zealand, associated with more frequent north‐easterly flow over the country and accompanied by significant warming of local sea surface temperatures. This re</w:t>
      </w:r>
    </w:p>
    <w:p>
      <w:pPr/>
      <w:r>
        <w:rPr>
          <w:b/>
        </w:rPr>
        <w:t>POSSIBLE 2024:</w:t>
      </w:r>
      <w:r>
        <w:t xml:space="preserve"> Mapping and analysis of alternative growth paradigms. Towards a taxonomy and storylines of alternative growth paradigms for use in the MultiFutures project — https://openalex.org/W7132448432</w:t>
      </w:r>
    </w:p>
    <w:p>
      <w:pPr/>
      <w:r>
        <w:rPr>
          <w:b/>
        </w:rPr>
        <w:t>Shared claim-specific concepts:</w:t>
      </w:r>
      <w:r>
        <w:t xml:space="preserve"> used, storylines, different, leading; EU scope visible. This is a provisional connection, not an outcome finding.</w:t>
      </w:r>
    </w:p>
    <w:p>
      <w:pPr>
        <w:pStyle w:val="SourceNote"/>
      </w:pPr>
      <w:r>
        <w:rPr>
          <w:b/>
        </w:rPr>
        <w:t>Available abstract (not full text):</w:t>
      </w:r>
      <w:r>
        <w:t xml:space="preserve"> This report presents an analysis of the alternative growth debate taking place in the scientific, public and policy realm. Aim is to provide a taxonomy of paradigms and to develop, based on this taxonomy, different storylines of alternative societal futures that can be used as inputs for modelling in subsequent Work Packages of the MultiFutures project. The research was conducted in four consecutive steps: search, selection, analysis and synthesis.In the Search phase, different paradigms were explored, starting with a set of 7 paradigms from previous research. This set was expanded to 41 paradigms based on survey inputs within the MultiFutures team and an AI search. In the Selection phase, criteria were set on which to select the paradigms. These resulted in a set of 12 paradigms for further analysis. Based on this selection, the policy, academic and public debate on alternative growth were mapped, showing a sharp rise of publications over the years 2012-2023 in particular for Green Growth and Degrowth as well as a global spread of the debate with a focus in Europe and the United States. In the Analysis phase, an systemic AI based comparison of the 12 paradigms was conducted, byextracting and synthesizing key features from leading academic and policy publications. In this analysis, 15 main features of each paradigm were retrieved and compared. From this research, a taxonomy of </w:t>
      </w:r>
    </w:p>
    <w:p>
      <w:pPr/>
      <w:r>
        <w:rPr>
          <w:b/>
        </w:rPr>
        <w:t>POSSIBLE 2024:</w:t>
      </w:r>
      <w:r>
        <w:t xml:space="preserve"> Storylines for Global Hydrologic Drought Within CMIP6 — https://doi.org/10.1029/2023ef004117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Abstract Future global increases in the duration and severity of hydrologic drought present an emerging challenge for water resource management. However, projected changes to drought within global climate models are often complex, including potentially co‐occurring changes to the timing, duration, and severity of drought. Here, we apply a storyline approach for interpreting projections of future hydrologic drought to identify coherent narratives that include runoff trends, shifts in the seasonal drought timing, increases in multi‐year drought frequency, and increased drought severity within the Coupled Model Intercomparison Project Phase 6. We develop a framework to classify future drought storylines (2015–2100) and quantify model consensus to determine the most‐likely “dominant” storyline under four emission scenarios Shared Socioeconomic Pathways (SSPs) 1–2.6, 2–4.5, 3–7.0, and 5–8.5. Under a low‐emission scenario (SSPs 1–2.6) approximately one third of the land‐area is projected to be impacted by a dominant storyline of minimally detectable runoff trend paired with increased frequency of multi‐year drought. However, under the highest‐emission scenarios (SSPs 5–8.5), the most likely storyline shifts to an increase in multi‐year drought frequency, increased severity of drought, and negative long‐term runoff trends for 62% of the area in those same regions. Shifts in the season</w:t>
      </w:r>
    </w:p>
    <w:p>
      <w:pPr/>
      <w:r>
        <w:rPr>
          <w:b/>
        </w:rPr>
        <w:t>POSSIBLE 2023:</w:t>
      </w:r>
      <w:r>
        <w:t xml:space="preserve"> Modeling hadronization using machine learning — https://doi.org/10.21468/scipostphys.14.3.027</w:t>
      </w:r>
    </w:p>
    <w:p>
      <w:pPr/>
      <w:r>
        <w:rPr>
          <w:b/>
        </w:rPr>
        <w:t>Shared claim-specific concepts:</w:t>
      </w:r>
      <w:r>
        <w:t xml:space="preserve"> then, used; EU scope not established. This is a provisional connection, not an outcome finding.</w:t>
      </w:r>
    </w:p>
    <w:p>
      <w:pPr>
        <w:pStyle w:val="SourceNote"/>
      </w:pPr>
      <w:r>
        <w:rPr>
          <w:b/>
        </w:rPr>
        <w:t>Available abstract (not full text):</w:t>
      </w:r>
      <w:r>
        <w:t xml:space="preserve"> We present the first steps in the development of a new class of hadronization models utilizing machine learning techniques. We successfully implement, validate, and train a conditional sliced-Wasserstein autoencoder to replicate the Pythia generated kinematic distributions of first-hadron emissions, when the Lund string model of hadronization implemented in Pythia is restricted to the emissions of pions only. The trained models are then used to generate the full hadronization chains, with an IR cutoff energy imposed externally. The hadron multiplicities and cumulative kinematic distributions are shown to match the Pythia generated ones. We also discuss possible future generalizations of our results.</w:t>
      </w:r>
    </w:p>
    <w:p>
      <w:pPr>
        <w:pStyle w:val="Heading2"/>
      </w:pPr>
      <w:r>
        <w:t>847.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Assessment of the monthly risk of dirofilariosis infection in Europe and its projection to 2100 under climate change from a One Health perspective — https://doi.org/10.1186/s13071-025-07148-5</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exhibit</w:t>
      </w:r>
    </w:p>
    <w:p>
      <w:pPr/>
      <w:r>
        <w:rPr>
          <w:b/>
        </w:rPr>
        <w:t>POSSIBLE 2025:</w:t>
      </w:r>
      <w:r>
        <w:t xml:space="preserve"> What do warming-adjusted CORDEX RCM projections tell us about climate change in central Europe? — https://doi.org/10.5194/egusphere-egu25-15870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The majority of CORDEX RCMs show an underestimation of historical warming compared to observations, as well as an underestimation of projected warming compared to global climate models. This is in part due to a lack of consideration of changing aerosol concentrations, with a particularly strong effect in Europe leading to a delayed warming. We have developed a new method to address this issue and present the results of the warming-adjusted data. The method adjusts the CORDEX RCM simulations by using a mapping based on large scale warming with only few parameters and minimal interventions, preserving time monotony. The impact of the method is strongest for high emission scenarios but can be demonstrated for all emission scenarios.An application is shown for a central European region and within this framework we analyze adjusted climate projections. Compared to global climate model experiments, warming-adjusted RCM simulations better capture fine-scale details such as complex orography, yet – by design – feature the same overall temperature evolution across Western Europe. The presented method could also be useful for CORDEX projections for other regions and can provide information for upcoming assessment reports.</w:t>
      </w:r>
    </w:p>
    <w:p>
      <w:pPr/>
      <w:r>
        <w:rPr>
          <w:b/>
        </w:rPr>
        <w:t>POSSIBLE 2025:</w:t>
      </w:r>
      <w:r>
        <w:t xml:space="preserve"> Assessment of the monthly risk of dirofilariosis infection in Europe and its projection to 2100 under climate change from a One Health perspective — https://doi.org/10.6084/m9.figshare.c.8225063</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Abstract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w:t>
      </w:r>
    </w:p>
    <w:p>
      <w:pPr>
        <w:pStyle w:val="Heading2"/>
      </w:pPr>
      <w:r>
        <w:t>848.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2024:</w:t>
      </w:r>
      <w:r>
        <w:t xml:space="preserve"> Study of directions of unification of technology transfer in ukraine with the regulation of the European Union — https://doi.org/10.37772/2518-1718-2024-3(47)-2</w:t>
      </w:r>
    </w:p>
    <w:p>
      <w:pPr/>
      <w:r>
        <w:rPr>
          <w:b/>
        </w:rPr>
        <w:t>Shared claim-specific concepts:</w:t>
      </w:r>
      <w:r>
        <w:t xml:space="preserve"> possible, directions, requirements, technology, conditions; EU scope visible. This is a provisional connection, not an outcome finding.</w:t>
      </w:r>
    </w:p>
    <w:p>
      <w:pPr>
        <w:pStyle w:val="SourceNote"/>
      </w:pPr>
      <w:r>
        <w:rPr>
          <w:b/>
        </w:rPr>
        <w:t>Available abstract (not full text):</w:t>
      </w:r>
      <w:r>
        <w:t xml:space="preserve">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pPr/>
      <w:r>
        <w:rPr>
          <w:b/>
        </w:rPr>
        <w:t>POSSIBLE 2024:</w:t>
      </w:r>
      <w:r>
        <w:t xml:space="preserve"> THE POLISH ENERGY SECTOR CHARACTERISTICS IN COMPARISON TO EUROPEAN UNION COUNTRIES IN TERMS OF SUSTAINABLE DEVELOPMENT — https://doi.org/10.64758/6drf3g79</w:t>
      </w:r>
    </w:p>
    <w:p>
      <w:pPr/>
      <w:r>
        <w:rPr>
          <w:b/>
        </w:rPr>
        <w:t>Shared claim-specific concepts:</w:t>
      </w:r>
      <w:r>
        <w:t xml:space="preserve"> analyzes, possible, polish, electricity, sector, terms; EU scope visible. This is a provisional connection, not an outcome finding.</w:t>
      </w:r>
    </w:p>
    <w:p>
      <w:pPr>
        <w:pStyle w:val="SourceNote"/>
      </w:pPr>
      <w:r>
        <w:rPr>
          <w:b/>
        </w:rPr>
        <w:t>Available abstract (not full text):</w:t>
      </w:r>
      <w:r>
        <w:t xml:space="preserve"> In every country, the energy sector plays a very important role - from its efficient operation electricity and heat supplies depend on. Moreover, its level of efficiency can measurably affect the condition of the natural and the social environment. Therefore, the purpose of this article was to examine to what extent the Polish energy sector fulfills the framework of sustainable development conception. In order to achieve the adopted objective, comparative analyzes have been carried out among all European Union countries. It allowed to identify areas in which the Polish energy sector fully implements the principles and objectives of this concept, as well as areas where still there is a lot need to be dome. The analyzes concerned several key issues: the level of energy generated from renewable energy sources (RES), the structure of sources of raw materials for energy production, the values of regulatory indicators for sustainable energy, level of greenhouse gas and pollutants emissions by energy sector, environmental taxes paid by energy sector, environmental protection expenditure of energy sector, environmental investments and wastewater management and, last but not least, innovations expenditures of energy sector. Examining these issues makes it possible to determine the so-called “level of sustainability" or the sustainability in energy sector degree’s determination for Polan</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different, technology, energy;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terms, nuclear, energy, fuel;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Recombination of Porcine Reproductive and Respiratory Syndrome Virus: Features, Possible Mechanisms, and Future Directions — https://doi.org/10.3390/v16060929</w:t>
      </w:r>
    </w:p>
    <w:p>
      <w:pPr/>
      <w:r>
        <w:rPr>
          <w:b/>
        </w:rPr>
        <w:t>Shared claim-specific concepts:</w:t>
      </w:r>
      <w:r>
        <w:t xml:space="preserve"> possible, directions, different; EU scope not established. This is a provisional connection, not an outcome finding.</w:t>
      </w:r>
    </w:p>
    <w:p>
      <w:pPr>
        <w:pStyle w:val="SourceNote"/>
      </w:pPr>
      <w:r>
        <w:rPr>
          <w:b/>
        </w:rPr>
        <w:t>Available abstract (not full text):</w:t>
      </w:r>
      <w:r>
        <w:t xml:space="preserve"> Recombination is a pervasive phenomenon in RNA viruses and an important strategy for accelerating the evolution of RNA virus populations. Recombination in the porcine reproductive and respiratory syndrome virus (PRRSV) was first reported in 1999, and many case reports have been published in recent years. In this review, all the existing reports on PRRSV recombination events were collected, and the genotypes, parental strains, and locations of the recombination breakpoints have been summarized and analyzed. The results showed that the recombination pattern constantly changes; whether inter- or intra-lineage recombination, the recombination hotspots vary in different recombination patterns. The virulence of recombinant PRRSVs was higher than that of the parental strains, and the emergence of virulence reversion was caused by recombination after using MLV vaccines. This could be attributed to the enhanced adaptability of recombinant PRRSV for entry and replication, facilitating their rapid propagation. The aim of this paper was to identify common features of recombinant PRRSV strains, reduce the recombination risk, and provide a foundation for future research into the mechanism of PRRSV recombination.</w:t>
      </w:r>
    </w:p>
    <w:p>
      <w:pPr>
        <w:pStyle w:val="Heading2"/>
      </w:pPr>
      <w:r>
        <w:t>849.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r>
        <w:rPr>
          <w:b/>
        </w:rPr>
        <w:t>POSSIBLE 2024:</w:t>
      </w:r>
      <w:r>
        <w:t xml:space="preserve"> Exploring empathy of nursing students and the extent of their clinical experiences: a cross-case analysis — https://doi.org/10.20473/jn.v19i4.56238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Introduction: Empathy is the ability of a nurse to understand the circumstances, experiences, and feelings of the patients. It is a vital component of a nurse as this enables the nurse to respond therapeutically to the needs of the clients, thereby providing quality nursing care. This study explored the development of empathy among nursing students based on their hospital exposure and other factors that provide a more in-depth understanding of the phenomenon investigated. Methods: Using the intrinsic case study method, the study interviewed six nursing students as informants, selected based on their extent of clinical exposure through purposive sampling. A standardized Jefferson Scale of Empathy (JSE) was also used to provide information on empathy. A cross-case analysis was used to generate the findings of this study. Results: Findings generated five themes: maintaining empathy level across different conditions, prior clinical experiences affect empathy levels, empathy increases with knowledge, expression of empathy is hindered by academic workload and mismatch between perceived and objectively measured empathy levels. Conclusions: Empathy was more developed by nursing students when they were exposed to patient care experiences. The extent of knowledge and the continued experience in the clinical field are major factors that contribute to their increased empathy levels of nurs</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2023:</w:t>
      </w:r>
      <w:r>
        <w:t xml:space="preserve"> Climate change and ideal thermal transmittance of residential buildings in Iran — https://doi.org/10.1016/j.jobe.2023.106919</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Climate change will make the Iranian climate hotter and drier. This increase in the harshness of the boundary conditions poses a new question of whether today's high-performance buildings, whose envelope thermophysical properties are optimized for the current climate, will underperform. Therefore, it is important to (i) identify the regions in Iran that will lead to such underperformance and (ii) determine to what extent the thermophysical properties will need to change to remain optimal. This paper determines and compares the ideal thermal transmittances (U-value) of residential building envelopes for current and future climate scenarios. The EPSAP generative design method created twelve thousand buildings with random geometries to evaluate their energy demand for heating and cooling in EnergyPlus. The U-values of the envelop elements for these buildings were randomly assigned and simulated for 21 locations in Iran for the current period and two future timeframes (2050 and 2080). The future weather was created using the Future Weather Generator tool to morph today's typical meteorological weather to match the EC-Earth3 data for the SSP5-8.5 scenario. The results confirm that climate change will significantly impact the energy performance of a building. However, consequences and mitigation actions will differ depending on the region. Future ideal U-values will be higher or lowe</w:t>
      </w:r>
    </w:p>
    <w:p>
      <w:pPr/>
      <w:r>
        <w:rPr>
          <w:b/>
        </w:rPr>
        <w:t>POSSIBLE 2023:</w:t>
      </w:r>
      <w:r>
        <w:t xml:space="preserve"> Family education as a process of translation of ideals and values of culture — https://doi.org/10.25136/2409-7144.2023.9.43635</w:t>
      </w:r>
    </w:p>
    <w:p>
      <w:pPr/>
      <w:r>
        <w:rPr>
          <w:b/>
        </w:rPr>
        <w:t>Shared claim-specific concepts:</w:t>
      </w:r>
      <w:r>
        <w:t xml:space="preserve"> extent, conditions, authors; EU scope not established. This is a provisional connection, not an outcome finding.</w:t>
      </w:r>
    </w:p>
    <w:p>
      <w:pPr>
        <w:pStyle w:val="SourceNote"/>
      </w:pPr>
      <w:r>
        <w:rPr>
          <w:b/>
        </w:rPr>
        <w:t>Available abstract (not full text):</w:t>
      </w:r>
      <w:r>
        <w:t xml:space="preserve"> In the article, the authors consider issues related to the family as a social institution of society, which through the education system is a carrier, keeper and translator of cultural ideals. The subject of the study is family education, interpreted as the process of translating the ideals and values of culture. The article examines the concept and functions of the family as a leading social institution, sacred and profane ideals of culture and their mutual influence, types of family education, distinguished depending on the characteristics of the transmitted cultural values. When writing the work, such general scientific and private scientific research methods as analysis, synthesis, classification, generalization, comparison, historical method, analysis of empirical and sociological data on the studied problem were used. The general methodology of the work was compiled by scientific works of both domestic and foreign scientists devoted to the family as a carrier of cultural values. The analysis of scientific literature on research issues has shown that the modern family performs not only reproductive functions, but also the functions of preserving and reproducing cultural values, allowing society and the state to maintain stability and develop in the conditions of globalization and active influence on society through the imposition of new cultural values. The scientific nove</w:t>
      </w:r>
    </w:p>
    <w:p>
      <w:pPr/>
      <w:r>
        <w:rPr>
          <w:b/>
        </w:rPr>
        <w:t>POSSIBLE 2023:</w:t>
      </w:r>
      <w:r>
        <w:t xml:space="preserve"> Towards Ideal Understanding — https://doi.org/10.3998/ergo.4651</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What does it take to understand a phenomenon ideally, or to the highest conceivable extent? In this paper, we answer this question by arguing for five necessary conditions for ideal understanding: (i) sufficient representational accuracy, (ii) intelligibility, (iii) sufficient truth, (iv) reasonable endorsement, and (v) fit. Even if one disagrees that there is some form of ideal understanding, these five conditions can be regarded as sufficient conditions for a particularly deep level of understanding. We then argue that grasping, novel predictions, and transparency are not reasonable conditions for ideal understanding.</w:t>
      </w:r>
    </w:p>
    <w:p>
      <w:pPr>
        <w:pStyle w:val="Heading2"/>
      </w:pPr>
      <w:r>
        <w:t>850.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2025:</w:t>
      </w:r>
      <w:r>
        <w:t xml:space="preserve"> Public debt and fiscal consolidation in the Western Balkans: a panel analysis of growth effects — https://doi.org/10.17979/ejge.2025.14.2.11181</w:t>
      </w:r>
    </w:p>
    <w:p>
      <w:pPr/>
      <w:r>
        <w:rPr>
          <w:b/>
        </w:rPr>
        <w:t>Shared claim-specific concepts:</w:t>
      </w:r>
      <w:r>
        <w:t xml:space="preserve"> fiscal, consolidation, period, gdp; EU scope not established. This is a provisional connection, not an outcome finding.</w:t>
      </w:r>
    </w:p>
    <w:p>
      <w:pPr>
        <w:pStyle w:val="SourceNote"/>
      </w:pPr>
      <w:r>
        <w:rPr>
          <w:b/>
        </w:rPr>
        <w:t>Available abstract (not full text):</w:t>
      </w:r>
      <w:r>
        <w:t xml:space="preserve"> This study examines the impact of public debt on economic growth and the effects of fiscal consolidation efforts in the Western Balkan countries (WB6)—Albania, Bosnia and Herzegovina, Kosovo, Montenegro, North Macedonia, and Serbia. Utilizing a dual methodology of descriptive and panel data analysis, the research investigates whether higher public debt adversely affects economic growth and if fiscal consolidation measures lead to improved economic outcomes. The descriptive analysis identifies fiscal consolidation periods based on improvements in the cyclically-adjusted primary budget balance and subsequent changes in the public debt-to-GDP ratio. The econometric analysis employs both fixed-effects and random-effects panel regression models, using data from International Monetary Fund (IMF) - World Economic Outlook Databases covering the period 2000-2023. The findings reveal that higher levels of public debt are detrimental to economic growth across the WB6 countries. Conversely, successful fiscal consolidation, characterized by reductions in government expenditure relative to GDP, correlates with enhanced economic growth. The study underscores the importance of maintaining prudent debt levels and implementing effective fiscal policies. Recommendations for policymakers include prioritizing debt reduction strategies, improving revenue collection, and investing savings in infrastr</w:t>
      </w:r>
    </w:p>
    <w:p>
      <w:pPr/>
      <w:r>
        <w:rPr>
          <w:b/>
        </w:rPr>
        <w:t>POSSIBLE 2025:</w:t>
      </w:r>
      <w:r>
        <w:t xml:space="preserve"> The effect of monetary and fiscal policies on the short and long-term growth of SME's in the United States — https://openalex.org/W7117201421</w:t>
      </w:r>
    </w:p>
    <w:p>
      <w:pPr/>
      <w:r>
        <w:rPr>
          <w:b/>
        </w:rPr>
        <w:t>Shared claim-specific concepts:</w:t>
      </w:r>
      <w:r>
        <w:t xml:space="preserve"> fiscal, over, effect, period, but; EU scope not established. This is a provisional connection, not an outcome finding.</w:t>
      </w:r>
    </w:p>
    <w:p>
      <w:pPr>
        <w:pStyle w:val="SourceNote"/>
      </w:pPr>
      <w:r>
        <w:rPr>
          <w:b/>
        </w:rPr>
        <w:t>Available abstract (not full text):</w:t>
      </w:r>
      <w:r>
        <w:t xml:space="preserve"> This thesis examines the short-run and long-run effects of fiscal and monetary policies on the growth of Small and Medium Enterprises (SMEs) in the United States over the period 2015–2024. Using monthly time-series data and the Autoregressive Distributed Lag (ARDL) bounds-testing models, SME growth is measured by the percentage month-on-month change in total high-propensity business applications obtained from FRED. The results reveal a clear policy hierarchy. In the long-run, only fiscal policy matters: a sustained 1% increase in real government expenditure raises the SME growth rate by 47.73 percentage points (p = 0.039), whereas a 1% increase in government revenue reduces long-run SME growth by 17.63 percentage points (p = 0.016). Monetary policy instruments (real interest rates, M2 money supply, and total exports) exhibit no significant long-run impact. In the short run, monetary policy effects are significant but often counterintuitive: higher real interest rates temporarily boost SME growth (+12.38 percentage points per 1 percentage-point increase, p = 0.034), while rapid money-supply expansion strongly depresses it (–83.502 percentage points per 1% increase, p = 0.026). Higher exports are associated with lower long-run SME growth (–31.74 percentage points per 1% increase, p = 0.031). Vector Error Correction Model forecasts confirm that the fastest and strongest recovery o</w:t>
      </w:r>
    </w:p>
    <w:p>
      <w:pPr/>
      <w:r>
        <w:rPr>
          <w:b/>
        </w:rPr>
        <w:t>POSSIBLE 2024:</w:t>
      </w:r>
      <w:r>
        <w:t xml:space="preserve"> Fiscal drag: the heterogeneous impact of inflation on personal income tax revenue — https://doi.org/10.53479/37393</w:t>
      </w:r>
    </w:p>
    <w:p>
      <w:pPr/>
      <w:r>
        <w:rPr>
          <w:b/>
        </w:rPr>
        <w:t>Shared claim-specific concepts:</w:t>
      </w:r>
      <w:r>
        <w:t xml:space="preserve"> not, drag, fiscal, effect, strong, gdp; EU scope not established. This is a provisional connection, not an outcome finding.</w:t>
      </w:r>
    </w:p>
    <w:p>
      <w:pPr>
        <w:pStyle w:val="SourceNote"/>
      </w:pPr>
      <w:r>
        <w:rPr>
          <w:b/>
        </w:rPr>
        <w:t>Available abstract (not full text):</w:t>
      </w:r>
      <w:r>
        <w:t xml:space="preserve"> In recent years, personal income tax collection has shown strong dynamism. Part of this increase is due to household income growth, while another part is due to the “fiscal drag” effect, which results in an increase in average effective rates when the parameters that determine the tax (brackets and tax benefits) are not fully updated with inflation. This paper uses a tax microsimulation tool based on tax filers’ administrative data to study the magnitude of the fiscal drag effect, its heterogeneity across the income distribution, its mechanisms and its impact on tax collection and on average effective tax rates in recent years and in the future. It is estimated that, in the absence of indexation of the nominally defined parameters of the tax, a homogeneous increase in household income of 1% would lead to an increase in income tax revenue of 1.85%, in line with the average elasticity estimated for OECD countries. This effect is greater for middle and upper-middle incomes and produces an increase in effective tax rates across the entire distribution of tax filers, leading to a reduction in net income inequality. It is estimated that around half of the increase in the personal income tax-to-GDP ratio observed between 2019 and 2023 can be explained by the fiscal drag effect. Going forward, in the absence of changes in tax parameters, the ratio of personal income tax revenue to GDP </w:t>
      </w:r>
    </w:p>
    <w:p>
      <w:pPr>
        <w:pStyle w:val="Heading2"/>
      </w:pPr>
      <w:r>
        <w:t>851.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2023:</w:t>
      </w:r>
      <w:r>
        <w:t xml:space="preserve"> Policy Legacies, Welfare Regimes, and Social Policy Responses to COVID-19 in Europe — https://doi.org/10.1093/oso/9780197676189.003.0001</w:t>
      </w:r>
    </w:p>
    <w:p>
      <w:pPr/>
      <w:r>
        <w:rPr>
          <w:b/>
        </w:rPr>
        <w:t>Shared claim-specific concepts:</w:t>
      </w:r>
      <w:r>
        <w:t xml:space="preserve"> potential, beyond; EU scope visible. This is a provisional connection, not an outcome finding.</w:t>
      </w:r>
    </w:p>
    <w:p>
      <w:pPr>
        <w:pStyle w:val="SourceNote"/>
      </w:pPr>
      <w:r>
        <w:rPr>
          <w:b/>
        </w:rPr>
        <w:t>Available abstract (not full text):</w:t>
      </w:r>
      <w:r>
        <w:t xml:space="preserve"> Abstract Much has been written since the publication in 1990 of Esping-Andersen’s The Three Worlds of Welfare Capitalism on the concept of welfare regime as an analytical tool to study policy stability and change in Europe and beyond. As a concept, welfare regime emphasizes both stability over change and divergence between country clusters over convergence. Studying concrete policy instruments rather than spending patterns and focusing on policies introduced to protect workers against the risk of unemployment and the loss of income, this chapter explores potential patterns of convergence and divergence in the social policy responses to the COVID-19 pandemic in four distinct welfare regimes: the Bismarckian regime, the Nordic regime, the liberal regime, and the Southern European regime. The main conclusions of our analysis are twofold. First, we show that regardless of the regime in which they belong, countries have generally enacted emergency measures to expand and/or supplement existing policy instruments. Second, we show that existing national policy legacies help explain key differences in the design of the policies adopted as a consequence of this imperative.</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r>
        <w:rPr>
          <w:b/>
        </w:rPr>
        <w:t>POSSIBLE 2022:</w:t>
      </w:r>
      <w:r>
        <w:t xml:space="preserve"> A sketch grammar of Seletar — https://doi.org/10.32657/10356/165162</w:t>
      </w:r>
    </w:p>
    <w:p>
      <w:pPr/>
      <w:r>
        <w:rPr>
          <w:b/>
        </w:rPr>
        <w:t>Shared claim-specific concepts:</w:t>
      </w:r>
      <w:r>
        <w:t xml:space="preserve"> sketch, two, climate; EU scope not established. This is a provisional connection, not an outcome finding.</w:t>
      </w:r>
    </w:p>
    <w:p>
      <w:pPr>
        <w:pStyle w:val="SourceNote"/>
      </w:pPr>
      <w:r>
        <w:rPr>
          <w:b/>
        </w:rPr>
        <w:t>Available abstract (not full text):</w:t>
      </w:r>
      <w:r>
        <w:t xml:space="preserve"> language and share their stories.I am also extremely grateful to my interpreter and point of contact, M, for giving me a chance to meet your extended family.Also to my two Seletar interpreters that I met in Singapore (virtually) during the pandemic, without your help, I would never have completed this work.I am glad that the borders are now open and we can all go home and visit our families regularly.Currently, the times are hard for the Orang Seletar with depleting catch due to climate change, and I sincerely hope the best for the entire Orang Seletar community</w:t>
      </w:r>
    </w:p>
    <w:p>
      <w:pPr/>
      <w:r>
        <w:rPr>
          <w:b/>
        </w:rPr>
        <w:t>POSSIBLE 2021:</w:t>
      </w:r>
      <w:r>
        <w:t xml:space="preserve"> A New Idea(l) for Europe: Report on the Future of Cosmopolitanism in Europe — https://doi.org/10.17185/duepublico/74426</w:t>
      </w:r>
    </w:p>
    <w:p>
      <w:pPr/>
      <w:r>
        <w:rPr>
          <w:b/>
        </w:rPr>
        <w:t>Shared claim-specific concepts:</w:t>
      </w:r>
      <w:r>
        <w:t xml:space="preserve"> sketch, two, possible, emphasize, union; EU scope visible. This is a provisional connection, not an outcome finding.</w:t>
      </w:r>
    </w:p>
    <w:p>
      <w:pPr>
        <w:pStyle w:val="SourceNote"/>
      </w:pPr>
      <w:r>
        <w:rPr>
          <w:b/>
        </w:rPr>
        <w:t>Available abstract (not full text):</w:t>
      </w:r>
      <w:r>
        <w:t xml:space="preserve"> While designing its migration policies, the European Union must carefully weigh two conflicting considerations. On the one hand, the Union has set some normative standards for itself in its Charter of Fundamental Rights. On the other hand, after the sudden influx of asylum seekers over the summer of 2015, several member states signalled that their reception facilities could not cope with the tide of new arrivals, while some populations voted into power or confirmed national governments committed to restricting immigration into Europe. This report aims to offer some constructive criticisms and to present various solutions that would reconcile the Union’s normative commitments with its migration practices. To that end, we will proceed in four major steps. To begin with, we present a thorough diagnostic of the current situation of the Union’s migration policies and of its adequation to its self-assigned values and norms. Then, we introduce three possible scenarios for the future of the Union’s migration policies. In our first scenario, we suggest that the current status quo is unstable and that its perpetuation is likely to come at a political cost. We then sketch two alternative options. In the second scenario, the Union takes a step back in the management of its external borders, hands over most of the operational responsibilities to its member states and limits itself to a supe</w:t>
      </w:r>
    </w:p>
    <w:p>
      <w:pPr/>
      <w:r>
        <w:rPr>
          <w:b/>
        </w:rPr>
        <w:t>POSSIBLE 2021:</w:t>
      </w:r>
      <w:r>
        <w:t xml:space="preserve"> The Grand Tour of Europe — https://doi.org/10.7146/nts.v32i2.124349</w:t>
      </w:r>
    </w:p>
    <w:p>
      <w:pPr/>
      <w:r>
        <w:rPr>
          <w:b/>
        </w:rPr>
        <w:t>Shared claim-specific concepts:</w:t>
      </w:r>
      <w:r>
        <w:t xml:space="preserve"> two, possible, article; EU scope visible. This is a provisional connection, not an outcome finding.</w:t>
      </w:r>
    </w:p>
    <w:p>
      <w:pPr>
        <w:pStyle w:val="SourceNote"/>
      </w:pPr>
      <w:r>
        <w:rPr>
          <w:b/>
        </w:rPr>
        <w:t>Available abstract (not full text):</w:t>
      </w:r>
      <w:r>
        <w:t xml:space="preserve"> This article investigates the artistic Grand Tour of the nineteenth-century Danish theatre painter C.F. Christensen made between the spring of 1838 and the fall of 1839, and how it influenced his later scenographic work at the Royal Danish Theatre. Using a variety of archival sources, his Grand Tour is reconstructed. His travels through Germany, Bohemia, Moravia, Switzerland, France, Italy, and the Tyrol exposed him to some of the greatest art and most innovative theatre Europe had to offer. Through the sketches done on his trip, it is possible to see the seeds of inspiration that took root in his scenography upon his return to Copenhagen. Scenography for two August Bournonville ballets that Christensen created after his return will be analyzed: The Festival in Albano and Acts 2 and 3 of Napoli.</w:t>
      </w:r>
    </w:p>
    <w:p>
      <w:pPr/>
      <w:r>
        <w:rPr>
          <w:b/>
        </w:rPr>
        <w:t>POSSIBLE 2020:</w:t>
      </w:r>
      <w:r>
        <w:t xml:space="preserve"> Public Policy during COVID-19: Challenges for Public Administration and Policy Research in Central and Eastern Europe — https://doi.org/10.2478/nispa-2020-0011</w:t>
      </w:r>
    </w:p>
    <w:p>
      <w:pPr/>
      <w:r>
        <w:rPr>
          <w:b/>
        </w:rPr>
        <w:t>Shared claim-specific concepts:</w:t>
      </w:r>
      <w:r>
        <w:t xml:space="preserve"> suggested, article; EU scope visible. This is a provisional connection, not an outcome finding.</w:t>
      </w:r>
    </w:p>
    <w:p>
      <w:pPr>
        <w:pStyle w:val="SourceNote"/>
      </w:pPr>
      <w:r>
        <w:rPr>
          <w:b/>
        </w:rPr>
        <w:t>Available abstract (not full text):</w:t>
      </w:r>
      <w:r>
        <w:t xml:space="preserve"> Abstract The authors of this text decided to prepare a short article, with the aim to induce further discussion and to orient ongoing and future research efforts in Central and Eastern Europe but also worldwide. The article uses the method of a multi-country case study as the basis for proposing several critical research (and policy) challenges for our region – but many of them of a world-wide character. Four countries are covered by our thumbnail informative sketches – the Czech Republic, Estonia, Hungary and the Slovak Republic. The final part of this article proposes a set of questions suggested by the CEE experience with COVID-19 for future research. Such research will both be necessary and interesting for scholarship and policy in the region, and – as a particularly interesting context and area – helpful, one hopes, for questions and answers globally, concerning the pandemic, as well as public administration and policy as a whole.</w:t>
      </w:r>
    </w:p>
    <w:p>
      <w:pPr/>
      <w:r>
        <w:rPr>
          <w:b/>
        </w:rPr>
        <w:t>POSSIBLE 2019:</w:t>
      </w:r>
      <w:r>
        <w:t xml:space="preserve"> Innovators in the Crossfire: A Policy Sketch for Unknowable Risks in European and United States Product Liability Law — https://doi.org/10.37381/tds8a957</w:t>
      </w:r>
    </w:p>
    <w:p>
      <w:pPr/>
      <w:r>
        <w:rPr>
          <w:b/>
        </w:rPr>
        <w:t>Shared claim-specific concepts:</w:t>
      </w:r>
      <w:r>
        <w:t xml:space="preserve"> sketch, possible, union, far, article; EU scope visible. This is a provisional connection, not an outcome finding.</w:t>
      </w:r>
    </w:p>
    <w:p>
      <w:pPr>
        <w:pStyle w:val="SourceNote"/>
      </w:pPr>
      <w:r>
        <w:rPr>
          <w:b/>
        </w:rPr>
        <w:t>Available abstract (not full text):</w:t>
      </w:r>
      <w:r>
        <w:t xml:space="preserve"> hrrRopucroNA product defect results from an unknowable innovation riskl when available scientific testing procedures could not have permitted discovery of the defect prior to the product's initial manufacture.Such product defects occur rather commonly in innovative or newly developed products and materials2 typically found in the pharmaceutical, medico- technical, nuclear, aviation, and biochemical engineering industries.Irgal treatment of product innovation risks has significant economic implications, which this Article addresses.Although strict liabilityincluding liability for innovation risks-has expanded for the last twenty years,3 it now seems to have started to contract on both sides of the Atlantic.4The role of innovation risks in product liability law is currently attracting attention from both lawyers and government administrators.Although cunently on the European Union's agenda, the subject of innovation risk has thus far beon addressed only tentatively in Council Directive 85/374 of July 25, 1985, concerning the member states'l.This term excludes losses occurring after the risk has been detected because such lesses result from failure to forewam a user of its consequences, not from the innovation risk itself.James A. Henderson, h., Coping with the Time Dimension in Products linbility,69 Cru-.L. REV.919, 922 n.5 (1981).Because these cases do not pose special problems </w:t>
      </w:r>
    </w:p>
    <w:p>
      <w:pPr>
        <w:pStyle w:val="Heading2"/>
      </w:pPr>
      <w:r>
        <w:t>852.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r>
        <w:rPr>
          <w:b/>
        </w:rPr>
        <w:t>POSSIBLE 2021:</w:t>
      </w:r>
      <w:r>
        <w:t xml:space="preserve"> Seeking proxies for internal states (SPIS): Towards a novel model of obsessive-compulsive disorder — https://doi.org/10.1016/j.brat.2021.103987</w:t>
      </w:r>
    </w:p>
    <w:p>
      <w:pPr/>
      <w:r>
        <w:rPr>
          <w:b/>
        </w:rPr>
        <w:t>Shared claim-specific concepts:</w:t>
      </w:r>
      <w:r>
        <w:t xml:space="preserve"> next, internal, external; EU scope not established. This is a provisional connection, not an outcome finding.</w:t>
      </w:r>
    </w:p>
    <w:p>
      <w:pPr>
        <w:pStyle w:val="SourceNote"/>
      </w:pPr>
      <w:r>
        <w:rPr>
          <w:b/>
        </w:rPr>
        <w:t>Available abstract (not full text):</w:t>
      </w:r>
      <w:r>
        <w:t xml:space="preserve"> The Seeking Proxies for Internal States (SPIS) model of obsessive-compulsive disorder (OCD) proposes an account of OCD symptoms in terms of two core components: attenuation of access to internal states and seeking proxies for internal states. Specifically, the SPIS model posits that OCD is associated with difficulty in accessing various internal states, including feelings, preferences, memories, and even physiological states. This difficulty drives obsessive-compulsive individuals seek and rely on compensatory proxies, or substitutes, for their internal states. These proxies are perceived by the individual with OCD to be more easily discernible or less ambiguous compared to the internal states for which they substitute, and can take the form of fixed rules, rituals, or reliance on external sources of information. In the present article we first provide a detailed explanation of the SPIS model, and then review empirical studies that examined the model in a variety of domains, including bodily states, emotions, and decision-making. Next, we elaborate on the SPIS model's novel account of compulsive rituals, obsessions and doubt and relate them to extant theoretical accounts of OCD. To conclude, we highlight open questions that can guide future research and discuss the model's clinical implications.</w:t>
      </w:r>
    </w:p>
    <w:p>
      <w:pPr/>
      <w:r>
        <w:rPr>
          <w:b/>
        </w:rPr>
        <w:t>POSSIBLE 2020:</w:t>
      </w:r>
      <w:r>
        <w:t xml:space="preserve"> Shadow Education in Europe: Growing Prevalence, Underlying Forces, and Policy Implications — https://doi.org/10.1177/2096531119890142</w:t>
      </w:r>
    </w:p>
    <w:p>
      <w:pPr/>
      <w:r>
        <w:rPr>
          <w:b/>
        </w:rPr>
        <w:t>Shared claim-specific concepts:</w:t>
      </w:r>
      <w:r>
        <w:t xml:space="preserve"> four, government; EU scope visible. This is a provisional connection, not an outcome finding.</w:t>
      </w:r>
    </w:p>
    <w:p>
      <w:pPr>
        <w:pStyle w:val="SourceNote"/>
      </w:pPr>
      <w:r>
        <w:rPr>
          <w:b/>
        </w:rPr>
        <w:t>Available abstract (not full text):</w:t>
      </w:r>
      <w:r>
        <w:t xml:space="preserve"> Purpose: Private supplementary tutoring, widely known as shadow education, has long been visible in East Asia, and now has spread to other parts of the world including Europe. This article maps the phenomenon, showing variations within Europe and analyzing its growth, underlying forces, and policy implications. Design/Approach/Methods: The article assembles a regional picture from available national sources. It focuses on the 28 members of the European Union. Findings: Within Europe, four subregions may be identified. Most prominent for the longest duration has been Southern Europe, pushed by political forces and cultural factors. In Eastern Europe, shadow education became prominent following the collapse of the Soviet Union and accompanying economic and social structures during which teachers and others had to earn extra incomes. In Western Europe, the advent of marketization alongside government schooling has fueled the growth of shadow education. Only in Northern Europe does shadow education remain modest in scale, but it is growing there too. Originality/Value: The article identifies forces underlying the growth of shadow education in Europe and highlights policy implications. By contributing this regional perspective to the wider literature on shadow education, the article permits juxtaposition with patterns in East Asia and elsewhere.</w:t>
      </w:r>
    </w:p>
    <w:p>
      <w:pPr/>
      <w:r>
        <w:rPr>
          <w:b/>
        </w:rPr>
        <w:t>POSSIBLE 2020:</w:t>
      </w:r>
      <w:r>
        <w:t xml:space="preserve"> People in transitions: Energy citizenship, prosumerism and social movements in Europe — https://doi.org/10.1016/j.erss.2020.101718</w:t>
      </w:r>
    </w:p>
    <w:p>
      <w:pPr/>
      <w:r>
        <w:rPr>
          <w:b/>
        </w:rPr>
        <w:t>Shared claim-specific concepts:</w:t>
      </w:r>
      <w:r>
        <w:t xml:space="preserve"> relationships, between; EU scope visible. This is a provisional connection, not an outcome finding.</w:t>
      </w:r>
    </w:p>
    <w:p>
      <w:pPr>
        <w:pStyle w:val="SourceNote"/>
      </w:pPr>
      <w:r>
        <w:rPr>
          <w:b/>
        </w:rPr>
        <w:t>Available abstract (not full text):</w:t>
      </w:r>
      <w:r>
        <w:t xml:space="preserve">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r>
        <w:rPr>
          <w:b/>
        </w:rPr>
        <w:t>POSSIBLE 2019:</w:t>
      </w:r>
      <w:r>
        <w:t xml:space="preserve"> Achievements of the European Union Countries in Seeking a Sustainable Electricity Sector — https://doi.org/10.3390/en12122254</w:t>
      </w:r>
    </w:p>
    <w:p>
      <w:pPr/>
      <w:r>
        <w:rPr>
          <w:b/>
        </w:rPr>
        <w:t>Shared claim-specific concepts:</w:t>
      </w:r>
      <w:r>
        <w:t xml:space="preserve"> seeks, identify, increase; EU scope visible. This is a provisional connection, not an outcome finding.</w:t>
      </w:r>
    </w:p>
    <w:p>
      <w:pPr>
        <w:pStyle w:val="SourceNote"/>
      </w:pPr>
      <w:r>
        <w:rPr>
          <w:b/>
        </w:rPr>
        <w:t>Available abstract (not full text):</w:t>
      </w:r>
      <w:r>
        <w:t xml:space="preserve">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pPr>
        <w:pStyle w:val="Heading2"/>
      </w:pPr>
      <w:r>
        <w:t>853.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r>
        <w:rPr>
          <w:b/>
        </w:rPr>
        <w:t>POSSIBLE 2024:</w:t>
      </w:r>
      <w:r>
        <w:t xml:space="preserve"> Nonlinear Influence of the Built Environment on the Attraction of the Third Activity: A Comparative Analysis of Inflow from Home and Work — https://doi.org/10.3390/ijgi13090337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pPr/>
      <w:r>
        <w:rPr>
          <w:b/>
        </w:rPr>
        <w:t>POSSIBLE 2023:</w:t>
      </w:r>
      <w:r>
        <w:t xml:space="preserve"> THE HALF AND THE THIRD – BINARY CONTINUITY LESSON IN THIRD AND FIFTH GRADES — https://doi.org/10.26883/2010.232.5592</w:t>
      </w:r>
    </w:p>
    <w:p>
      <w:pPr/>
      <w:r>
        <w:rPr>
          <w:b/>
        </w:rPr>
        <w:t>Shared claim-specific concepts:</w:t>
      </w:r>
      <w:r>
        <w:t xml:space="preserve"> third, show, work, two; EU scope not established. This is a provisional connection, not an outcome finding.</w:t>
      </w:r>
    </w:p>
    <w:p>
      <w:pPr>
        <w:pStyle w:val="SourceNote"/>
      </w:pPr>
      <w:r>
        <w:rPr>
          <w:b/>
        </w:rPr>
        <w:t>Available abstract (not full text):</w:t>
      </w:r>
      <w:r>
        <w:t xml:space="preserve">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pPr>
        <w:pStyle w:val="Heading2"/>
      </w:pPr>
      <w:r>
        <w:t>854.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2024:</w:t>
      </w:r>
      <w:r>
        <w:t xml:space="preserve"> Multilayered Computational Framework for Designing Peptide Inhibitors of HVEM-LIGHT Interaction — https://doi.org/10.1021/acs.jpcb.4c02255</w:t>
      </w:r>
    </w:p>
    <w:p>
      <w:pPr/>
      <w:r>
        <w:rPr>
          <w:b/>
        </w:rPr>
        <w:t>Shared claim-specific concepts:</w:t>
      </w:r>
      <w:r>
        <w:t xml:space="preserve"> light, identified, assessed, different; EU scope not established. This is a provisional connection, not an outcome finding.</w:t>
      </w:r>
    </w:p>
    <w:p>
      <w:pPr>
        <w:pStyle w:val="SourceNote"/>
      </w:pPr>
      <w:r>
        <w:rPr>
          <w:b/>
        </w:rPr>
        <w:t>Available abstract (not full text):</w:t>
      </w:r>
      <w:r>
        <w:t xml:space="preserve"> The herpesvirus entry mediator (HVEM) and its ligand LIGHT play crucial roles in immune system regulation, including T-cell proliferation, B-cell differentiation, and immunoglobulin secretion. However, excessive T-cell activation can lead to chronic inflammation and autoimmune diseases. Thus, inhibiting the HVEM-LIGHT interaction emerges as a promising therapeutic strategy for these conditions and in preventing adverse reactions in organ transplantation. This study focused on designing peptide inhibitors, targeting the HVEM-LIGHT interaction, using molecular dynamics (MD) simulations of 65 peptides derived from HVEM. These peptides varied in length and disulfide-bond configurations, crucial for their interaction with the LIGHT trimer. By simulating 31 HVEM domain variants, including the full-length protein, we assessed conformational changes upon LIGHT binding to understand the influence of HVEM segments and disulfide bonds on the binding mechanism. Employing multitrajectory microsecond-scale, all-atom MD simulations and molecular mechanics with generalized Born and surface area (MM-GBSA) binding energy estimation, we identified promising CRD2 domain variants with high LIGHT affinity. Notably, point mutations in these variants led to a peptide with a single disulfide bond (C58-C73) and a K54E substitution, exhibiting the highest binding affinity. The importance of the CRD2 doma</w:t>
      </w:r>
    </w:p>
    <w:p>
      <w:pPr/>
      <w:r>
        <w:rPr>
          <w:b/>
        </w:rPr>
        <w:t>POSSIBLE 2024:</w:t>
      </w:r>
      <w:r>
        <w:t xml:space="preserve"> A Review of Port Decarbonisation Options: Identified Opportunities for Deploying Hydrogen Technologies — https://doi.org/10.3390/su16083299</w:t>
      </w:r>
    </w:p>
    <w:p>
      <w:pPr/>
      <w:r>
        <w:rPr>
          <w:b/>
        </w:rPr>
        <w:t>Shared claim-specific concepts:</w:t>
      </w:r>
      <w:r>
        <w:t xml:space="preserve"> options, identified, each; EU scope not established. This is a provisional connection, not an outcome finding.</w:t>
      </w:r>
    </w:p>
    <w:p>
      <w:pPr>
        <w:pStyle w:val="SourceNote"/>
      </w:pPr>
      <w:r>
        <w:rPr>
          <w:b/>
        </w:rPr>
        <w:t>Available abstract (not full text):</w:t>
      </w:r>
      <w:r>
        <w:t xml:space="preserve"> The utilisation of hydrogen is being explored as a viable solution for reducing carbon emissions in port operations, with potential applications in cargo handling, transportation, and shipping vessel operations. To comprehensively list the decarbonisation options in ports, this study conducted a Systematic Literature Review to identify and then survey twelve highly cited review papers. Initially, a typology approach was used to categorise the decarbonisation options by activities and technologies. Subsequently, the study introduced a novel Port Energy Map to reveal the energy system pathways and their interconnections. Each pathway was then converted into a simpler linear sequence of activities, shown as a Port Energy System Taxonomy, which outlines the energy supply and energy-using activities. By utilising this taxonomy and map, the study identified opportunities and research gaps for integrating hydrogen technologies into port energy systems, which serves as a valuable tool for assessing port decarbonisation options.</w:t>
      </w:r>
    </w:p>
    <w:p>
      <w:pPr/>
      <w:r>
        <w:rPr>
          <w:b/>
        </w:rPr>
        <w:t>POSSIBLE 2024:</w:t>
      </w:r>
      <w:r>
        <w:t xml:space="preserve"> Too many options: How to identify coalitions in a policy network? — https://doi.org/10.1016/j.socnet.2024.06.005</w:t>
      </w:r>
    </w:p>
    <w:p>
      <w:pPr/>
      <w:r>
        <w:rPr>
          <w:b/>
        </w:rPr>
        <w:t>Shared claim-specific concepts:</w:t>
      </w:r>
      <w:r>
        <w:t xml:space="preserve"> set, options, different; EU scope not established. This is a provisional connection, not an outcome finding.</w:t>
      </w:r>
    </w:p>
    <w:p>
      <w:pPr>
        <w:pStyle w:val="SourceNote"/>
      </w:pPr>
      <w:r>
        <w:rPr>
          <w:b/>
        </w:rPr>
        <w:t>Available abstract (not full text):</w:t>
      </w:r>
      <w:r>
        <w:t xml:space="preserve"> For different currents in policy analysis as policy networks and the Advocacy Coalition Framework (ACF), identifying coalitions from policy beliefs and coordination between actors is crucial to a precise understanding of a policy process. Focusing particularly the relational dimension of ACF approaches linked with policy network analysis, determining policy subsystems from the actor collaborations and exchanges has recently begun offering fertile links with the network analysis. Studies in this way frequently apply Block Modeling and Community Detection (BMCD) strategies to define homogeneous political groups. However, the BMCD literature is growing quickly, using a wide variety of algorithms and interesting selection methods that are much more diverse than those used in the policy network analysis and particularly the ACF when this current focused on the collaboration networks before or after regarding the belief distance between actors. Identifying the best methodological option in a specific context can therefore be difficult and few ACF studies give an explicit justification. On the other hand, few BMCD publications offer a systematic comparison of real social networks and they are never applied to policy network datasets. This paper offers a new, relevant 5-Step selection method to reconcile advances in both the policy networks/ACF and BMCD. Using an application based on o</w:t>
      </w:r>
    </w:p>
    <w:p>
      <w:pPr/>
      <w:r>
        <w:rPr>
          <w:b/>
        </w:rPr>
        <w:t>POSSIBLE 2023:</w:t>
      </w:r>
      <w:r>
        <w:t xml:space="preserve"> Visible Light Induced EDA‐mediated Deaminative C‐2 Alkylation of Heterocyclic‐ N ‐Oxides using Katritzky salts — https://doi.org/10.1002/adsc.202300723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Herein, a direct C‐2 alkylation of Heterocyclic‐ N ‐oxides with alkyl amines as Katritzky salts via visible‐light induced deaminative approach was developed. Mechanistic studies revealed that Katritzky salts and base were involved to generate an EDA complex, which underwent intermolecular single electron transfer ( SET ) to give an alkyl radical intermediate. Finally, the alkyl radical intermediate further underwent‐addition with heterocyclic‐ N ‐oxide substrates to access the desired products with 63–94% yield. The method worked well with quinoline‐ N ‐oxides, pyridine‐ N ‐oxides, and benzopyrazine‐ N ‐oxides.</w:t>
      </w:r>
    </w:p>
    <w:p>
      <w:pPr/>
      <w:r>
        <w:rPr>
          <w:b/>
        </w:rPr>
        <w:t>POSSIBLE 2022:</w:t>
      </w:r>
      <w:r>
        <w:t xml:space="preserve"> Colour, Light, and Materiality: Biophilic Interior Design Presence in Research and Practice — https://doi.org/10.7454/in.v5i1.189</w:t>
      </w:r>
    </w:p>
    <w:p>
      <w:pPr/>
      <w:r>
        <w:rPr>
          <w:b/>
        </w:rPr>
        <w:t>Shared claim-specific concepts:</w:t>
      </w:r>
      <w:r>
        <w:t xml:space="preserve"> light, developed, identified; EU scope not established. This is a provisional connection, not an outcome finding.</w:t>
      </w:r>
    </w:p>
    <w:p>
      <w:pPr>
        <w:pStyle w:val="SourceNote"/>
      </w:pPr>
      <w:r>
        <w:rPr>
          <w:b/>
        </w:rPr>
        <w:t>Available abstract (not full text):</w:t>
      </w:r>
      <w:r>
        <w:t xml:space="preserve"> The biophilic design hypothesis uses nature-based environmental design for optimising people’s health and well-being. Stephen Kellert in 2008 developed a list of biophilic attributes that was further refined in the Biophilic Interior Design Matrix (BID-M) to specifically support the interior application of biophilic design for health and well-being. The present study further investigates biophilic interior design using the BID-M language and the key interior design components colour, light, and materiality. The first part of the study reviewed four decades of literature related to biophilia and colour, light, and materiality to investigate a total of 19 publications. The second part of the study explored the perceptions of 23 design practitioners' and the use of biophilia related to colour, light, and materiality in their practice. For the first time, evidence was identified about colour, light, and materiality being linked to biophilic design and the attributes in the BID-M. The study results showed colour preferences were the most frequently identified theme, and practitioners used a variety of biophilic attributes in their practice. The top attributes shared by both the literature review and practitioners were the abstraction of nature, composition, natural light, and natural materials. This finding shows that there is a focus on biophilic attributes in both research and pra</w:t>
      </w:r>
    </w:p>
    <w:p>
      <w:pPr>
        <w:pStyle w:val="Heading2"/>
      </w:pPr>
      <w:r>
        <w:t>855.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2025:</w:t>
      </w:r>
      <w:r>
        <w:t xml:space="preserve"> Backcasting Future Human Autonomy and Ethics Protection in Smart Health Environments: A Case Study — https://doi.org/10.1109/ethics65148.2025.11098357</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Anticipating ethical risks in smart health-IoT (H-IoT) ensures safer solutions that protect human autonomy and privacy from intrusive surveillance. Previous research involving vulnerable groups has not had a significant emphasis on exploring alternative scenarios that prioritize the ethical criteria of human autonomy that can safeguard against external control and surveillance. In this paper, we concentrate on challenges related to the need for ethical protection of human autonomy in Internet of Things-based health-monitoring. More concretely, we present a case study focusing on older adults. We used a participatory ethical foresight methodology, involving various relevant stakeholders, to develop scenarios paired with roadmaps via “backcasting” techniques. Educational capacity, institutional transparency, gaining control over communication channels, and confronting commercial narratives are actionable measures with consensus. To succeed and to ensure adequate actions to bridge the gap between present and future, additional efforts to shift engineers' perspectives toward relevant ethical risks are needed.</w:t>
      </w:r>
    </w:p>
    <w:p>
      <w:pPr/>
      <w:r>
        <w:rPr>
          <w:b/>
        </w:rPr>
        <w:t>POSSIBLE 2025:</w:t>
      </w:r>
      <w:r>
        <w:t xml:space="preserve"> Participatory toponym handling: Preserving local names in Indonesia — https://doi.org/10.3990/1.9789036565905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Toponym Handling: Preserving Local Names in Indonesia investigates the development of a Participatory Toponym Handling (PTH) framework to preserve local geographical names (toponyms) in Indonesia. The study addresses gaps in traditional toponym handling approaches by incorporating citizen participation and fostering collaboration among diverse stakeholders, including government agencies, researchers, non-governmental organizations, and local communities. The research objectives are threefold: to assess the current state and challenges of toponym handling, to develop a generic PTH framework tailored to the Indonesian context, and to implement and evaluate this framework in practical projects. The methodology encompasses literature reviews, stakeholder analyses, and participatory projects conducted in Indonesia. These projects engaged citizens through mobile applications, workshops, and community-driven surveys to collect and enrich toponymic information. The findings demonstrate the substantial contribution of citizen participation to the enhancement of toponymic datasets by incorporating cultural, historical, and linguistic insights. The PTH framework effectively facilitated collaborative learning and knowledge exchange among stakeholders. However, the study also identified challenges, including legal and organizational barriers, data quality assurance, and partic</w:t>
      </w:r>
    </w:p>
    <w:p>
      <w:pPr/>
      <w:r>
        <w:rPr>
          <w:b/>
        </w:rPr>
        <w:t>POSSIBLE 2024:</w:t>
      </w:r>
      <w:r>
        <w:t xml:space="preserve"> Exploring Backcasting as a Tool to Co-create a Vision for a Circular Economy: A Case Study of the Polyurethane Foam Industry — https://doi.org/10.55845/uzxq5070</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The pursuit of Circular Economy (CE) principles in industrial activities is crucial for mitigating environmental impacts, particularly in relation to plastic consumption and waste. While desirable, such a transition is incredibly challenging for many industries. Using the polyurethane (PU) foam industry as a starting point, a participatory planning process called backcasting was used to engage diverse stakeholders and explore the potential for CE implementation and transition. Usually applied in policy-making contexts, this study used a particular approach (“ABCD-method”) to facilitate a workshop of industry representatives from across the PU foam value chain: recyclers, chemical suppliers, manufacturers, academia, and governments. Through the process, participants discussed, developed and agreed upon 78 CE Pathways, categorizing these as short-, mid-, and/or long-term priorities, and assigning them to respective and appropriate PU foam value chain members. These co-created CE Pathway priorities, such as the development of industry-wide material specifications, simplified chemical formulations, and innovation in feedstock sourcing, may contribute to increased industry awareness about potential opportunities for transition to the CE within PU foam value chain. CE Pathway priorities from this work are informing the strategic roadmap for the PU foam industry’s transition to CE. Fu</w:t>
      </w:r>
    </w:p>
    <w:p>
      <w:pPr/>
      <w:r>
        <w:rPr>
          <w:b/>
        </w:rPr>
        <w:t>POSSIBLE 2024:</w:t>
      </w:r>
      <w:r>
        <w:t xml:space="preserve"> Participatory backcasting towards desirable co-produced mobility futures: A case study of MaaS in Greater Manchester — https://doi.org/10.1016/j.futures.2024.103463</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Mobility-as-a-Service (MaaS) has emerged as a model supported by popular discourse on achieving greener, more efficient and equitable future mobility. While technological change is a primary driver for models of development, the policy pathways, implementation and implications of MaaS are complex and unclear. In this paper, we explore the implications and limitations of a participatory approach to co-produced MaaS futures in Greater Manchester (GM). We adapt a backcasting methodology involving two stakeholder workshops to develop shared future visions and action pathways. Our methodology includes a participatory approach to pluralistic vision development and the use of a Three Horizons method for backcasting. This approach provides the opportunity to explore multiple desirable futures and the formulation of action pathways without negating plausible future possibilities. The research identifies multiple policy and collaborative action areas while also revealing limitations in MaaS user agency and unaddressed sustainability concerns related to wider Smart City criticisms. Findings also suggest a lack of adequate theory within current MaaS frameworks to engage with uncertainty, change and adaptive capacity. Future areas of research include the expansion of current frameworks to incorporate alternative framings from planning and complexity theories already attempting to address th</w:t>
      </w:r>
    </w:p>
    <w:p>
      <w:pPr/>
      <w:r>
        <w:rPr>
          <w:b/>
        </w:rPr>
        <w:t>POSSIBLE 2023:</w:t>
      </w:r>
      <w:r>
        <w:t xml:space="preserve"> Advancing participatory backcasting for climate change adaptation planning using 10 cases from 3 continents — https://doi.org/10.1016/j.crm.2023.100559</w:t>
      </w:r>
    </w:p>
    <w:p>
      <w:pPr/>
      <w:r>
        <w:rPr>
          <w:b/>
        </w:rPr>
        <w:t>Shared claim-specific concepts:</w:t>
      </w:r>
      <w:r>
        <w:t xml:space="preserve"> developed, participatory, backcasting; EU scope visible. This is a provisional connection, not an outcome finding.</w:t>
      </w:r>
    </w:p>
    <w:p>
      <w:pPr>
        <w:pStyle w:val="SourceNote"/>
      </w:pPr>
      <w:r>
        <w:rPr>
          <w:b/>
        </w:rPr>
        <w:t>Available abstract (not full text):</w:t>
      </w:r>
      <w:r>
        <w:t xml:space="preserve">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pPr>
        <w:pStyle w:val="Heading2"/>
      </w:pPr>
      <w:r>
        <w:t>856.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2021:</w:t>
      </w:r>
      <w:r>
        <w:t xml:space="preserve"> Mediatization Of Electoral Processes In Europe — https://doi.org/10.15405/epsbs.2021.05.02.150</w:t>
      </w:r>
    </w:p>
    <w:p>
      <w:pPr/>
      <w:r>
        <w:rPr>
          <w:b/>
        </w:rPr>
        <w:t>Shared claim-specific concepts:</w:t>
      </w:r>
      <w:r>
        <w:t xml:space="preserve"> network, ideas, one; EU scope visible. This is a provisional connection, not an outcome finding.</w:t>
      </w:r>
    </w:p>
    <w:p>
      <w:pPr>
        <w:pStyle w:val="SourceNote"/>
      </w:pPr>
      <w:r>
        <w:rPr>
          <w:b/>
        </w:rPr>
        <w:t>Available abstract (not full text):</w:t>
      </w:r>
      <w:r>
        <w:t xml:space="preserve"> The material considers political manipulation in social networks, which is one of the important political aspects of communication in election campaigns. The aim of the study is to identify the features of the use of political manipulation technologies in European social networks based on an analysis of the presidential elections in France. The material demonstrates the different uses of social networks (Facebook, Twitter, Telegram and others) in the presidential election campaigns in France in 2012 and 2017 with an emphasis on the younger generation, due to the greatest susceptibility to hidden management, because they are more impulsive and do not have distinct life landmarks. Social networks and platforms are considered as a tool for changing and complementing traditional media. Political programs are considered as a start to the stream of comments on the social network Twitter on television; joining a TV audience to a social network for a detailed analysis of the biography of politicians; considered television as a mediator of ideas in this case. The material also provides an example of an analysis of the digitalization risks of the election campaign in France during the presidential election, the use of specially created computer games, as well as bots during election campaigns. The material in some cases compares the use of social networks in France and Russia, a forecast</w:t>
      </w:r>
    </w:p>
    <w:p>
      <w:pPr>
        <w:pStyle w:val="Heading2"/>
      </w:pPr>
      <w:r>
        <w:t>857.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r>
        <w:rPr>
          <w:b/>
        </w:rPr>
        <w:t>POSSIBLE 2023:</w:t>
      </w:r>
      <w:r>
        <w:t xml:space="preserve"> Three years of COVID-19 and life satisfaction in Europe: A macro view — https://doi.org/10.1073/pnas.2300717120</w:t>
      </w:r>
    </w:p>
    <w:p>
      <w:pPr/>
      <w:r>
        <w:rPr>
          <w:b/>
        </w:rPr>
        <w:t>Shared claim-specific concepts:</w:t>
      </w:r>
      <w:r>
        <w:t xml:space="preserve"> view, about;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r>
        <w:rPr>
          <w:b/>
        </w:rPr>
        <w:t>POSSIBLE 2022:</w:t>
      </w:r>
      <w:r>
        <w:t xml:space="preserve"> CoAct D7.4 Final Impact Assessment Report: Evaluation results, overall impact assessment and final reflections on co-evaluation — https://doi.org/10.5281/zenodo.7468545</w:t>
      </w:r>
    </w:p>
    <w:p>
      <w:pPr/>
      <w:r>
        <w:rPr>
          <w:b/>
        </w:rPr>
        <w:t>Shared claim-specific concepts:</w:t>
      </w:r>
      <w:r>
        <w:t xml:space="preserve"> view, evaluation, well, review; EU scope visible. This is a provisional connection, not an outcome finding.</w:t>
      </w:r>
    </w:p>
    <w:p>
      <w:pPr>
        <w:pStyle w:val="SourceNote"/>
      </w:pPr>
      <w:r>
        <w:rPr>
          <w:b/>
        </w:rPr>
        <w:t>Available abstract (not full text):</w:t>
      </w:r>
      <w:r>
        <w:t xml:space="preserve"> The aim of the evaluation and impact assessment activities in the CoAct project has been twofold. On the one hand, a process-oriented view should help to reflect on how the participatory research process is implemented across all relevant stakeholders and what can be learned and adapted from the collected feedback and insights. This formative evaluation led to insights on the Citizen Social Science co-research process as well as drivers and drivers for participation. Concrete findings have been discussed regularly in the project consortium and have been documented in detail in D7.2 (Kieslinger et al. 2021). On the other hand, the impact assessment activities - or summative evaluation - were aimed to bring evidence of the impact that the project’s Citizen Social Science activities have on the involved actors, such as Co-Researcher s, citizen scientists, Knowledge Coalition members, and professional researchers, as well as on their socio-cultural contexts, and the scientific discourse at large, in a collaborative and participatory manner. This document focuses on the latter, the impact achieved during the project and beyond. DISCLAIMER: The present Project Deliverable has been submitted to the European Commission for review. The information and views set out in this report are those of the author(s) and do not necessarily reflect the official opinion of the European Union. Neithe</w:t>
      </w:r>
    </w:p>
    <w:p>
      <w:pPr/>
      <w:r>
        <w:rPr>
          <w:b/>
        </w:rPr>
        <w:t>POSSIBLE 2021:</w:t>
      </w:r>
      <w:r>
        <w:t xml:space="preserve"> Evaluating the systematic risk and its impact on profitability and liquidity; evidence from European countries — https://doi.org/10.1504/ijesb.2021.117342</w:t>
      </w:r>
    </w:p>
    <w:p>
      <w:pPr/>
      <w:r>
        <w:rPr>
          <w:b/>
        </w:rPr>
        <w:t>Shared claim-specific concepts:</w:t>
      </w:r>
      <w:r>
        <w:t xml:space="preserve"> view, evaluation, expected, evaluating; EU scope visible. This is a provisional connection, not an outcome finding.</w:t>
      </w:r>
    </w:p>
    <w:p>
      <w:pPr>
        <w:pStyle w:val="SourceNote"/>
      </w:pPr>
      <w:r>
        <w:rPr>
          <w:b/>
        </w:rPr>
        <w:t>Available abstract (not full text):</w:t>
      </w:r>
      <w:r>
        <w:t xml:space="preserve">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pPr>
        <w:pStyle w:val="Heading2"/>
      </w:pPr>
      <w:r>
        <w:t>858.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PAKISTAN’S DEMOCRACY AND ROLE OF EUROPEAN UNION — https://openalex.org/W7219989803</w:t>
      </w:r>
    </w:p>
    <w:p>
      <w:pPr/>
      <w:r>
        <w:rPr>
          <w:b/>
        </w:rPr>
        <w:t>Shared claim-specific concepts:</w:t>
      </w:r>
      <w:r>
        <w:t xml:space="preserve"> aim, article, democracy; EU scope visible. This is a provisional connection, not an outcome finding.</w:t>
      </w:r>
    </w:p>
    <w:p>
      <w:pPr>
        <w:pStyle w:val="SourceNote"/>
      </w:pPr>
      <w:r>
        <w:rPr>
          <w:b/>
        </w:rPr>
        <w:t>Available abstract (not full text):</w:t>
      </w:r>
      <w:r>
        <w:t xml:space="preserve"> This article aims to explore the EU's role in building and strengthening democratic institutions in Pakistan. It examines the concept of diffuse democracy and its applicability to the EU's structure and investigates the accountability mechanisms implemented by the EU. Additionally, the article analyzes the demand for more democratic control and accountability in Western democracies and explores whether the EU has developed a new model of democracy known as "diffuse democracy." In recent years, there has been a growing demand for more democratic control and accountability in western democracies. This demand has led to an increase in mechanisms of control over political bodies and institutions, as well as a diversification of these mechanisms. The EU is at the forefront of these changes, with many policy-makers and scholars believing that it is leading to a renewal of democracy. However, as the EU is not a state and does not have classic institutional devices such as parliamentary or presidential regimes, it relies on diffuse mechanisms of democratic control. These mechanisms, while not efficient enough to be considered fully democratic, aim to promote democratic values and principles in Pakistan. EU has been making efforts to build and strengthen democratic institutions in Pakistan, a country in its developmental phase. These efforts include supporting the establishment of indep</w:t>
      </w:r>
    </w:p>
    <w:p>
      <w:pPr>
        <w:pStyle w:val="Heading2"/>
      </w:pPr>
      <w:r>
        <w:t>859.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2024:</w:t>
      </w:r>
      <w:r>
        <w:t xml:space="preserve"> Building a Set of Indicators to Assess Migrant Children's Integration in Europe: A Co-Creation Approach — https://doi.org/10.1007/s12187-024-10165-y</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Abstract The integration of refugee and migrant children, one of Europe’s most vulnerable populations, is a crucial challenge for EU societies and their present and future social cohesion. Despite extensive knowledge on migrant integration, we still lack specific instruments to measure children's integration and set goal-oriented targets to promote it. Our research responds to this need by presenting and discussing a new child-centered system of indicators with a twofold purpose: (1) to assess and monitor the integration of refugee and migrant children across European countries and (2) to guide policymakers and relevant stakeholders. The indicator system's holistic and transversal nature marks an improvement over previous measurement attempts by considering different dimensions of integration; subjective and objective perspectives, as well as contextual factors; and indicators relevant for and comparable across different European countries. The research uses a co-creative methodology that ensures both scientific rigor and relevance for stakeholders and policymakers. A child-centered perspective, active participation of children throughout the research process, and an iterative co-creation design contribute to the system's added value. First-hand experiences, ongoing dialogues, and an ecological approach involving stakeholders at micro, meso, and macro levels (children, families</w:t>
      </w:r>
    </w:p>
    <w:p>
      <w:pPr/>
      <w:r>
        <w:rPr>
          <w:b/>
        </w:rPr>
        <w:t>POSSIBLE 2023:</w:t>
      </w:r>
      <w:r>
        <w:t xml:space="preserve"> Spatial indicators of digital economy in Russia and Еurope — https://doi.org/10.35595/2414-9179-2023-1-29-5-19</w:t>
      </w:r>
    </w:p>
    <w:p>
      <w:pPr/>
      <w:r>
        <w:rPr>
          <w:b/>
        </w:rPr>
        <w:t>Shared claim-specific concepts:</w:t>
      </w:r>
      <w:r>
        <w:t xml:space="preserve"> set, indicators, socioeconomic, concentration, based; EU scope visible. This is a provisional connection, not an outcome finding.</w:t>
      </w:r>
    </w:p>
    <w:p>
      <w:pPr>
        <w:pStyle w:val="SourceNote"/>
      </w:pPr>
      <w:r>
        <w:rPr>
          <w:b/>
        </w:rPr>
        <w:t>Available abstract (not full text):</w:t>
      </w:r>
      <w:r>
        <w:t xml:space="preserve"> Despite its significant socioeconomic impact, quantitative evaluation of the digital economy faces several obstacles. Spatial aspects of the digital economy and the relationship between digitization and well-being require further study for a full understanding of the socioeconomic impact on regional and local development. In light of this, the authors of the study aim to select socioeconomic indicators for assessing the development of the digital economy in regions of Russia and European countries, using an overlapping set of initial indicators. The study identified criteria for selecting indicators that characterize the geographic distribution of digital economic activity. Selected indicators include concentration of digital business and startups in specific regions, availability of high-speed internet and mobile networks, level of e-commerce activity, population computer skills, and business digitalization. The study also identified issues with the lack of some important indicators for assessing the digital economy at the regional level in Russia. Based on the collected database, a series of maps were created to assess the spatial development of the digital economy in Russia and Europe. Results show significant differences in the development of the digital economy in Russia and Europe, as well as some limitations in the evaluation methodology, such as data availability and di</w:t>
      </w:r>
    </w:p>
    <w:p>
      <w:pPr/>
      <w:r>
        <w:rPr>
          <w:b/>
        </w:rPr>
        <w:t>POSSIBLE 2023:</w:t>
      </w:r>
      <w:r>
        <w:t xml:space="preserve"> THE MODELING OF STARTUP ECOSYSTEMS IN CENTRAL AND EASTERN EUROPE BASED ON SOCIO-ECONOMIC INDICATORS — https://doi.org/10.32342/2074-5354-2023-2-59-21</w:t>
      </w:r>
    </w:p>
    <w:p>
      <w:pPr/>
      <w:r>
        <w:rPr>
          <w:b/>
        </w:rPr>
        <w:t>Shared claim-specific concepts:</w:t>
      </w:r>
      <w:r>
        <w:t xml:space="preserve"> create, set, indicators, low, world, based; EU scope visible. This is a provisional connection, not an outcome finding.</w:t>
      </w:r>
    </w:p>
    <w:p>
      <w:pPr>
        <w:pStyle w:val="SourceNote"/>
      </w:pPr>
      <w:r>
        <w:rPr>
          <w:b/>
        </w:rPr>
        <w:t>Available abstract (not full text):</w:t>
      </w:r>
      <w:r>
        <w:t xml:space="preserve"> The article is devoted to solving the problem of the development of startup ecosystems in the countries of Central and Eastern Europe (including Ukrainian entrepreneurship since Ukraine gained independence) by reorienting their economy to a market economy and conducting it based on sustainable development, ethics, and social responsibility. It has been found that in the countries a large number of mechanisms and procedures are not fully adapted to the implementation of entrepreneurial activity based on systematicity, complexity, and interaction; only point elements are present, and the effectiveness of their interaction in the process of entrepreneurial activity is quite low. At the same time, the rapid development of startup ecosystems is observed. The definition of this concept in the article is considered from the point of view of scientists as “a combination of localized cultural views, social networks, investment capital, universities, and active economic policies that create an environment that supports innovative business” and Startup Genome. This allows for the interpreting of a startup ecosystem as “a set of resources (policies, accelerators, incubators, co-working spaces, educational institutions, and funding groups) that are mostly located within a radius of 100 kilometers around a central point in a given region, with a few exceptions based on local realities”. It h</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highlight, areas, high, low;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areas, high, low, estimated;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2022:</w:t>
      </w:r>
      <w:r>
        <w:t xml:space="preserve"> Ellenberg‐type indicator values for European vascular plant species — https://doi.org/10.1111/jvs.13168</w:t>
      </w:r>
    </w:p>
    <w:p>
      <w:pPr/>
      <w:r>
        <w:rPr>
          <w:b/>
        </w:rPr>
        <w:t>Shared claim-specific concepts:</w:t>
      </w:r>
      <w:r>
        <w:t xml:space="preserve"> create, set, indicator, based;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pStyle w:val="Heading2"/>
      </w:pPr>
      <w:r>
        <w:t>860.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2024:</w:t>
      </w:r>
      <w:r>
        <w:t xml:space="preserve"> Foresight: Fifty Years to Think Your Futures — https://doi.org/10.1007/978-3-031-66100-6_4</w:t>
      </w:r>
    </w:p>
    <w:p>
      <w:pPr/>
      <w:r>
        <w:rPr>
          <w:b/>
        </w:rPr>
        <w:t>Shared claim-specific concepts:</w:t>
      </w:r>
      <w:r>
        <w:t xml:space="preserve"> foresight, explore, possible, used;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The “Safe and Sustainable by Design” Concept – A Regulatory Approach for a More Sustainable Circular Economy in the European Union? — https://doi.org/10.1017/err.2024.29</w:t>
      </w:r>
    </w:p>
    <w:p>
      <w:pPr/>
      <w:r>
        <w:rPr>
          <w:b/>
        </w:rPr>
        <w:t>Shared claim-specific concepts:</w:t>
      </w:r>
      <w:r>
        <w:t xml:space="preserve"> sustainable, economy, explore; EU scope visible. This is a provisional connection, not an outcome finding.</w:t>
      </w:r>
    </w:p>
    <w:p>
      <w:pPr>
        <w:pStyle w:val="SourceNote"/>
      </w:pPr>
      <w:r>
        <w:rPr>
          <w:b/>
        </w:rPr>
        <w:t>Available abstract (not full text):</w:t>
      </w:r>
      <w:r>
        <w:t xml:space="preserve"> Abstract The creation of a more sustainable economy is one of the main targets of the European Green Deal and the new Circular Economy Action Plan. Technological innovation is needed, among other things, to render materials, products, and production processes more sustainable. Given the goals of the European Green Deal, the regulatory concept of “Safe and Sustainable by Design” is increasingly receiving attention. The concept is (arguably) a precautionary and preventative measure that is implemented at the early stages of the design of a technology. Therefore, it is often described as a tool for lowering the risks that follow from efforts to create a more circular economy. The concept was included in the European Chemicals Strategy of the European Commission. The aim of the strategy is to accelerate progress towards the discovery of more sustainable chemicals and towards a toxicity-free environment. In this paper, we will explore the benefits and disadvantages of integrating the “Safe and Sustainable by Design” concept into the regulation of technology. As a form of regulation by technology, this concept can enhance sustainability. We will first describe the origins of the concept and its current use. Then, we will analyse its implications for the circular economy.</w:t>
      </w:r>
    </w:p>
    <w:p>
      <w:pPr/>
      <w:r>
        <w:rPr>
          <w:b/>
        </w:rPr>
        <w:t>POSSIBLE 2023:</w:t>
      </w:r>
      <w:r>
        <w:t xml:space="preserve"> Supporting decision making with strategic foresight — https://doi.org/10.1787/1d78c791-en</w:t>
      </w:r>
    </w:p>
    <w:p>
      <w:pPr/>
      <w:r>
        <w:rPr>
          <w:b/>
        </w:rPr>
        <w:t>Shared claim-specific concepts:</w:t>
      </w:r>
      <w:r>
        <w:t xml:space="preserve"> purpose, foresight, help, best, each; EU scope not established. This is a provisional connection, not an outcome finding.</w:t>
      </w:r>
    </w:p>
    <w:p>
      <w:pPr>
        <w:pStyle w:val="SourceNote"/>
      </w:pPr>
      <w:r>
        <w:rPr>
          <w:b/>
        </w:rPr>
        <w:t>Available abstract (not full text):</w:t>
      </w:r>
      <w:r>
        <w:t xml:space="preserve">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pPr/>
      <w:r>
        <w:rPr>
          <w:b/>
        </w:rPr>
        <w:t>POSSIBLE 2023:</w:t>
      </w:r>
      <w:r>
        <w:t xml:space="preserve"> D3.4 Foresight prospects for the future of EU rural areas — https://doi.org/10.5281/zenodo.8370467</w:t>
      </w:r>
    </w:p>
    <w:p>
      <w:pPr/>
      <w:r>
        <w:rPr>
          <w:b/>
        </w:rPr>
        <w:t>Shared claim-specific concepts:</w:t>
      </w:r>
      <w:r>
        <w:t xml:space="preserve"> jrc, foresight, identify; EU scope visible. This is a provisional connection, not an outcome finding.</w:t>
      </w:r>
    </w:p>
    <w:p>
      <w:pPr>
        <w:pStyle w:val="SourceNote"/>
      </w:pPr>
      <w:r>
        <w:rPr>
          <w:b/>
        </w:rPr>
        <w:t>Available abstract (not full text):</w:t>
      </w:r>
      <w:r>
        <w:t xml:space="preserve"> This report is an overview of a sample of existing foresight and scenarios studies carried out at European and global level to identify plausible futures and scenarios for rural areas for time periods up to 2050. It provides an extended update of the SHERPA Working Document ‘Overview of a sample of existing foresight and scenario studies carried out at EU and global levels’ (Brunori and Mazzocchi, 2020), which encompassed a set of foresight studies from approximately between 2009-2019. Though not exclusively focused on rural areas, the potential for significant impacts on the latter was acknowledged in these studies and the report provided important insights in view to the then forthcoming process of the Long-Term Vision for Rural Areas of the EU. A most recent set of studies have been appraised, carried out in the period from 2020 onwards. Amongst them, we pay specific attention to the Long-Term Vision for Rural Areas of the European Union – and H2020 projects contributing to this consultation –, the JRC ‘Scenarios for EU Rural Areas 2040’, as well as other foresight studies not exclusively targeting rural areas, but addressing mega-trends and delivering outcomes of relevance to the future of rural areas.</w:t>
      </w:r>
    </w:p>
    <w:p>
      <w:pPr/>
      <w:r>
        <w:rPr>
          <w:b/>
        </w:rPr>
        <w:t>POSSIBLE 2023:</w:t>
      </w:r>
      <w:r>
        <w:t xml:space="preserve"> Foresight for sustainable development and well‑being governance in Wales — https://doi.org/10.5281/zenodo.21641559</w:t>
      </w:r>
    </w:p>
    <w:p>
      <w:pPr/>
      <w:r>
        <w:rPr>
          <w:b/>
        </w:rPr>
        <w:t>Shared claim-specific concepts:</w:t>
      </w:r>
      <w:r>
        <w:t xml:space="preserve"> foresight, sustainable; EU scope not established. This is a provisional connection, not an outcome finding.</w:t>
      </w:r>
    </w:p>
    <w:p>
      <w:pPr>
        <w:pStyle w:val="SourceNote"/>
      </w:pPr>
      <w:r>
        <w:rPr>
          <w:b/>
        </w:rPr>
        <w:t>Available abstract (not full text):</w:t>
      </w:r>
      <w:r>
        <w:t xml:space="preserve"> This research, funded by the ESRC Policy Fellowship scheme that ran between February 2022 and August 2023, explores the challenges and opportunities of integrating long‑term thinking through foresight in policymaking and provides the Welsh Government with the evidence base to further develop its foresight functions. The inception phase of the Fellowship was dedicated to the research co‑design. During the delivery phase, thirty‑five interviews focussed on the challenges and opportunities of using foresight for policymaking as well as generating insights into different foresight organisational arrangements in other selected governments. Pilots with three Welsh Government policy teams provided a granular perspective on what foresight could look like in the context of the Welsh Government, while two final stakeholder workshops were organised to review the research findings and discuss enabling mechanisms to develop long‑term decision‑making in the context of the Well‑being of Future Generations (Wales) Act 2015 (WFGA).</w:t>
      </w:r>
    </w:p>
    <w:p>
      <w:pPr/>
      <w:r>
        <w:rPr>
          <w:b/>
        </w:rPr>
        <w:t>POSSIBLE 2023:</w:t>
      </w:r>
      <w:r>
        <w:t xml:space="preserve"> Unraveling the European Agricultural Policy Sustainable Development Trajectory — https://doi.org/10.3390/land12091749</w:t>
      </w:r>
    </w:p>
    <w:p>
      <w:pPr/>
      <w:r>
        <w:rPr>
          <w:b/>
        </w:rPr>
        <w:t>Shared claim-specific concepts:</w:t>
      </w:r>
      <w:r>
        <w:t xml:space="preserve"> sustainable, used, each; EU scope visible. This is a provisional connection, not an outcome finding.</w:t>
      </w:r>
    </w:p>
    <w:p>
      <w:pPr>
        <w:pStyle w:val="SourceNote"/>
      </w:pPr>
      <w:r>
        <w:rPr>
          <w:b/>
        </w:rPr>
        <w:t>Available abstract (not full text):</w:t>
      </w:r>
      <w:r>
        <w:t xml:space="preserve">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pStyle w:val="Heading2"/>
      </w:pPr>
      <w:r>
        <w:t>861.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2025:</w:t>
      </w:r>
      <w:r>
        <w:t xml:space="preserve"> A Group Delphi on economic perspectives on climate policy measures. A basis for informing a Citizen Forum — https://doi.org/10.14512/gaia.34.3.11</w:t>
      </w:r>
    </w:p>
    <w:p>
      <w:pPr/>
      <w:r>
        <w:rPr>
          <w:b/>
        </w:rPr>
        <w:t>Shared claim-specific concepts:</w:t>
      </w:r>
      <w:r>
        <w:t xml:space="preserve"> greenhouse, gas, basis, delphi, expert, asked; EU scope visible. This is a provisional connection, not an outcome finding.</w:t>
      </w:r>
    </w:p>
    <w:p>
      <w:pPr>
        <w:pStyle w:val="SourceNote"/>
      </w:pPr>
      <w:r>
        <w:rPr>
          <w:b/>
        </w:rPr>
        <w:t>Available abstract (not full text):</w:t>
      </w:r>
      <w:r>
        <w:t xml:space="preserve"> How do economic and consumer researchers assess the different EU policy options to reach net zero greenhouse gas emissions by 2050? The research team of the EU project REAL-DEAL convened twelve experts to evaluate economic measures to implement the Green Deal objectives. This information was one of the major inputs for a subsequent Citizen Forum in Berlin, Germany.As one component of the EU project, REAL-DEAL, the authors conducted a Group Delphi involving experts from economics and consumer research. Group Delphi processes represent participatory formats aimed at providing a more accurate, fair, and complete representation of expert judgments regarding a specific topic. During the Delphi process in Berlin, twelve experts, representing different schools of economic thought, were asked to assess and evaluate economic instruments and measures to implement the Green Deal objectives with a focus on transport, housing, nutrition, and overarching economic issues related to climate protection. The results of the Delphi revealed a large diversity among the experts, in particular on the issue of state interventions into the economy. However, there was broad consensus on rejecting subsidies that encourage non-sustainable practices, and on recommending effective carbon pricing. The outcome of the Delphi was used as information for a subsequent Citizen Forum with randomly selected citizens</w:t>
      </w:r>
    </w:p>
    <w:p>
      <w:pPr/>
      <w:r>
        <w:rPr>
          <w:b/>
        </w:rPr>
        <w:t>POSSIBLE 2025:</w:t>
      </w:r>
      <w:r>
        <w:t xml:space="preserve"> Freshwater restoration effects on biodiversity and ecosystem services: a Delphi survey — https://doi.org/10.1111/rec.70119</w:t>
      </w:r>
    </w:p>
    <w:p>
      <w:pPr/>
      <w:r>
        <w:rPr>
          <w:b/>
        </w:rPr>
        <w:t>Shared claim-specific concepts:</w:t>
      </w:r>
      <w:r>
        <w:t xml:space="preserve"> delphi, expert, use, methods; EU scope visible. This is a provisional connection, not an outcome finding.</w:t>
      </w:r>
    </w:p>
    <w:p>
      <w:pPr>
        <w:pStyle w:val="SourceNote"/>
      </w:pPr>
      <w:r>
        <w:rPr>
          <w:b/>
        </w:rPr>
        <w:t>Available abstract (not full text):</w:t>
      </w:r>
      <w:r>
        <w:t xml:space="preserve"> Abstract Introduction Freshwater ecosystem restoration is vital for halting biodiversity loss, enhancing resilience, and securing ecosystem services amid climate and land use change. With major initiatives like the United Nations Decade on Ecosystem Restoration and the European Union's Nature Restoration Regulation gaining momentum, identifying multifunctional restoration strategies is increasingly important. Objectives This study examines which restoration measures in rivers, peatlands, and other wetlands deliver consistent benefits for both biodiversity and ecosystem services—key goals under EU restoration policies. Methods A structured Delphi survey was conducted with European experts in ecological restoration and ecosystem services. Restoration measures were compiled from scientific and gray literature, categorized into standardized types, and screened for data gaps. Measures with limited evidence were prioritized for expert evaluation. Experts assessed the expected effects of each measure on biodiversity and 18 ecosystem services through two survey rounds. Results Most restoration measures—especially hydrological and morphological interventions in rivers and vegetation‐based actions in peatlands—were expected to strongly benefit biodiversity. Many also enhanced multiple ecosystem services, with river interventions such as restoring natural flow, channel structure, and habi</w:t>
      </w:r>
    </w:p>
    <w:p>
      <w:pPr/>
      <w:r>
        <w:rPr>
          <w:b/>
        </w:rPr>
        <w:t>POSSIBLE 2025:</w:t>
      </w:r>
      <w:r>
        <w:t xml:space="preserve"> An Eco‐Social Policy Mix for 1.5°C Lifestyles: A Multi‐Country Policy Delphi Analysis — https://doi.org/10.1111/rego.12655</w:t>
      </w:r>
    </w:p>
    <w:p>
      <w:pPr/>
      <w:r>
        <w:rPr>
          <w:b/>
        </w:rPr>
        <w:t>Shared claim-specific concepts:</w:t>
      </w:r>
      <w:r>
        <w:t xml:space="preserve"> reduction, delphi, about, approach; EU scope visible. This is a provisional connection, not an outcome finding.</w:t>
      </w:r>
    </w:p>
    <w:p>
      <w:pPr>
        <w:pStyle w:val="SourceNote"/>
      </w:pPr>
      <w:r>
        <w:rPr>
          <w:b/>
        </w:rPr>
        <w:t>Available abstract (not full text):</w:t>
      </w:r>
      <w:r>
        <w:t xml:space="preserve"> ABSTRACT Bridging the gap between welfare and climate policies is essential for simultaneously pursuing increased well‐being and reduced carbon emissions. This study uses a policy Delphi approach, involving experts and stakeholders from five European countries: Germany, Hungary, Latvia, Spain, and Sweden, to assess the perceived desirability and feasibility of six eco‐social policies for enabling 1.5°C lifestyles. The results show that eco‐social policies are challenged by current growth and work paradigms, which transcend welfare‐regime‐related, ideological, social, and institutional rationales. Of the selected policies, stakeholders found low‐efficiency housing retrofits the most desirable, but income caps the least desirable. Worktime reduction, job guarantees, and income ceilings raise deep concerns over work, motivation, and consumption. However, universal basic services, free public transport, and public renovation raise concerns about service efficiency, innovation incentives, and welfare entitlement. Stakeholders agreed that eco‐social policies are desirable and feasible, but only when combined in a way that balances social and environmental impacts. They believe it might be easier to address challenges in understanding and implementing these policies if they were part of a broader, coordinated approach at a supranational level, rather than isolated, single‐issue polici</w:t>
      </w:r>
    </w:p>
    <w:p>
      <w:pPr>
        <w:pStyle w:val="Heading2"/>
      </w:pPr>
      <w:r>
        <w:t>862.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r>
        <w:rPr>
          <w:b/>
        </w:rPr>
        <w:t>POSSIBLE 2022:</w:t>
      </w:r>
      <w:r>
        <w:t xml:space="preserve"> Multi-Criteria Analysis for Evaluating Constructed Wetland as a Sustainable Sanitation Technology, Jordan Case Study — https://doi.org/10.3390/su142214867</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There is a growing demand for integrating an assessment tool to select wastewater treatment alternatives based on sustainability in the Jordanian wastewater sector. The sector in Jordan has a unique and critical situation that has raised concerns among stakeholders, including donors, and international and national organizations, to carefully select a sustainable treatment system for each case. The Jordanian government set a tool to distinguish between treatment systems, and this tool is mainly focused on financial criteria. However, the sector needs to integrate assessment tools with a wider consideration of other sustainability criteria. Usually, stakeholders are not equipped with a clear methodology to perform sustainability assessments. Therefore, this study proposes and develops a Multi-Criteria Analysis (MCA) tool to evaluate wastewater treatment alternatives from a sustainability perspective for a case study in Jordan—Al Azraq town. Firstly, the study explored the decision and organizational context of the wastewater sector through several interviews. Secondly, assessment criteria and indicators were proposed to compare three proposed treatment alternatives. Finally, the Analytical Hierarchy Process (AHP) was applied with composite scores to evaluate wastewater treatment alternatives. Finally, The results of the composite scores indicated that French Constructed Wetland (</w:t>
      </w:r>
    </w:p>
    <w:p>
      <w:pPr/>
      <w:r>
        <w:rPr>
          <w:b/>
        </w:rPr>
        <w:t>POSSIBLE 2021:</w:t>
      </w:r>
      <w:r>
        <w:t xml:space="preserve"> Assessing the Impact of Water Efficiency Policies on Qatar’s Electricity and Water Sectors — https://doi.org/10.3390/en14144348</w:t>
      </w:r>
    </w:p>
    <w:p>
      <w:pPr/>
      <w:r>
        <w:rPr>
          <w:b/>
        </w:rPr>
        <w:t>Shared claim-specific concepts:</w:t>
      </w:r>
      <w:r>
        <w:t xml:space="preserve"> different, water, policies, scarcity; EU scope not established. This is a provisional connection, not an outcome finding.</w:t>
      </w:r>
    </w:p>
    <w:p>
      <w:pPr>
        <w:pStyle w:val="SourceNote"/>
      </w:pPr>
      <w:r>
        <w:rPr>
          <w:b/>
        </w:rPr>
        <w:t>Available abstract (not full text):</w:t>
      </w:r>
      <w:r>
        <w:t xml:space="preserve"> Water and electricity have a unique relationship in the modern world as one requires the other in a complex system of networks to supply the utility to the customers. This energy–water interaction is especially peculiar in the Gulf Cooperation Council, where there are limited water resources, but extremely high use rates. Qatar provides a unique case in terms of extreme water scarcity and excessive water use. To understand the intricate network, this paper establishes an updated and comprehensive qualitative model of the water system in the country with the help of a water balance and system dynamics (causal loop diagram) methodology. Regression estimates are then used to estimate future water and energy consumption in addition to carbon dioxide emissions until the year 2050. Finally, system dynamics (stock and flow diagram) is used to determine the supply impacts of efficiency policies including limiting of groundwater abstraction to only 50 million m3, reduction of water consumption in the household, commercial and industrial sector by 10%, and gradual increase in the share of reverse osmosis (RO)-produced desalinated water to 50% in order to assess the supply volume, electricity consumption and CO2 emissions. The efficient use of water in different sectors of the economy results in a combined saving of 1222 GWh (8.1%) or 594,000 tons CO2. Furthermore, by moving to membrane-b</w:t>
      </w:r>
    </w:p>
    <w:p>
      <w:pPr/>
      <w:r>
        <w:rPr>
          <w:b/>
        </w:rPr>
        <w:t>POSSIBLE 2020:</w:t>
      </w:r>
      <w:r>
        <w:t xml:space="preserve"> A review of climate-change impact and adaptation studies for the water sector in Thailand — https://doi.org/10.1088/1748-9326/abce80</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Thailand plays a central economic and policy-making role in Southeast Asia. Although climate change adaptation is being mainstreamed in Thailand, a well-organized overview of the impacts of climate change and potential adaptation measures has been unavailable to date. Here we present a comprehensive review of climate-change impact studies that focused on the Thai water sector, based on a literature review of six sub-sectors: riverine hydrology, sediment erosion, coastal erosion, forest hydrology, agricultural hydrology, and urban hydrology. Our review examined the long-term availability of observational data, historical changes, projected changes in key variables, and the availability of economic assessments and their implications for adaptation actions. Although some basic hydrometeorological variables have been well monitored, specific historical changes due to climate change have seldom been detected. Furthermore, although numerous future projections have been proposed, the likely changes due to climate change remain unclear due to a general lack of systematic multi-model and multi-scenario assessments and limited spatiotemporal coverage of the study area. Several gaps in the research were identified, and ten research recommendations are presented. While the information contained herein contributes to state-of-the-art knowledge on the impact of climate change on the</w:t>
      </w:r>
    </w:p>
    <w:p>
      <w:pPr/>
      <w:r>
        <w:rPr>
          <w:b/>
        </w:rPr>
        <w:t>POSSIBLE 2020:</w:t>
      </w:r>
      <w:r>
        <w:t xml:space="preserve"> Some Fuzzy Measures Constructing Paradigm and Methods From Given Measure Spaces and Evaluation Information — https://doi.org/10.1109/tfuzz.2020.3044247</w:t>
      </w:r>
    </w:p>
    <w:p>
      <w:pPr/>
      <w:r>
        <w:rPr>
          <w:b/>
        </w:rPr>
        <w:t>Shared claim-specific concepts:</w:t>
      </w:r>
      <w:r>
        <w:t xml:space="preserve"> several, constructed, different; EU scope not established. This is a provisional connection, not an outcome finding.</w:t>
      </w:r>
    </w:p>
    <w:p>
      <w:pPr>
        <w:pStyle w:val="SourceNote"/>
      </w:pPr>
      <w:r>
        <w:rPr>
          <w:b/>
        </w:rPr>
        <w:t>Available abstract (not full text):</w:t>
      </w:r>
      <w:r>
        <w:t xml:space="preserve"> With some theoretical derivation and practical decision-making problems, in this article, we propose a constructing paradigm for generating fuzzy measures in some certain decision situations, such as in risk evaluation and decision making. The constructing paradigm involves four constructing factors: source measure space, construction function, construction choice, and object/constructed measure space. We use some strict and consistent formulation to reinvent the processes of constructing the well-known belief measure and plausibility measure. In this a, the belief measure and plausibility measure are regarded as the two extremities of some pessimism–optimism preferences, and we further propose two construction choices to construct the families of fuzzy measures to generalize and seamlessly connect them. We also propose three different ways to determine construction functions in some certain decisional situations. Several relevant mathematical properties and numerical examples are also presented.</w:t>
      </w:r>
    </w:p>
    <w:p>
      <w:pPr/>
      <w:r>
        <w:rPr>
          <w:b/>
        </w:rPr>
        <w:t>POSSIBLE 2020:</w:t>
      </w:r>
      <w:r>
        <w:t xml:space="preserve"> Drivers of Water Use in the Agricultural Sector of the European Union 27 — https://doi.org/10.1021/acs.est.9b06662</w:t>
      </w:r>
    </w:p>
    <w:p>
      <w:pPr/>
      <w:r>
        <w:rPr>
          <w:b/>
        </w:rPr>
        <w:t>Shared claim-specific concepts:</w:t>
      </w:r>
      <w:r>
        <w:t xml:space="preserve"> several, water, scarcity; EU scope visible. This is a provisional connection, not an outcome finding.</w:t>
      </w:r>
    </w:p>
    <w:p>
      <w:pPr>
        <w:pStyle w:val="SourceNote"/>
      </w:pPr>
      <w:r>
        <w:rPr>
          <w:b/>
        </w:rPr>
        <w:t>Available abstract (not full text):</w:t>
      </w:r>
      <w:r>
        <w:t xml:space="preserve"> Population growth and the uncertain hazards that accompany climate change have put increasing pressure on the management and sustainability of water. It has a direct impact on agriculture and its domestic and international supply chain linkages. As one of the largest agricultural producers in the world, the European Union (EU) is particularly sensitive to changes in water availability. Therefore, we perform a structural decomposition analysis based on the recently released EXIOBASE 3 database to examine in depth how changes in water input coefficients, in final demand and in technology have affected changes in water use across crops. Crop production consumes 99% of the direct water in agriculture. Our results show that the largest EU crop producers have experienced an increase in water use that is mostly driven by changes in technology. On the other hand, several Mediterranean countries, where water scarcity has been a problem for years, have decreased their water consumption mostly thanks to an improvement in their water intensity. Results by crop are consistent with those at the aggregated level except for vegetables of which water use changes have been primarily driven by changes in final demand and water intensity.</w:t>
      </w:r>
    </w:p>
    <w:p>
      <w:pPr/>
      <w:r>
        <w:rPr>
          <w:b/>
        </w:rPr>
        <w:t>POSSIBLE 2019:</w:t>
      </w:r>
      <w:r>
        <w:t xml:space="preserve"> Evaluation of software to construct genetic linkage maps in plants — https://doi.org/10.11606/d.11.2019.tde-28082019-142400</w:t>
      </w:r>
    </w:p>
    <w:p>
      <w:pPr/>
      <w:r>
        <w:rPr>
          <w:b/>
        </w:rPr>
        <w:t>Shared claim-specific concepts:</w:t>
      </w:r>
      <w:r>
        <w:t xml:space="preserve"> several, evaluate, different; EU scope not established. This is a provisional connection, not an outcome finding.</w:t>
      </w:r>
    </w:p>
    <w:p>
      <w:pPr>
        <w:pStyle w:val="SourceNote"/>
      </w:pPr>
      <w:r>
        <w:rPr>
          <w:b/>
        </w:rPr>
        <w:t>Available abstract (not full text):</w:t>
      </w:r>
      <w:r>
        <w:t xml:space="preserve">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pPr>
        <w:pStyle w:val="Heading2"/>
      </w:pPr>
      <w:r>
        <w:t>863.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2024:</w:t>
      </w:r>
      <w:r>
        <w:t xml:space="preserve"> Repression and growth in the periphery of Europe: The politics of changing growth regime in Turkey — https://doi.org/10.1177/10245294241233093</w:t>
      </w:r>
    </w:p>
    <w:p>
      <w:pPr/>
      <w:r>
        <w:rPr>
          <w:b/>
        </w:rPr>
        <w:t>Shared claim-specific concepts:</w:t>
      </w:r>
      <w:r>
        <w:t xml:space="preserve"> peripheral, emphasis; EU scope visible. This is a provisional connection, not an outcome finding.</w:t>
      </w:r>
    </w:p>
    <w:p>
      <w:pPr>
        <w:pStyle w:val="SourceNote"/>
      </w:pPr>
      <w:r>
        <w:rPr>
          <w:b/>
        </w:rPr>
        <w:t>Available abstract (not full text):</w:t>
      </w:r>
      <w:r>
        <w:t xml:space="preserve"> This study shows that in peripheral economies that are linked into circuits of global capital on unequal terms, attempts to change the core features of an existing growth regime without broader political support intensify externally induced conflict among the ruling coalition. Under these circumstances, a transition to a new demand regime within a short time frame is more likely to take place via authoritarian intervention when the political cost of repression is lower than the cost of redistribution. In developing these points, the analysis builds on evidence from Turkey: following the 2008 global credit crunch, the Justice and Development Party’s (Adalet ve Kalkinma Partisi, AKP) domestic demand-led and credit-fueled growth under dependent financialization has experienced a major crisis. However, the subsequent push to replace this regime with a profit-led model with an emphasis on exports worsened the conflict among the political coalition supporting the party as their preferences over monetary policy began to diverge. A temporary resolution of this deepening rift has been possible by way of an authoritarian intervention under R. T. Erdogan’s presidential bid in 2017–18. By situating the debate on the relationship between growth regimes and political institutions, the study further unpacks the nexus between democratic backsliding, dominant social blocs, and economic growth i</w:t>
      </w:r>
    </w:p>
    <w:p>
      <w:pPr/>
      <w:r>
        <w:rPr>
          <w:b/>
        </w:rPr>
        <w:t>POSSIBLE 2024:</w:t>
      </w:r>
      <w:r>
        <w:t xml:space="preserve"> Local economic development strategies in a medium-sized city on the European periphery: a path to become an economic center of Eastern Central Europe importance — https://doi.org/10.3389/fpos.2024.1335735</w:t>
      </w:r>
    </w:p>
    <w:p>
      <w:pPr/>
      <w:r>
        <w:rPr>
          <w:b/>
        </w:rPr>
        <w:t>Shared claim-specific concepts:</w:t>
      </w:r>
      <w:r>
        <w:t xml:space="preserve"> small, emphasis, local; EU scope visible. This is a provisional connection, not an outcome finding.</w:t>
      </w:r>
    </w:p>
    <w:p>
      <w:pPr>
        <w:pStyle w:val="SourceNote"/>
      </w:pPr>
      <w:r>
        <w:rPr>
          <w:b/>
        </w:rPr>
        <w:t>Available abstract (not full text):</w:t>
      </w:r>
      <w:r>
        <w:t xml:space="preserve"> Large cities are becoming increasingly valuable in the spatial structure of globalized economies. Although these centers vary significantly regarding population, economic structure, and income conditions, they—compared to their surroundings—generally show a higher productivity level, a higher rate of employment, higher education, and higher innovation performance. However, this metropolization and concentration of the economy in large cities made the development of cities regarded as medium-sized on an international scale an issue of competitiveness in Europe, characterized by dense town networks, a small number of metropolises, and a significant weight of medium- and small-sized towns. However, one of the main preconditions for achieving success in this competition is to form a comprehensive and complex concept with a significant emphasis on economic development. Therefore, the aim of our study is to analyze the local economic development strategies for the last three decades, as elaborated in Debrecen. In the framework of our empirical analysis, we examined how different mainstream concepts appear in local development strategies and which development objectives are determined by the local strategies. Furthermore, we also aimed to identify possible changes in ideas about city roles by referring to the organization of economic space.</w:t>
      </w:r>
    </w:p>
    <w:p>
      <w:pPr/>
      <w:r>
        <w:rPr>
          <w:b/>
        </w:rPr>
        <w:t>POSSIBLE 2024:</w:t>
      </w:r>
      <w:r>
        <w:t xml:space="preserve"> Exposure to Transnational Maritime Crime in the Pacific Islands Region — https://doi.org/10.17645/oas.8459</w:t>
      </w:r>
    </w:p>
    <w:p>
      <w:pPr/>
      <w:r>
        <w:rPr>
          <w:b/>
        </w:rPr>
        <w:t>Shared claim-specific concepts:</w:t>
      </w:r>
      <w:r>
        <w:t xml:space="preserve"> small, island, region, potential, used; EU scope not established. This is a provisional connection, not an outcome finding.</w:t>
      </w:r>
    </w:p>
    <w:p>
      <w:pPr>
        <w:pStyle w:val="SourceNote"/>
      </w:pPr>
      <w:r>
        <w:rPr>
          <w:b/>
        </w:rPr>
        <w:t>Available abstract (not full text):</w:t>
      </w:r>
      <w:r>
        <w:t xml:space="preserve"> Although the Pacific Islands are strategically located alongside important trade routes, between the Global North and Global South countries and among plentiful fishing grounds, this region is considered among the lowest risk for land‐based organized crime. Grouped as a uniform region, collectively, the Pacific islands are anything but. The region consists of three ethnogeographic subregions with varying colonial, cultural, and legal legacies. Geographically, the Pacific Island states are remote, with small populations dispersed across many islands, some of which are uninhabited, limiting the ability to adequately surveil and protect this extensive maritime domain, creating porous land and sea borders. These challenges increase the complexity of policing the large exclusive economic zones of the region and therefore increase its vulnerability and potential exposure to various transnational organized crimes on land and at sea. Drawing on Kelling and Wilson’s broken windows theory, this article considers from a theoretical perspective, how international law can be used as a framework to guide Pacific Island states in achieving strengthened, region‐led resilience to transnational maritime crime in the pursuit of maritime justice.</w:t>
      </w:r>
    </w:p>
    <w:p>
      <w:pPr/>
      <w:r>
        <w:rPr>
          <w:b/>
        </w:rPr>
        <w:t>POSSIBLE 2024:</w:t>
      </w:r>
      <w:r>
        <w:t xml:space="preserve"> DEVELOPMENT OF GERMAN ISLAND DIALECTS IN KIROV REGION, RUSSIA — https://doi.org/10.34660/inf.2022.53.14.044</w:t>
      </w:r>
    </w:p>
    <w:p>
      <w:pPr/>
      <w:r>
        <w:rPr>
          <w:b/>
        </w:rPr>
        <w:t>Shared claim-specific concepts:</w:t>
      </w:r>
      <w:r>
        <w:t xml:space="preserve"> island, region; EU scope not established. This is a provisional connection, not an outcome finding.</w:t>
      </w:r>
    </w:p>
    <w:p>
      <w:pPr>
        <w:pStyle w:val="SourceNote"/>
      </w:pPr>
      <w:r>
        <w:rPr>
          <w:b/>
        </w:rPr>
        <w:t>Available abstract (not full text):</w:t>
      </w:r>
      <w:r>
        <w:t xml:space="preserve"> the authors analyze the state of the world economy in the current conditions of a growing recession and increasing turbulence, give their forecasts on how this will affect the evolution of global industries and what growing risks this can create for Russia.</w:t>
      </w:r>
    </w:p>
    <w:p>
      <w:pPr>
        <w:pStyle w:val="Heading2"/>
      </w:pPr>
      <w:r>
        <w:t>864.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r>
        <w:rPr>
          <w:b/>
        </w:rPr>
        <w:t>POSSIBLE 2016:</w:t>
      </w:r>
      <w:r>
        <w:t xml:space="preserve"> Comparative Susceptibility and Differential Effects on the Two European Courts: A Study of Grasstops Mobilizations around Religion — https://doi.org/10.1093/ojlr/rww050</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‘Grasstops mobilizations’ in the context of the European Court of Human Rights and the Court of Justice of the European Union refers to legal and political mobilization carried out by cause lawyers, NGOs, religious, secularist and humanist organizations, political figures and national governments, and by transnational networks which may develop within and between the above groups, depending on their stakes in a given issue. In the domain of religion, such grasstops mobilizations may seek to influence what religion-related issues get placed on a court’s agenda and the climate within which the Court takes its decisions on the latter; they are forces at the European and transnational levels potentially influencing the Court’s engagements with and ultimate handling of religion-related cases. This article draws on interviews carried out with various actors engaged with or impacted by mobilizations around the European courts to yield special insight into who mobilizes, for what reasons and to what effects, and into the conditions under which particular political, religious, or NGO actors are influential. Based upon the latter research as well as examination of certain structural differences between the two courts rendering them differently ‘open’ to various pressures, this contribution considers the comparative susceptibility of the two courts to such mobilizations.</w:t>
      </w:r>
    </w:p>
    <w:p>
      <w:pPr/>
      <w:r>
        <w:rPr>
          <w:b/>
        </w:rPr>
        <w:t>POSSIBLE 2016:</w:t>
      </w:r>
      <w:r>
        <w:t xml:space="preserve"> The new ambitions for 2014-2020 European structural and investment funds evaluation: pouring water in a leaking container? — https://openalex.org/W2552820326</w:t>
      </w:r>
    </w:p>
    <w:p>
      <w:pPr/>
      <w:r>
        <w:rPr>
          <w:b/>
        </w:rPr>
        <w:t>Shared claim-specific concepts:</w:t>
      </w:r>
      <w:r>
        <w:t xml:space="preserve"> structural, foreseen, article; EU scope visible. This is a provisional connection, not an outcome finding.</w:t>
      </w:r>
    </w:p>
    <w:p>
      <w:pPr>
        <w:pStyle w:val="SourceNote"/>
      </w:pPr>
      <w:r>
        <w:rPr>
          <w:b/>
        </w:rPr>
        <w:t>Available abstract (not full text):</w:t>
      </w:r>
      <w:r>
        <w:t xml:space="preserve"> One of the recurring criticisms that have been levied to EU Cohesion policy has been its inability to prove its effectiveness and value for money. These criticisms, and the parallel growing pressures to reduce the resources assigned to the policy in recent rounds of budget negotiations, have led to the introduction of changes in the regulatory obligations attached to funding. In the 2014-2020 regulations, efforts to improve the policy’s effectiveness have primarily related to a set of new obligations intended to improve the results-orientation of programme design and implementation, and to a strengthening of the purposefulness of evaluation activities, including through a shift from evaluating implementation to appraising impacts. This article focuses on the latter theme. It reviews the main evaluation obligations foreseen by the Common Provisions Regulations (CPR) and the change in evaluation focus advocated by DG REGIO, the preparation of Evaluation Plans in selected EU programmes and these plans’ coverage, focus, objectives and resources. The article concludes with some reflections on the challenges that the new regulatory framework entails for managing authorities. It argues that the new CPR and Commission guidance notes are addressing past weaknesses by adding new demands to old ones without having sufficiently addressed the problems behind the partly ineffectual responses</w:t>
      </w:r>
    </w:p>
    <w:p>
      <w:pPr>
        <w:pStyle w:val="Heading2"/>
      </w:pPr>
      <w:r>
        <w:t>865.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four, during;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EXPLORING POST-PANDEMIC PERCEPTION OF INDUSTRY 4.0 TECHNOLOGY IMPLICATIONS IN TOURISM: A STUDY OF CENTRAL EUROPEAN TRAVELERS — https://doi.org/10.29119/1641-3466.2024.197.16</w:t>
      </w:r>
    </w:p>
    <w:p>
      <w:pPr/>
      <w:r>
        <w:rPr>
          <w:b/>
        </w:rPr>
        <w:t>Shared claim-specific concepts:</w:t>
      </w:r>
      <w:r>
        <w:t xml:space="preserve"> limitations, implications, sample, only, period; EU scope visible. This is a provisional connection, not an outcome finding.</w:t>
      </w:r>
    </w:p>
    <w:p>
      <w:pPr>
        <w:pStyle w:val="SourceNote"/>
      </w:pPr>
      <w:r>
        <w:rPr>
          <w:b/>
        </w:rPr>
        <w:t>Available abstract (not full text):</w:t>
      </w:r>
      <w:r>
        <w:t xml:space="preserve"> Purpose: This study underscores the accelerated integration of technological solutions within the tourism industry post-pandemic, highlighting the service sector's heightened openness to digital advancements.Authors stress the need for tourism companies to invest in digital technologies and resilient innovation for sustainable Industry 4.0, considering social impact.This research is the perception of the importance of digitalization tools application to tourism sphere especially in the post-pandemic period.Design/methodology/approach: Focusing on Central European travelers, a survey of 553 individuals was conducted to gauge perceptions regarding the importance of digital technologies in tourism.Significantly, gender disparities in touchless technology usage were observed, with women exhibiting less interest compared to men.Moreover, variations in the evaluation of specific technological tools within tourism services indicate diverse preferences among respondents.Findings: What was found in the course of the work?This will refer to analysis, discussion, or results.Research limitations/implications: While the study contributes valuable insights, its limitations, such as generalization and sample size constraints should be acknowledged. Practical implications:The paper delves into the practical implications of these findings for travel agencies, contributing to a broader theoretic</w:t>
      </w:r>
    </w:p>
    <w:p>
      <w:pPr/>
      <w:r>
        <w:rPr>
          <w:b/>
        </w:rPr>
        <w:t>POSSIBLE 2024:</w:t>
      </w:r>
      <w:r>
        <w:t xml:space="preserve"> The Impact of Board Gender Diversity on European Firms’ Performance: The Moderating Role of Liquidity — https://doi.org/10.3390/jrfm17080359</w:t>
      </w:r>
    </w:p>
    <w:p>
      <w:pPr/>
      <w:r>
        <w:rPr>
          <w:b/>
        </w:rPr>
        <w:t>Shared claim-specific concepts:</w:t>
      </w:r>
      <w:r>
        <w:t xml:space="preserve"> sample, firms, period; EU scope visible. This is a provisional connection, not an outcome finding.</w:t>
      </w:r>
    </w:p>
    <w:p>
      <w:pPr>
        <w:pStyle w:val="SourceNote"/>
      </w:pPr>
      <w:r>
        <w:rPr>
          <w:b/>
        </w:rPr>
        <w:t>Available abstract (not full text):</w:t>
      </w:r>
      <w:r>
        <w:t xml:space="preserve"> This study examines how board gender diversity affects listed non-financial European companies’ financial performance. Data from the Refinitiv Eikon Platform—LSEG and World Bank databases was used to complete the analysis. The total sample included 4257 companies for the period 2011–2023. This study examined board gender diversity and its interaction with liquidity while controlling for board characteristics such as board size, independence, and board meetings. Controlling for firm characteristics (firm size and leverage) and macroeconomic variables like inflation and GDP. This study estimated the connection using panel regression. Due to Hausman test significance, fixed effect estimation was used. The findings demonstrated a notable and favorable influence of board features, such as gender diversity, board independence, and board size, on European nonfinancial companies. Additionally, liquidity positively affects firm performance. Furthermore, the findings indicated that leverage had a significant negative impact on profitability. Finally, both the size and GDP have a significant beneficial impact on profitability. Our findings indicate that an increased representation of women on the board of directors is associated with greater independence among board members and a higher number of board members being hired. This, in turn, has a positive impact on profitability due to the e</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r>
        <w:rPr>
          <w:b/>
        </w:rPr>
        <w:t>POSSIBLE 2023:</w:t>
      </w:r>
      <w:r>
        <w:t xml:space="preserve"> Implications of COVID-19 policies on the sustainable corporate practices of European firms — https://doi.org/10.1108/k-07-2022-1014</w:t>
      </w:r>
    </w:p>
    <w:p>
      <w:pPr/>
      <w:r>
        <w:rPr>
          <w:b/>
        </w:rPr>
        <w:t>Shared claim-specific concepts:</w:t>
      </w:r>
      <w:r>
        <w:t xml:space="preserve"> implications, firms, during, period; EU scope visible. This is a provisional connection, not an outcome finding.</w:t>
      </w:r>
    </w:p>
    <w:p>
      <w:pPr>
        <w:pStyle w:val="SourceNote"/>
      </w:pPr>
      <w:r>
        <w:rPr>
          <w:b/>
        </w:rPr>
        <w:t>Available abstract (not full text):</w:t>
      </w:r>
      <w:r>
        <w:t xml:space="preserve"> Purpose This study aims to analyze how mixes of COVID-19 policy responses are shaping the context in which companies will compete in the following years, defining how the crisis might impact firms’ ability to keep their commitments to sustainable practices. Design/methodology/approach European country-performance data for the years 2019 and 2020 were grouped into indicators of macro sustainability, then cross-analyzed against the policies adopted during the period (also grouped based on their impacts on sustainability pillars), using correlations, factor analysis and clustering. Findings The influence of traditional sustainability determinants was reframed according to the novel context shaped by the policy responses to the pandemic crisis. The social and digitalization aspects gained the most relevance and appeared interconnected, with digitalization of employment attaining overall more traction. Moreover, changes in the leadership within sustainability domains were observed for each identified country-cluster, due to newly implemented emergency policies. In fact, environmental innovation, digitalization and social support policies appeared to be the main variables to be impacted by the intensity of the policy efforts. Practical implications Businesses monitoring the developments of sustainability policies closely, will observe novel trends in technological applications. Socia</w:t>
      </w:r>
    </w:p>
    <w:p>
      <w:pPr>
        <w:pStyle w:val="Heading2"/>
      </w:pPr>
      <w:r>
        <w:t>866.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r>
        <w:rPr>
          <w:b/>
        </w:rPr>
        <w:t>POSSIBLE 2018:</w:t>
      </w:r>
      <w:r>
        <w:t xml:space="preserve"> Mar de plástico: Masculinity, Whiteness, and Eastern European Migrants in Spanish Prime Time Television — https://doi.org/10.5070/t482041118</w:t>
      </w:r>
    </w:p>
    <w:p>
      <w:pPr/>
      <w:r>
        <w:rPr>
          <w:b/>
        </w:rPr>
        <w:t>Shared claim-specific concepts:</w:t>
      </w:r>
      <w:r>
        <w:t xml:space="preserve"> contrast, white, show; EU scope visible. This is a provisional connection, not an outcome finding.</w:t>
      </w:r>
    </w:p>
    <w:p>
      <w:pPr>
        <w:pStyle w:val="SourceNote"/>
      </w:pPr>
      <w:r>
        <w:rPr>
          <w:b/>
        </w:rPr>
        <w:t>Available abstract (not full text):</w:t>
      </w:r>
      <w:r>
        <w:t xml:space="preserve"> The following essay analyzes representations of whiteness and its imbrication with both masculinity and the construction of Eastern European migrants in the Spanish TV drama Mar de plástico (2015). The violent, white masculinity of the protagonist, Héctor Aguirre, frames him as a protector of the weak and victimized, and the type of man needed to resolve the many problems plaguing Spanish society. By contrast, the whiteness of Eastern European migrants is portrayed as insidious and threatening to the safety and social structure of the community. Both of these engagements with whiteness stem from feelings of uncertainty and anger in broader Spanish society with entrenched economic and class hierarchies, as well a reaction to changing demographics and new influxes of immigrants. The innovative aspects of the show: a desire to create a well-produced, cinematic experience as well as engage with socially-relevant topics, unfortunately are only skin deep, because the narrative falls back on stereotyped portrayals of immigrants and a white, warrior-hero masculinity.</w:t>
      </w:r>
    </w:p>
    <w:p>
      <w:pPr/>
      <w:r>
        <w:rPr>
          <w:b/>
        </w:rPr>
        <w:t>POSSIBLE 2018:</w:t>
      </w:r>
      <w:r>
        <w:t xml:space="preserve"> Molecular Epidemiology and Evolution of European Bat Lyssavirus 2 — https://doi.org/10.3390/ijms19010156</w:t>
      </w:r>
    </w:p>
    <w:p>
      <w:pPr/>
      <w:r>
        <w:rPr>
          <w:b/>
        </w:rPr>
        <w:t>Shared claim-specific concepts:</w:t>
      </w:r>
      <w:r>
        <w:t xml:space="preserve"> contrast, high, reference;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r>
        <w:rPr>
          <w:b/>
        </w:rPr>
        <w:t>POSSIBLE 2018:</w:t>
      </w:r>
      <w:r>
        <w:t xml:space="preserve"> The White Cliff-Edge of Dover — https://openalex.org/W3213111109</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Media reports suggest that Michel Barnier has confidentially informed MEPs that Brexit talks are now “frozen”[1] and preparations on the continent for a no-deal Brexit are being accelerated. This is in stark contrast to official UK government documentation, which claims that “A scenario in which the UK leaves the EU without agreement (a ‘no deal’ scenario) remains unlikely given the mutual interests of the UK and the EU in securing a negotiated outcome”[2].</w:t>
      </w:r>
    </w:p>
    <w:p>
      <w:pPr>
        <w:pStyle w:val="Heading2"/>
      </w:pPr>
      <w:r>
        <w:t>867.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2023:</w:t>
      </w:r>
      <w:r>
        <w:t xml:space="preserve"> The role of the marine research infrastructures in the European marine observation landscape: present and future perspectives — https://doi.org/10.3389/fmars.2023.1047251</w:t>
      </w:r>
    </w:p>
    <w:p>
      <w:pPr/>
      <w:r>
        <w:rPr>
          <w:b/>
        </w:rPr>
        <w:t>Shared claim-specific concepts:</w:t>
      </w:r>
      <w:r>
        <w:t xml:space="preserve"> marine, play, significant, role, long-term, system; EU scope visible. This is a provisional connection, not an outcome finding.</w:t>
      </w:r>
    </w:p>
    <w:p>
      <w:pPr>
        <w:pStyle w:val="SourceNote"/>
      </w:pPr>
      <w:r>
        <w:rPr>
          <w:b/>
        </w:rPr>
        <w:t>Available abstract (not full text):</w:t>
      </w:r>
      <w:r>
        <w:t xml:space="preserve"> The ocean regulates the exchange, storage of carbon dioxide, plays a key role in global control of Earth climate and life, absorbs most of the heat excess from greenhouse gas emissions and provides a remarkable number of resources for the human being. Most of the geo-hazards occur in oceanic areas. Thus, high-quality systematic observations are necessary tools for improving our understanding, and subsequent assimilation to provide early warning systems. A holistic scientific approach for the understanding of the ocean’s interrelated processes requires coordinated and complementary monitoring and observation programmes. Research Infrastructures (RIs) are large-scale facilities that provide resources and services for the scientific communities to conduct high-level research and foster innovation. RIs benefit from strong governance and multi-annual funding from their member states with operational life spans in decades. RIs promote knowledge, outreach and education to public, private, and policy stakeholders, and they play a key role in enabling and developing research in all scientific domains and currently represent a growing share of coordinated investment in research, and also in providing essential observations to operational services such as Copernicus. They are strategically important for Europe to lead a global movement towards a data-driven, interconnected, open digital t</w:t>
      </w:r>
    </w:p>
    <w:p>
      <w:pPr/>
      <w:r>
        <w:rPr>
          <w:b/>
        </w:rPr>
        <w:t>POSSIBLE 2022:</w:t>
      </w:r>
      <w:r>
        <w:t xml:space="preserve"> Economic feasibility of marine renewable energy: Review — https://doi.org/10.3389/fmars.2022.988513</w:t>
      </w:r>
    </w:p>
    <w:p>
      <w:pPr/>
      <w:r>
        <w:rPr>
          <w:b/>
        </w:rPr>
        <w:t>Shared claim-specific concepts:</w:t>
      </w:r>
      <w:r>
        <w:t xml:space="preserve"> marine, energy, technology, different; EU scope visible. This is a provisional connection, not an outcome finding.</w:t>
      </w:r>
    </w:p>
    <w:p>
      <w:pPr>
        <w:pStyle w:val="SourceNote"/>
      </w:pPr>
      <w:r>
        <w:rPr>
          <w:b/>
        </w:rPr>
        <w:t>Available abstract (not full text):</w:t>
      </w:r>
      <w:r>
        <w:t xml:space="preserve">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pPr/>
      <w:r>
        <w:rPr>
          <w:b/>
        </w:rPr>
        <w:t>POSSIBLE 2022:</w:t>
      </w:r>
      <w:r>
        <w:t xml:space="preserve"> State of Play in Marine Soundscape Assessments — https://doi.org/10.3389/fmars.2022.919418</w:t>
      </w:r>
    </w:p>
    <w:p>
      <w:pPr/>
      <w:r>
        <w:rPr>
          <w:b/>
        </w:rPr>
        <w:t>Shared claim-specific concepts:</w:t>
      </w:r>
      <w:r>
        <w:t xml:space="preserve"> marine, play, technology; EU scope not established. This is a provisional connection, not an outcome finding.</w:t>
      </w:r>
    </w:p>
    <w:p>
      <w:pPr>
        <w:pStyle w:val="SourceNote"/>
      </w:pPr>
      <w:r>
        <w:rPr>
          <w:b/>
        </w:rPr>
        <w:t>Available abstract (not full text):</w:t>
      </w:r>
      <w:r>
        <w:t xml:space="preserve"> A soundscape is the recording of all sounds present in an area, creating a holistic view of the acoustic profile in an ecosystem. Studying acoustic parameters of marine soundscapes as a whole has been shown to give an indication of the health status of the location, as well as correlate to which species may be present and using the area. With the rapid innovation of technology, especially data storage and declining cost of equipment, marine soundscape research is fast increasing, and these previous limitations have been switched for computing capacity for data analysis. Here, we perform a systematic assessment of literature of marine soundscape studies, from 1978, when the first soundscape study was reported, until 2021. We identified 200 primary research studies that recorded soundscapes and captured their geographical location, depth, habitat, duration of the study, and number of sites in each study. Using this data, we summarize the state of play in marine soundscapes studies, and identify knowledge gaps in the spatial coverage, depth profiles, habitat representation and study duration. Spatially, studies are biased towards the northern hemisphere. They are also more prevalent in more easily accessible ecosystems, in order from most to least studied, in coastal (38%), pelagic (20%), tropical coral reef (17%), rocky reef (7%), polar (5.5%), seagrass meadows, oyster reef and k</w:t>
      </w:r>
    </w:p>
    <w:p>
      <w:pPr/>
      <w:r>
        <w:rPr>
          <w:b/>
        </w:rPr>
        <w:t>POSSIBLE 2022:</w:t>
      </w:r>
      <w:r>
        <w:t xml:space="preserve"> Marine Integrated Energy Microgrids — https://doi.org/10.1109/rest54687.2022.10022621</w:t>
      </w:r>
    </w:p>
    <w:p>
      <w:pPr/>
      <w:r>
        <w:rPr>
          <w:b/>
        </w:rPr>
        <w:t>Shared claim-specific concepts:</w:t>
      </w:r>
      <w:r>
        <w:t xml:space="preserve"> marine, energy, role, system, efficiency; EU scope not established. This is a provisional connection, not an outcome finding.</w:t>
      </w:r>
    </w:p>
    <w:p>
      <w:pPr>
        <w:pStyle w:val="SourceNote"/>
      </w:pPr>
      <w:r>
        <w:rPr>
          <w:b/>
        </w:rPr>
        <w:t>Available abstract (not full text):</w:t>
      </w:r>
      <w:r>
        <w:t xml:space="preserve"> Marine sector decarbonization is another important battlefield for meeting the goal of climate action and ensuring the fulfillment of ambitions for a zero-emission society. Driven immediately by the policy incentives such as Energy Efficiency Design Index (EEDI) from International Maritime Organization(IMO), carbon taxation and labeling, a series of innovations centered around marine transportation are emerging from both industry and academia. As an efficient energy system form, the microgrid is playing an increasingly important role as the system constitution form for various marine energy systems. With specific concern about multi-energy integrations, the conventional definition of the microgrid needs also to be extended for an integrated energy system. In this paper, we will first introduce the extended concept of the microgrid as an integrated energy system and its applications in the marine sector, and then present the state of the art for the control, operation, and system integration for it and its clusters. The challenges and opportunities for marine integrated energy microgrids will also be discussed to shed light on future research.</w:t>
      </w:r>
    </w:p>
    <w:p>
      <w:pPr>
        <w:pStyle w:val="Heading2"/>
      </w:pPr>
      <w:r>
        <w:t>868.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2024:</w:t>
      </w:r>
      <w:r>
        <w:t xml:space="preserve"> Assessing FDA REMS Program through Workshop — https://doi.org/10.1200/acon.12.00157</w:t>
      </w:r>
    </w:p>
    <w:p>
      <w:pPr/>
      <w:r>
        <w:rPr>
          <w:b/>
        </w:rPr>
        <w:t>Shared claim-specific concepts:</w:t>
      </w:r>
      <w:r>
        <w:t xml:space="preserve"> workshop, various, assessments; EU scope not established. This is a provisional connection, not an outcome finding.</w:t>
      </w:r>
    </w:p>
    <w:p>
      <w:pPr>
        <w:pStyle w:val="SourceNote"/>
      </w:pPr>
      <w:r>
        <w:rPr>
          <w:b/>
        </w:rPr>
        <w:t>Available abstract (not full text):</w:t>
      </w:r>
      <w:r>
        <w:t xml:space="preserve"> During the June 7, 2012, FDA public workshop, “Risk Evaluation and Mitigation Strategy (REMS) Assessments: Social Science Methodologies to Assess Goals Related to Knowledge,” ASCO REMS Working Group Chair James Frame, MD, FACP, stressed various REMS challenges that can detract from patient care because of administrative burden and system redundancy. In addition, he presented</w:t>
      </w:r>
    </w:p>
    <w:p>
      <w:pPr/>
      <w:r>
        <w:rPr>
          <w:b/>
        </w:rPr>
        <w:t>POSSIBLE 2024:</w:t>
      </w:r>
      <w:r>
        <w:t xml:space="preserve"> Methodological Challenges of Prospective Assessments — https://doi.org/10.1007/978-3-031-48359-2_12</w:t>
      </w:r>
    </w:p>
    <w:p>
      <w:pPr/>
      <w:r>
        <w:rPr>
          <w:b/>
        </w:rPr>
        <w:t>Shared claim-specific concepts:</w:t>
      </w:r>
      <w:r>
        <w:t xml:space="preserve"> used, assessments, method; EU scope not established. This is a provisional connection, not an outcome finding.</w:t>
      </w:r>
    </w:p>
    <w:p>
      <w:pPr>
        <w:pStyle w:val="SourceNote"/>
      </w:pPr>
      <w:r>
        <w:rPr>
          <w:b/>
        </w:rPr>
        <w:t>Available abstract (not full text):</w:t>
      </w:r>
      <w:r>
        <w:t xml:space="preserve"> Abstract Traditionally, environmental, economic, and social impact assessments of technological innovations have been conducted retrospectively, which means assessing the present or past impacts of products and services. However, for the evaluation of future aspects of technological developments, alternative assessment methods are needed. Prospective assessment is a future-oriented method that can be used to assess environmental, economic, and social impacts. Prospective assessments, like retrospective assessments, provide guidance to decision-makers, including technology developers, policymakers, and manufacturers. Despite the benefits offered by such assessments, a standard method to follow when conducting a prospective assessment presently does not exist. This section focuses on the methodological challenges of prospective assessments for the evaluation of the impacts of emerging technologies, with a particular focus on emerging battery technologies. Four key challenges of prospective assessments are defined and discussed, being data availability and quality, scaling issues, uncertainty management and variability, and comparability. Each of these challenges is described, and existing methods are suggested to mitigate the challenges. The section concludes by emphasising the need for harmonised and standardised methods when communicating results related to prospective LCAs. In</w:t>
      </w:r>
    </w:p>
    <w:p>
      <w:pPr/>
      <w:r>
        <w:rPr>
          <w:b/>
        </w:rPr>
        <w:t>POSSIBLE 2023:</w:t>
      </w:r>
      <w:r>
        <w:t xml:space="preserve"> Chemistry Workshop in Brazilian High School using the Three Pedagogical Moments Methodology — https://doi.org/10.14571/brajets.v16.n1.59-70</w:t>
      </w:r>
    </w:p>
    <w:p>
      <w:pPr/>
      <w:r>
        <w:rPr>
          <w:b/>
        </w:rPr>
        <w:t>Shared claim-specific concepts:</w:t>
      </w:r>
      <w:r>
        <w:t xml:space="preserve"> workshop, methodology, showed; EU scope not established. This is a provisional connection, not an outcome finding.</w:t>
      </w:r>
    </w:p>
    <w:p>
      <w:pPr>
        <w:pStyle w:val="SourceNote"/>
      </w:pPr>
      <w:r>
        <w:rPr>
          <w:b/>
        </w:rPr>
        <w:t>Available abstract (not full text):</w:t>
      </w:r>
      <w:r>
        <w:t xml:space="preserve">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pPr/>
      <w:r>
        <w:rPr>
          <w:b/>
        </w:rPr>
        <w:t>POSSIBLE 2023:</w:t>
      </w:r>
      <w:r>
        <w:t xml:space="preserve"> WORKSHOP — https://doi.org/10.4103/0019-5545.368868</w:t>
      </w:r>
    </w:p>
    <w:p>
      <w:pPr/>
      <w:r>
        <w:rPr>
          <w:b/>
        </w:rPr>
        <w:t>Shared claim-specific concepts:</w:t>
      </w:r>
      <w:r>
        <w:t xml:space="preserve"> workshop, various, assessments, cognitive; EU scope not established. This is a provisional connection, not an outcome finding.</w:t>
      </w:r>
    </w:p>
    <w:p>
      <w:pPr>
        <w:pStyle w:val="SourceNote"/>
      </w:pPr>
      <w:r>
        <w:rPr>
          <w:b/>
        </w:rPr>
        <w:t>Available abstract (not full text):</w:t>
      </w:r>
      <w:r>
        <w:t xml:space="preserve"> Clinical Evaluations in sexual medicine: Facilitators and barriers A Workshop Dr Adarsh Triapthi1, Dr Sandeep Grover2 1Professor, Department of Psychiatry, King George's Medical University, Lucknow, UP, 2Professor, Department of Psychiatry, PGIMER, Chandigarh Sexuality is a central part of human life and general wellbeing, encompassing feelings that are experienced and expressed in language, thoughts, beliefs, attitudes, values, behaviors, practices, and relationships. However, problems in sexual functioning are common and constitute important source of distress and impairment in people affected with them. Clinical evaluations are vital aspects in sexual medicine as they form essential aspects in diagnosis and management. However, knowledge and skills of proper history taking, and physical examinations are still lacking to the most trainees in psychiatry residency. This leads to inability of common clinicians in doing an appropriate clinical evaluation for the patients presenting with the sexual concerns. The facilitators and barriers to the clinical evaluations are not known to a common clinician. Establishing rapport, putting patients at ease, appropriate body language, selections of proper words, asking correct questions and considering various contributing factors in sexual dysfunctions are some of the important aspects. This workshop aims to discuss common scenarios where </w:t>
      </w:r>
    </w:p>
    <w:p>
      <w:pPr/>
      <w:r>
        <w:rPr>
          <w:b/>
        </w:rPr>
        <w:t>POSSIBLE 2022:</w:t>
      </w:r>
      <w:r>
        <w:t xml:space="preserve"> Use of New Approach Methodologies (NAMs) in regulatory decisions for chemical safety: Report from an EPAA Deep Dive Workshop — https://doi.org/10.1016/j.yrtph.2022.105261</w:t>
      </w:r>
    </w:p>
    <w:p>
      <w:pPr/>
      <w:r>
        <w:rPr>
          <w:b/>
        </w:rPr>
        <w:t>Shared claim-specific concepts:</w:t>
      </w:r>
      <w:r>
        <w:t xml:space="preserve"> workshop, used, method; EU scope visible. This is a provisional connection, not an outcome finding.</w:t>
      </w:r>
    </w:p>
    <w:p>
      <w:pPr>
        <w:pStyle w:val="SourceNote"/>
      </w:pPr>
      <w:r>
        <w:rPr>
          <w:b/>
        </w:rPr>
        <w:t>Available abstract (not full text):</w:t>
      </w:r>
      <w:r>
        <w:t xml:space="preserve">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pPr>
        <w:pStyle w:val="Heading2"/>
      </w:pPr>
      <w:r>
        <w:t>869.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2025:</w:t>
      </w:r>
      <w:r>
        <w:t xml:space="preserve"> Expert Foresight on AI-Driven Disinformation — https://doi.org/10.22151/politikon.61.con8</w:t>
      </w:r>
    </w:p>
    <w:p>
      <w:pPr/>
      <w:r>
        <w:rPr>
          <w:b/>
        </w:rPr>
        <w:t>Shared claim-specific concepts:</w:t>
      </w:r>
      <w:r>
        <w:t xml:space="preserve"> foresight, expert, innovative; EU scope not established. This is a provisional connection, not an outcome finding.</w:t>
      </w:r>
    </w:p>
    <w:p>
      <w:pPr>
        <w:pStyle w:val="SourceNote"/>
      </w:pPr>
      <w:r>
        <w:rPr>
          <w:b/>
        </w:rPr>
        <w:t>Available abstract (not full text):</w:t>
      </w:r>
      <w:r>
        <w:t xml:space="preserve"> The 2024 “super election year” demonstrated both the promise and risks of artificial intelligence (AI) in democratic processes. Innovative uses, such as AI-powered fact-checking and voter engagement tools, contrasted with harmful applications including deepfakes. Although the overall impact of deepfakes and other AI-generated disinformation was lower than anticipated, experts predict a substantial rise in AI-powered disinformation in the short term, particularly through synthetic media and foreign influence operations. Evidence of AI-enabled manipulation highlights the need for effective regulation and strengthened oversight to safeguard information integrity in a rapidly changing information ecosystem.</w:t>
      </w:r>
    </w:p>
    <w:p>
      <w:pPr/>
      <w:r>
        <w:rPr>
          <w:b/>
        </w:rPr>
        <w:t>POSSIBLE 2025:</w:t>
      </w:r>
      <w:r>
        <w:t xml:space="preserve"> Strategic Foresight in Civic Engagement for Racial Justice — https://doi.org/10.21900/j.alise.2025.2032</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This paper briefly identifies qualitative themes from semi-structured feedback collected in online interviews/focus groups with forty public library staff in the American South about their foresight regarding library roles in civic engagement to promote racial justice. The research is timely in its engagement with stakeholders who are now directly impacted by the recent political and financial threats to federal funding and support of library-related agencies and assaults on public organizations that promote diversity and inclusion. Library staff provide potential directions of future engagement to support racial justice that spotlights their constructive role of resilience in response to these harsh political realities in the United States. Questions around the why’s, how’s, what’s, and specific actions integrated in data collection form a possible framework providing potential holistic structure of organization, content, representation, and delivery of civic engagement for racial justice in public library and communities to be developed further in future research.</w:t>
      </w:r>
    </w:p>
    <w:p>
      <w:pPr/>
      <w:r>
        <w:rPr>
          <w:b/>
        </w:rPr>
        <w:t>POSSIBLE 2025:</w:t>
      </w:r>
      <w:r>
        <w:t xml:space="preserve"> The Role of Intellectual Capital in Enhancing Strategic Foresight — https://openalex.org/W7216857037</w:t>
      </w:r>
    </w:p>
    <w:p>
      <w:pPr/>
      <w:r>
        <w:rPr>
          <w:b/>
        </w:rPr>
        <w:t>Shared claim-specific concepts:</w:t>
      </w:r>
      <w:r>
        <w:t xml:space="preserve"> foresight, strategic; EU scope not established. This is a provisional connection, not an outcome finding.</w:t>
      </w:r>
    </w:p>
    <w:p>
      <w:pPr>
        <w:pStyle w:val="SourceNote"/>
      </w:pPr>
      <w:r>
        <w:rPr>
          <w:b/>
        </w:rPr>
        <w:t>Available abstract (not full text):</w:t>
      </w:r>
      <w:r>
        <w:t xml:space="preserve"> This study examines the relationship between intellectual capital and strategic foresight within the Iraqi Federal Commission of Integrity, focusing on the impact of human, structural, and relational capital. Using a structured questionnaire distributed to 200 employees, with 164 valid responses analyzed, the study employs a quantitative approach supported by statistical analysis through SPSS. Results reveal a significant and positive relationship between intellectual capital and strategic foresight, with each dimension contributing uniquely to enhancing foresight capabilities. Human capital fosters creativity and knowledge application, structural capital provides robust systems and processes, and relational capital strengthens external collaboration and information flow. The findings underscore the importance of intellectual capital as a strategic resource for anticipating and preparing for future challenges. Limitations of the study, including its focus on a single institution and reliance on self reported data, are acknowledged, with suggestions for future research to include diverse sectors, explore mediating variables, and adopt longitudinal designs. This study highlights the critical role of intellectual capital in fostering organizational foresight and resilience.</w:t>
      </w:r>
    </w:p>
    <w:p>
      <w:pPr/>
      <w:r>
        <w:rPr>
          <w:b/>
        </w:rPr>
        <w:t>POSSIBLE 2024:</w:t>
      </w:r>
      <w:r>
        <w:t xml:space="preserve"> Innovations and inspirations of EU strategic foresight methods — https://doi.org/10.3724/j.issn.1671-4342.20240107</w:t>
      </w:r>
    </w:p>
    <w:p>
      <w:pPr/>
      <w:r>
        <w:rPr>
          <w:b/>
        </w:rPr>
        <w:t>Shared claim-specific concepts:</w:t>
      </w:r>
      <w:r>
        <w:t xml:space="preserve"> foresight, system, strategic, directions, innovative, technological; EU scope visible. This is a provisional connection, not an outcome finding.</w:t>
      </w:r>
    </w:p>
    <w:p>
      <w:pPr>
        <w:pStyle w:val="SourceNote"/>
      </w:pPr>
      <w:r>
        <w:rPr>
          <w:b/>
        </w:rPr>
        <w:t>Available abstract (not full text):</w:t>
      </w:r>
      <w:r>
        <w:t xml:space="preserve"> In the face of complex and diversified future scenarios, strategic foresight has become a powerful tool to support decision-making. Through in-depth study of EU strategic foresight research results, this paper summarizes the EU's innovative practices in strategic foresight, and elaborates in detail on the strategic foresight methodology system of the EU, with horizon scan, megatrends hub, and scenario exploration system as its backbone tools, as well as its optimization design in specific methods and processes. Combined with the future-oriented development trend of strategic research methodology and the EU's innovative practice in strategic foresight methodology, furthermore, it provides a summary of the development characteristics and advantages of the EU's strategic foresight research methodology trends and directions, with a goal of providing inspiration for China's scientific and technological strategic research, policy research tools and methodological.</w:t>
      </w:r>
    </w:p>
    <w:p>
      <w:pPr/>
      <w:r>
        <w:rPr>
          <w:b/>
        </w:rPr>
        <w:t>POSSIBLE 2024:</w:t>
      </w:r>
      <w:r>
        <w:t xml:space="preserve"> Technology Foresight for Better Healthcare — https://doi.org/10.1201/9781032632223-2</w:t>
      </w:r>
    </w:p>
    <w:p>
      <w:pPr/>
      <w:r>
        <w:rPr>
          <w:b/>
        </w:rPr>
        <w:t>Shared claim-specific concepts:</w:t>
      </w:r>
      <w:r>
        <w:t xml:space="preserve"> foresight, expert, evaluation, strategic, technological; EU scope not established. This is a provisional connection, not an outcome finding.</w:t>
      </w:r>
    </w:p>
    <w:p>
      <w:pPr>
        <w:pStyle w:val="SourceNote"/>
      </w:pPr>
      <w:r>
        <w:rPr>
          <w:b/>
        </w:rPr>
        <w:t>Available abstract (not full text):</w:t>
      </w:r>
      <w:r>
        <w:t xml:space="preserve"> Technology foresight is a systematic approach to anticipate and explore future technological developments, their potential impacts, and how they can drive progress and innovation in fields like healthcare. Its goal is to identify emerging trends, predict their trajectory, and inform strategic decision-making for better preparation to leverage advancements. In healthcare, foresight plays a critical role in shaping medical practices, patient care, and healthcare systems. Foresight techniques were examined, and a roadmap was developed for researchers and managers interested in the subject. The first section provides general information about technology foresight and explains key methods, by comparing them. Collaborative efforts among stakeholders are essential for successful foresight. The second section highlights the relationship between healthcare and foresight, summarizing previous studies. The third section explains the stages of the Delphi method, a structured way to gather expert opinions. A sample Delphi application related to healthcare will be included. The model developed in this section will serve as a roadmap for the practitioner. In the appendix of this section, sample Delphi statements related to healthcare technologies will be given. In Section 2.5 , expert evaluation (panel) and focus group work methods will be examined. In this section, the development process of</w:t>
      </w:r>
    </w:p>
    <w:p>
      <w:pPr/>
      <w:r>
        <w:rPr>
          <w:b/>
        </w:rPr>
        <w:t>POSSIBLE 2024:</w:t>
      </w:r>
      <w:r>
        <w:t xml:space="preserve"> FORESIGHT AS AN INNOVATIVE TOOL FOR PLANNING AND IMPLEMENTING SCIENTIFIC TECHNOLOGIES IN THE DEFENCE INDUSTRY — https://doi.org/10.46972/2076-1546.2024.26.08</w:t>
      </w:r>
    </w:p>
    <w:p>
      <w:pPr/>
      <w:r>
        <w:rPr>
          <w:b/>
        </w:rPr>
        <w:t>Shared claim-specific concepts:</w:t>
      </w:r>
      <w:r>
        <w:t xml:space="preserve"> foresight, system, directions, innovative, economy, long-term; EU scope not established. This is a provisional connection, not an outcome finding.</w:t>
      </w:r>
    </w:p>
    <w:p>
      <w:pPr>
        <w:pStyle w:val="SourceNote"/>
      </w:pPr>
      <w:r>
        <w:rPr>
          <w:b/>
        </w:rPr>
        <w:t>Available abstract (not full text):</w:t>
      </w:r>
      <w:r>
        <w:t xml:space="preserve"> Various methods and approaches are used for innovative development of enterprises, among which Foresight has proven to be more effective. It is a method of long-term forecasting, a way of building a balanced, coherent and responsible image of the future, a tool for predicting phenomena of a social, technical and mental nature. Foresight is a process of selecting new directions, which establishes links between elements by combining different opinions of the national innovation system actors. Foresight is used to develop long-term strategies for the development of the economy, science, and technology aimed at increasing competitiveness and maximizing the effect of the defense industry. The foresight differs from well-known planning tools in that its purpose is not only to prepare an analytical forecast of the most problematic areas of development of enterprises of the defense-industrial complex, but also to seek to unite the efforts of participants engaged in the process of change, to create conditions for them to anticipate events. Foresight is based on the technology of the work of a large number of experts who directly convey their views, knowledge and assumptions. Experts can be scientific communities, scientific and scientific-pedagogical employees of educational institutions, representatives of authorities and public organizations, large enterprises, communal institutions, </w:t>
      </w:r>
    </w:p>
    <w:p>
      <w:pPr/>
      <w:r>
        <w:rPr>
          <w:b/>
        </w:rPr>
        <w:t>POSSIBLE 2023:</w:t>
      </w:r>
      <w:r>
        <w:t xml:space="preserve"> Foresight (prevision) of development of the tourist system in Ukraine — https://doi.org/10.21511/ppm.21(4).2023.52</w:t>
      </w:r>
    </w:p>
    <w:p>
      <w:pPr/>
      <w:r>
        <w:rPr>
          <w:b/>
        </w:rPr>
        <w:t>Shared claim-specific concepts:</w:t>
      </w:r>
      <w:r>
        <w:t xml:space="preserve"> foresight, system, strategic, directions, economy; EU scope not established. This is a provisional connection, not an outcome finding.</w:t>
      </w:r>
    </w:p>
    <w:p>
      <w:pPr>
        <w:pStyle w:val="SourceNote"/>
      </w:pPr>
      <w:r>
        <w:rPr>
          <w:b/>
        </w:rPr>
        <w:t>Available abstract (not full text):</w:t>
      </w:r>
      <w:r>
        <w:t xml:space="preserve">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pPr>
        <w:pStyle w:val="Heading2"/>
      </w:pPr>
      <w:r>
        <w:t>870.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2021:</w:t>
      </w:r>
      <w:r>
        <w:t xml:space="preserve"> Vocational training for unemployed youth in Latvia — https://doi.org/10.1007/s00148-021-00877-8</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We analyze the effectiveness of a vocational training (VT) programme targeting unemployed youth in Latvia, contributing to the scant literature on active labour market policies in transition countries. The programme we analyse is part of the Youth Guarantee scheme (2014-2020), the largest action launched by the European Union to combat youth unemployment after the 2008 financial crisis. Although the programme was targeted to youths aged between 15 and 29, priority was given to those younger than 25 years of age. We exploit this eligibility rule in a fuzzy regression discontinuity design framework to estimate the impact of VT participation on the probability of being employed and gross monthly labour income at given dates after the training. Using rich administrative data, we find that the age priority rule increased programme participation for the youngest group by about 10 percentage points. However, participation in the programme did not lead to statistically significant positive effects in labour market outcomes. We argue that this result could be due to some specific characteristics of the programme, namely the voucher system (potentially inducing lock-in effects) and the type of training (classroom instead of on-the-job training). Moreover, the programme was targeted at ex-ante low-employable individuals (e.g. without vocational qualifications), a fact that is confirmed by</w:t>
      </w:r>
    </w:p>
    <w:p>
      <w:pPr/>
      <w:r>
        <w:rPr>
          <w:b/>
        </w:rPr>
        <w:t>POSSIBLE 2021:</w:t>
      </w:r>
      <w:r>
        <w:t xml:space="preserve"> The inclusion of transversal competences in the training programs for unemployed of Bahía De Cádiz — https://doi.org/10.53596/jta.v26i1.344</w:t>
      </w:r>
    </w:p>
    <w:p>
      <w:pPr/>
      <w:r>
        <w:rPr>
          <w:b/>
        </w:rPr>
        <w:t>Shared claim-specific concepts:</w:t>
      </w:r>
      <w:r>
        <w:t xml:space="preserve"> number, unemployed, spain, decrease, people; EU scope visible. This is a provisional connection, not an outcome finding.</w:t>
      </w:r>
    </w:p>
    <w:p>
      <w:pPr>
        <w:pStyle w:val="SourceNote"/>
      </w:pPr>
      <w:r>
        <w:rPr>
          <w:b/>
        </w:rPr>
        <w:t>Available abstract (not full text):</w:t>
      </w:r>
      <w:r>
        <w:t xml:space="preserve"> Purpose The economic crisis of 2008 has caused a significant increase in the number of unemployed in Spain and a decrease in investments in active training policies. In this context, it is even more necessary to demand improvements in the degree of efficiency of the training programs aimed at unemployed people. Design/methodology/approach This paper presents the opinions of a group of experts in labor intermediation on the need to include transversal competences in the training contents of employment courses aimed at the tourism sector to improve the degree of employment of the unemployed. Findings All the experts consulted have indicated the need to enrich the subjects of the training courses by incorporating workshops that favor the implementation of certain transversal competences such as team work, management in stress situations, problem-solving, willingness to learn, self-initiative, verbal communication and mastery of social networks. Research limitations/implications The main limitations are given by the small number of experts in the field. However, their long career and participation in employment programs make their opinions valuable. Practical implications The main practical implication is in the fact that the proposed suggestions about modifications in the contents of the training courses for employment in the tourism sector are perfectly applicable, and according </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recent, number, between;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2020:</w:t>
      </w:r>
      <w:r>
        <w:t xml:space="preserve"> Bitten or struck by dog: A rising number of fatalities in Europe, 1995–2016 — https://doi.org/10.1016/j.forsciint.2020.110592</w:t>
      </w:r>
    </w:p>
    <w:p>
      <w:pPr/>
      <w:r>
        <w:rPr>
          <w:b/>
        </w:rPr>
        <w:t>Shared claim-specific concepts:</w:t>
      </w:r>
      <w:r>
        <w:t xml:space="preserve"> number, people, between; EU scope visible. This is a provisional connection, not an outcome finding.</w:t>
      </w:r>
    </w:p>
    <w:p>
      <w:pPr>
        <w:pStyle w:val="SourceNote"/>
      </w:pPr>
      <w:r>
        <w:rPr>
          <w:b/>
        </w:rPr>
        <w:t>Available abstract (not full text):</w:t>
      </w:r>
      <w:r>
        <w:t xml:space="preserve"> We analyzed fatal dog attacks in Europe 1995-2016 using official death cause data from Eurostat. The data comprised the number of fatalities assigned The International Statistical Classification of Diseases and Related Health Problems, Tenth Revision (ICD-10) code W54 "bitten or struck by dog", which includes deaths due to direct attacks but which excludes many complications following dog bites, such as rabies. In 2016, dogs killed 45 Europeans, which translates to an incidence of 0.009 per 100,000 inhabitants. This is comparable to estimates from the USA (0.011), and Canada (0.007), but higher than Australia (0.004). The number of European fatalities due to dog attacks increased significantly at a rate of several percent per year. This increase could not be explained by increases in the human or the dog populations. By taking all fatalities reported 1995-2016 into account, we investigated the effects of age, gender and geography. First, children, including infants, were common victims, but also middle-aged and the elderly, while people between ages 10 and 39 were rarely killed by dogs. Second, boys and men were overrepresented, but only in certain age groups and in certain parts of Europe. Third, there were large national and regional differences, both in the effects of gender and in incidences, which ranged from 0 to 0.045 per 100,000 inhabitants. This study of dog-related fa</w:t>
      </w:r>
    </w:p>
    <w:p>
      <w:pPr/>
      <w:r>
        <w:rPr>
          <w:b/>
        </w:rPr>
        <w:t>POSSIBLE 2020:</w:t>
      </w:r>
      <w:r>
        <w:t xml:space="preserve"> Impact of sex and gender on COVID-19 outcomes in Europe — https://doi.org/10.1186/s13293-020-00304-9</w:t>
      </w:r>
    </w:p>
    <w:p>
      <w:pPr/>
      <w:r>
        <w:rPr>
          <w:b/>
        </w:rPr>
        <w:t>Shared claim-specific concepts:</w:t>
      </w:r>
      <w:r>
        <w:t xml:space="preserve"> number, aged, between; EU scope visible. This is a provisional connection, not an outcome finding.</w:t>
      </w:r>
    </w:p>
    <w:p>
      <w:pPr>
        <w:pStyle w:val="SourceNote"/>
      </w:pPr>
      <w:r>
        <w:rPr>
          <w:b/>
        </w:rPr>
        <w:t>Available abstract (not full text):</w:t>
      </w:r>
      <w:r>
        <w:t xml:space="preserve">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pPr/>
      <w:r>
        <w:rPr>
          <w:b/>
        </w:rPr>
        <w:t>POSSIBLE 2019:</w:t>
      </w:r>
      <w:r>
        <w:t xml:space="preserve"> EVALUATION OF EUROPEAN SOCIAL FUND SUPPORT FOR THE EDUCATION OF THE UNEMPLOYED IN LATVIA — https://doi.org/10.17770/iss2018.4255</w:t>
      </w:r>
    </w:p>
    <w:p>
      <w:pPr/>
      <w:r>
        <w:rPr>
          <w:b/>
        </w:rPr>
        <w:t>Shared claim-specific concepts:</w:t>
      </w:r>
      <w:r>
        <w:t xml:space="preserve"> recent, number, unemployed, people; EU scope visible. This is a provisional connection, not an outcome finding.</w:t>
      </w:r>
    </w:p>
    <w:p>
      <w:pPr>
        <w:pStyle w:val="SourceNote"/>
      </w:pPr>
      <w:r>
        <w:rPr>
          <w:b/>
        </w:rPr>
        <w:t>Available abstract (not full text):</w:t>
      </w:r>
      <w:r>
        <w:t xml:space="preserve">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pPr>
        <w:pStyle w:val="Heading2"/>
      </w:pPr>
      <w:r>
        <w:t>871.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Comorbid physical health burden of serious mental health disorders in 32 European countries — https://doi.org/10.1136/bmjment-2024-301021</w:t>
      </w:r>
    </w:p>
    <w:p>
      <w:pPr/>
      <w:r>
        <w:rPr>
          <w:b/>
        </w:rPr>
        <w:t>Shared claim-specific concepts:</w:t>
      </w:r>
      <w:r>
        <w:t xml:space="preserve"> integrated, health, population, fractions; EU scope visible. This is a provisional connection, not an outcome finding.</w:t>
      </w:r>
    </w:p>
    <w:p>
      <w:pPr>
        <w:pStyle w:val="SourceNote"/>
      </w:pPr>
      <w:r>
        <w:rPr>
          <w:b/>
        </w:rPr>
        <w:t>Available abstract (not full text):</w:t>
      </w:r>
      <w:r>
        <w:t xml:space="preserve"> BACKGROUND: Mental health disorders (MHDs) are associated with physical health disparities, but underlying excess risk and health burden have not yet been comprehensively assessed. OBJECTIVE: To assess the burden of comorbid physical health conditions (PHCs) across serious MHDs in Europe. METHODS: We estimated the relative prevalence risk of PHCs associated with alcohol use disorders (AUD), bipolar disorder (BD), depressive disorders (DD) and schizophrenia (SZ) across working-age populations of 32 European countries in 2019 based on a targeted literature review. Excess physical health burden was modelled using population-attributable fractions and country-level prevalence data. FINDINGS: We screened 10 960 studies, of which 41 were deemed eligible, with a total sample size of over 18 million persons. Relative prevalence of PHCs was reported in 54%, 20%, 15%, 5% and 7% of studies, respectively, for SZ, DD, BD, AUD or mixed. Significant relative risk estimates ranged from 1.44 to 3.66 for BD, from 1.43 to 2.21 for DD, from 0.81 to 1.97 for SZ and 3.31 for AUD. Excess physical health burden ranged between 27% and 67% of the total, corresponding to 84 million (AUD), 67 million (BD), 66 million (DD) and 5 million (SZ) PHC diagnoses in Europe. A 1% reduction in excess risk assuming causal inference could result in two million fewer PHCs across investigated MHDs. CONCLUSIONS: This is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integrated, health, population, attributable, fractions, mortality;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Decarbonizing the cement industry: Findings from coupling prospective life cycle assessment of clinker with integrated assessment model scenarios — https://doi.org/10.1016/j.jclepro.2024.141884</w:t>
      </w:r>
    </w:p>
    <w:p>
      <w:pPr/>
      <w:r>
        <w:rPr>
          <w:b/>
        </w:rPr>
        <w:t>Shared claim-specific concepts:</w:t>
      </w:r>
      <w:r>
        <w:t xml:space="preserve"> integrated, impacts, assessment, climate; EU scope not established. This is a provisional connection, not an outcome finding.</w:t>
      </w:r>
    </w:p>
    <w:p>
      <w:pPr>
        <w:pStyle w:val="SourceNote"/>
      </w:pPr>
      <w:r>
        <w:rPr>
          <w:b/>
        </w:rPr>
        <w:t>Available abstract (not full text):</w:t>
      </w:r>
      <w:r>
        <w:t xml:space="preserve"> In the race to achieve global climate neutrality, carbon intensive industries like the clinker and cement industry are required to decarbonize rapidly. The environmental impacts related to potential transition pathways to low-carbon systems can be evaluated using prospective life cycle assessment (pLCA). This study conducts a pLCA for future global clinker production, integrating long-term transition pathways from the IMAGE integrated assessment model (IAM) to maintain global consistency. It systematically modifies the ecoinvent v3.9.1 database using the Python library premise to create future database versions representing future clinker production embedded in a future economy according to a 3.5°C-baseline, a 2°C-compliant and a 1.5°C-compliant scenario. Our study indicates that climate change impacts of clinker production may decrease from about 1.03 kg CO2-eq/kg clinker in 2020 to 0.94 (3.5°C-baseline), 0.20 (2°C-compliant), and 0.16 (1.5°C-compliant) kg CO2-eq/kg clinker in 2060 for the global average. This corresponds to a 10% (3.5°C-baseline), 81% (2°C-compliant) and 84% (1.5°C-compliant) decrease by 2060 compared to 2020. Under these scenarios, global clinker production alone would require 5%–11% of the remaining end-of-century carbon budget for the 2 °C and 1.5°C-target, respectively. While the climate change impacts are substantially reduced, our study also indicates t</w:t>
      </w:r>
    </w:p>
    <w:p>
      <w:pPr/>
      <w:r>
        <w:rPr>
          <w:b/>
        </w:rPr>
        <w:t>POSSIBLE 2024:</w:t>
      </w:r>
      <w:r>
        <w:t xml:space="preserve"> Exploring Health Impact Assessment in Europe — https://doi.org/10.2427/5878</w:t>
      </w:r>
    </w:p>
    <w:p>
      <w:pPr/>
      <w:r>
        <w:rPr>
          <w:b/>
        </w:rPr>
        <w:t>Shared claim-specific concepts:</w:t>
      </w:r>
      <w:r>
        <w:t xml:space="preserve"> health, impacts, assessment;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2023:</w:t>
      </w:r>
      <w:r>
        <w:t xml:space="preserve"> Excess mortality attributed to heat and cold: a health impact assessment study in 854 cities in Europe — https://doi.org/10.1016/s2542-5196(23)00023-2</w:t>
      </w:r>
    </w:p>
    <w:p>
      <w:pPr/>
      <w:r>
        <w:rPr>
          <w:b/>
        </w:rPr>
        <w:t>Shared claim-specific concepts:</w:t>
      </w:r>
      <w:r>
        <w:t xml:space="preserve"> health, assessment, mortality, due, heat, cold; EU scope visible. This is a provisional connection, not an outcome finding.</w:t>
      </w:r>
    </w:p>
    <w:p>
      <w:pPr>
        <w:pStyle w:val="SourceNote"/>
      </w:pPr>
      <w:r>
        <w:rPr>
          <w:b/>
        </w:rPr>
        <w:t>Available abstract (not full text):</w:t>
      </w:r>
      <w:r>
        <w:t xml:space="preserve">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pPr/>
      <w:r>
        <w:rPr>
          <w:b/>
        </w:rPr>
        <w:t>POSSIBLE 2023:</w:t>
      </w:r>
      <w:r>
        <w:t xml:space="preserve"> Integrated assessment modelling of degrowth scenarios for Australia — https://doi.org/10.1080/09535314.2023.2245544</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Empirical evidence increasingly indicates that to achieve sufficiently rapid decarbonisation, high-income economies may need to adopt degrowth policies, scaling down less-necessary forms of production and demand, in addition to rapid deployment of renewables. Calls have been made for degrowth climate mitigation scenarios. However, so far these have not been modelled within the established Integrated Assessment Models (IAMs) for future scenario analysis of the energy-economy-emission nexus, partly because the architecture of these IAMs has growth ‘baked in’. In this work, we modify one of the common IAMs – MESSAGEix – to make it compatible with degrowth scenarios. We simulate scenarios featuring low and negative growth in a high-income economy (Australia). We achieve this by detaching MESSAGEix from its monotonically growing utility function, and by formulating an alternative utility function based on non-monotonic preferences. The outcomes from such modified scenarios reflect some characteristics of degrowth futures, including reduced aggregate production and declining energy and emissions. However, further work is needed to explore other key degrowth features such as sectoral differentiation, redistribution, and provisioning system transformation.</w:t>
      </w:r>
    </w:p>
    <w:p>
      <w:pPr>
        <w:pStyle w:val="Heading2"/>
      </w:pPr>
      <w:r>
        <w:t>872.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2023:</w:t>
      </w:r>
      <w:r>
        <w:t xml:space="preserve"> The impact of extensive agricultural water drainage on the hydrology of the Kleine Nete watershed, Belgium — https://doi.org/10.1016/j.scitotenv.2023.163903</w:t>
      </w:r>
    </w:p>
    <w:p>
      <w:pPr/>
      <w:r>
        <w:rPr>
          <w:b/>
        </w:rPr>
        <w:t>Shared claim-specific concepts:</w:t>
      </w:r>
      <w:r>
        <w:t xml:space="preserve"> catchment, hydrology, soil, water, integrated, drainage; EU scope visible. This is a provisional connection, not an outcome finding.</w:t>
      </w:r>
    </w:p>
    <w:p>
      <w:pPr>
        <w:pStyle w:val="SourceNote"/>
      </w:pPr>
      <w:r>
        <w:rPr>
          <w:b/>
        </w:rPr>
        <w:t>Available abstract (not full text):</w:t>
      </w:r>
      <w:r>
        <w:t xml:space="preserve"> Agricultural water drainage can significantly lower groundwater levels and affect catchment hydrology. Therefore, building models with and without these features can indicate an adverse impact on the geohydrological process. Therefore, the standalone Soil Water Assessment Tool (SWAT+) model was initially developed to simulate streamflow at the Kleine Nete catchment outlet. Next, a physically based and spatially distributed groundwater module (gwflow) was integrated into the SWAT+ model and calibrated for stream discharge at the catchment outlet. Finally, the same model was calibrated for both streamflow and groundwater heads. These final model parameters are used to investigate the basin-wide hydrologic fluxes with and without including agricultural drainage systems in the model scheme. The result suggested that the standalone SWAT+ model poorly represented the stream discharge and attained low NSE values of 0.18 and 0.37 during the calibration and validation periods, respectively. Integrating the gwflow module to SWAT+ improved the model representation of stream discharge (NSE = 0.91 and 0.65 for calibration and validation periods, respectively) and groundwater heads. However, calibrating the model for only streamflow resulted in a high root mean square error (above 1 m) for groundwater head, and the seasonality is not captured. On the other hand, calibrating the coupled model</w:t>
      </w:r>
    </w:p>
    <w:p>
      <w:pPr/>
      <w:r>
        <w:rPr>
          <w:b/>
        </w:rPr>
        <w:t>POSSIBLE 2023:</w:t>
      </w:r>
      <w:r>
        <w:t xml:space="preserve"> A simple stacked ensemble machine learning model to predict naturalized catchment hydrology and allocation status — https://doi.org/10.48550/arxiv.2312.01649</w:t>
      </w:r>
    </w:p>
    <w:p>
      <w:pPr/>
      <w:r>
        <w:rPr>
          <w:b/>
        </w:rPr>
        <w:t>Shared claim-specific concepts:</w:t>
      </w:r>
      <w:r>
        <w:t xml:space="preserve"> probable, catchment, hydrology, water; EU scope not established. This is a provisional connection, not an outcome finding.</w:t>
      </w:r>
    </w:p>
    <w:p>
      <w:pPr>
        <w:pStyle w:val="SourceNote"/>
      </w:pPr>
      <w:r>
        <w:rPr>
          <w:b/>
        </w:rPr>
        <w:t>Available abstract (not full text):</w:t>
      </w:r>
      <w:r>
        <w:t xml:space="preserve"> New Zealand legislation requires that Regional Councils set limits for water resource usage to manage the effects of abstractions in over-allocated catchments. We propose a simple stacked ensemble machine learning model to predict the probable naturalized hydrology and allocation status across 317 anthropogenically stressed gauged catchments and across 18,612 ungauged river reaches in Otago. The training and testing of ensemble machine learning models provides unbiased results characterized as very good (R2 &gt; 0.8) to extremely good (R2 &gt; 0.9) when predicting naturalized mean annual low flow and Mean flow. Statistical 5-fold stacking identifies varying levels of risk for managing water-resource sustainability in over-allocated catchments; for example, at the respective 5th, 25th, 50th, 75th, and 95th percentiles the number of overallocated catchments are 73, 57, 44, 23, and 22. The proposed model can be applied to inform sustainable stream management in other regional catchments across New Zealand and worldwide.</w:t>
      </w:r>
    </w:p>
    <w:p>
      <w:pPr/>
      <w:r>
        <w:rPr>
          <w:b/>
        </w:rPr>
        <w:t>POSSIBLE 2023:</w:t>
      </w:r>
      <w:r>
        <w:t xml:space="preserve"> Recent advancements of landslide hydrology — https://doi.org/10.1002/wat2.1675</w:t>
      </w:r>
    </w:p>
    <w:p>
      <w:pPr/>
      <w:r>
        <w:rPr>
          <w:b/>
        </w:rPr>
        <w:t>Shared claim-specific concepts:</w:t>
      </w:r>
      <w:r>
        <w:t xml:space="preserve"> climate, hydrology, soil, water, drainage; EU scope not established. This is a provisional connection, not an outcome finding.</w:t>
      </w:r>
    </w:p>
    <w:p>
      <w:pPr>
        <w:pStyle w:val="SourceNote"/>
      </w:pPr>
      <w:r>
        <w:rPr>
          <w:b/>
        </w:rPr>
        <w:t>Available abstract (not full text):</w:t>
      </w:r>
      <w:r>
        <w:t xml:space="preserve"> Abstract Occurrence of rainfall‐induced landslides is increasing worldwide, owing to land use and climate changes. Although the connection between hydrology and rainfall‐induced landslides might seem obvious, hydrological processes have been only marginally considered in landslide research for decades. In 2016, an advanced review paper published in WIREs Water [Bogaard and Greco (2016), WIREs Water, 3(3), 439–459] pointed out several challenging issues for landslide hydrology research: considering large‐scale hydrological processes in the assessment of slope water balance; including antecedent hydrological information in landslide hazard assessment; understanding and quantifying the feedbacks between deformation and infiltration/drainage processes; overcoming the conceptual mismatch of soil mechanics models and hydrological models. While little progress has been made on the latter two issues, a variety of studies have been published, focusing on the role of hydrological processes in landslide initiation and prediction. The importance of the identification of the origin of water to understand the processes leading to landslide activation is largely acknowledged. Techniques and methodologies for the definition of landslide catchments and for the assessment of landslide water balance are progressing fast, often considering the hydraulic effect of vegetation. The use of hydrologica</w:t>
      </w:r>
    </w:p>
    <w:p>
      <w:pPr/>
      <w:r>
        <w:rPr>
          <w:b/>
        </w:rPr>
        <w:t>POSSIBLE 2023:</w:t>
      </w:r>
      <w:r>
        <w:t xml:space="preserve"> The impacts of climate change on hydrological processes of Gilgel Gibe catchment, southwest Ethiopia — https://doi.org/10.1371/journal.pone.0287314</w:t>
      </w:r>
    </w:p>
    <w:p>
      <w:pPr/>
      <w:r>
        <w:rPr>
          <w:b/>
        </w:rPr>
        <w:t>Shared claim-specific concepts:</w:t>
      </w:r>
      <w:r>
        <w:t xml:space="preserve"> impacts, climate, catchment, soil, water, areas; EU scope not established. This is a provisional connection, not an outcome finding.</w:t>
      </w:r>
    </w:p>
    <w:p>
      <w:pPr>
        <w:pStyle w:val="SourceNote"/>
      </w:pPr>
      <w:r>
        <w:rPr>
          <w:b/>
        </w:rPr>
        <w:t>Available abstract (not full text):</w:t>
      </w:r>
      <w:r>
        <w:t xml:space="preserve"> Climate change is a significant driver of water resource availability, affecting the magnitude of surface runoff, aquifer recharge, and river flows. This study investigated the impact of climate change on hydrological processes within the Gilgel Gibe catchment and aimed to determine the level of exposure of water resources to these changes, which is essential for future adaptability planning. To achieve this objective, an ensemble mean of six regional climate models (RCMs) from the coordinated regional climate downscaling experiment (CORDEX)-Africa was used to simulate future climatic scenarios. The RCMs outputs were then bias corrected using distribution mapping to match observed precipitation and temperature. The Soil and Water Assessment Tool (SWAT) model was used to assess the hydrological impacts of climate change on the catchment. The results indicated that the ensemble mean of the six RCMs projects a decline in precipitation and an increase in temperature under both the RCP4.5 and RCP8.5 representative concentration pathways. Moreover, the increases in both maximum and minimum temperatures are higher for higher emission scenarios, indicating that RCP8.5 is warmer than RCP4.5. The projected climate change shows a decrease in surface runoff, groundwater, and water yield, resulting in an overall decline of annual flow. This decline is mainly due to the reduction in seasonal</w:t>
      </w:r>
    </w:p>
    <w:p>
      <w:pPr/>
      <w:r>
        <w:rPr>
          <w:b/>
        </w:rPr>
        <w:t>POSSIBLE 2023:</w:t>
      </w:r>
      <w:r>
        <w:t xml:space="preserve"> Role of Hydrology in Cyanobacterial Blooms in the Floodplain Lakes — https://doi.org/10.3390/w15081547</w:t>
      </w:r>
    </w:p>
    <w:p>
      <w:pPr/>
      <w:r>
        <w:rPr>
          <w:b/>
        </w:rPr>
        <w:t>Shared claim-specific concepts:</w:t>
      </w:r>
      <w:r>
        <w:t xml:space="preserve"> climate, hydrology, water; EU scope not established. This is a provisional connection, not an outcome finding.</w:t>
      </w:r>
    </w:p>
    <w:p>
      <w:pPr>
        <w:pStyle w:val="SourceNote"/>
      </w:pPr>
      <w:r>
        <w:rPr>
          <w:b/>
        </w:rPr>
        <w:t>Available abstract (not full text):</w:t>
      </w:r>
      <w:r>
        <w:t xml:space="preserve"> River floodplains are sites of extremely high environmental and ecological value due to high biodiversity. Floodplain lakes (FPLs) are essential parts of complex floodplain ecosystems’ biological and hydro-chemical processes. Clear seasonal cycles, determined by the regime of the parent river and closely linked to climatic conditions, are observed in these lakes. Both the quantity and the quality of water are determined by the functional phases of a floodplain lake; limnophase, when the lake is isolated from the river, and potamophase (inundation), when the floodplain lake is overflowed by the river waters. These phases highly modify lake bathymetry, water balance, chemistry, and biology. Human pressure, mostly dam construction and land use changes, alter the frequency, duration, and intensity of natural cycles of inundation. The majority of large rivers in the Northern Hemisphere have been impacted by human activity. Floodplain lakes are also affected by continuous climate change, due to the alterations of the hydrological regimes. Cyanobacterial blooms in floodplain lakes are often characterized by high qualitative and quantitative annual and long-term variability. The main forces driving cyanobacterial blooms can be found in the flooding dynamics and intensity influencing hydraulic residence time and the concentration of biogenic compounds in lake water. Cyanotoxin productio</w:t>
      </w:r>
    </w:p>
    <w:p>
      <w:pPr>
        <w:pStyle w:val="Heading2"/>
      </w:pPr>
      <w:r>
        <w:t>873.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regional, climate, period;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2023:</w:t>
      </w:r>
      <w:r>
        <w:t xml:space="preserve"> Short-term temperature variability in regional climate models in Europe — https://doi.org/10.5194/egusphere-egu23-9447</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regional, climate, used, investigate, period;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Biasadjusted Regional Climate Model Data for Europe - Temperature — https://doi.org/10.5281/zenodo.7541816</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This repository contains the bias-adjusted temperature data used in the production of numbers and figures contained in our research article entitled "Climate-based identification of suitable cropping areas for giant reed and reed canary grass on marginal land in central and southern Europe under climate change". Ferdini S., von Cossel M., Wulfmeyer V., Warrach-Sagi K. (2023) Climate-based identification of suitable cropping areas for giant reed and reed canary grass on marginal land in central and southern Europe under climate change. Global Change Biology - Bioenergy.</w:t>
      </w:r>
    </w:p>
    <w:p>
      <w:pPr/>
      <w:r>
        <w:rPr>
          <w:b/>
        </w:rPr>
        <w:t>POSSIBLE 2023:</w:t>
      </w:r>
      <w:r>
        <w:t xml:space="preserve"> Biasadjusted Regional Climate Model Data for Europe - Precipitation — https://doi.org/10.5281/zenodo.7564886</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This repository contains the bias-adjusted precipitation data used in the production of numbers and figures contained in our research article entitled "Climate-based identification of suitable cropping areas for giant reed and reed canary grass on marginal land in central and southern Europe under climate change". Ferdini S., von Cossel M., Wulfmeyer V., Warrach-Sagi K. (2023) Climate-based identification of suitable cropping areas for giant reed and reed canary grass on marginal land in central and southern Europe under climate change. Global Change Biology - Bioenergy.</w:t>
      </w:r>
    </w:p>
    <w:p>
      <w:pPr>
        <w:pStyle w:val="Heading2"/>
      </w:pPr>
      <w:r>
        <w:t>874.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r>
        <w:rPr>
          <w:b/>
        </w:rPr>
        <w:t>POSSIBLE 2023:</w:t>
      </w:r>
      <w:r>
        <w:t xml:space="preserve"> Ageing mediates the association between serum testosterone and severe abdominal aortic calcification — https://doi.org/10.21203/rs.3.rs-3788103/v1</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Abstract BackgroundAbdominal aortic calcification (AAC) is acknowledged as a significant contributor to cardiovascular morbidity and mortality. However, the association between sex steroid hormones and the AAC is not well defined. PurposeOur study aims to investigate the previously unexplored link between serum sex steroid hormone levels and severe AAC within the National Health and Nutrition Examination Survey (NHANES) cohort, potentially shedding light on innovative treatment approaches. Methods The cross-sectional study utilized data from NHANES conducted between 2013-2014. A total of 1852 participants were included in the study. The severity of AAC was determined using the AAC 24-point scale, also known as the Kauppila calcification score. The serum sex steroid hormones assessed in this study included testosterone, estradiol, and sex hormone binding globulin (SHBG). These hormones were categorized into quintiles for subsequent analysis. Weighted multiple regression analyses were employed to investigate the potential relationship between serum sex steroid hormones and the occurrence of severe AAC. Additionally, subgroup and mediation analyses were conducted to ensure the robustness and validity of the findings. ResultsFor 1852 enrolled individuals, the prevalence of severe AAC stood at 8.00%. Serum sex steroid hormones levels were stratified into quintiles. The average value</w:t>
      </w:r>
    </w:p>
    <w:p>
      <w:pPr/>
      <w:r>
        <w:rPr>
          <w:b/>
        </w:rPr>
        <w:t>POSSIBLE 2022:</w:t>
      </w:r>
      <w:r>
        <w:t xml:space="preserve"> Ageing induces tissue‐specific transcriptomic changes in Caenorhabditis elegans — https://doi.org/10.15252/embj.2021109633</w:t>
      </w:r>
    </w:p>
    <w:p>
      <w:pPr/>
      <w:r>
        <w:rPr>
          <w:b/>
        </w:rPr>
        <w:t>Shared claim-specific concepts:</w:t>
      </w:r>
      <w:r>
        <w:t xml:space="preserve"> ageing, structure; EU scope not established. This is a provisional connection, not an outcome finding.</w:t>
      </w:r>
    </w:p>
    <w:p>
      <w:pPr>
        <w:pStyle w:val="SourceNote"/>
      </w:pPr>
      <w:r>
        <w:rPr>
          <w:b/>
        </w:rPr>
        <w:t>Available abstract (not full text):</w:t>
      </w:r>
      <w:r>
        <w:t xml:space="preserve"> Ageing is a complex process with common and distinct features across tissues. Unveiling the underlying processes driving ageing in individual tissues is indispensable to decipher the mechanisms of organismal longevity. Caenorhabditis elegans is a well-established model organism that has spearheaded ageing research with the discovery of numerous genetic pathways controlling its lifespan. However, it remains challenging to dissect the ageing of worm tissues due to the limited description of tissue pathology and access to tissue-specific molecular changes during ageing. In this study, we isolated cells from five major tissues in young and old worms and profiled the age-induced transcriptomic changes within these tissues. We observed a striking diversity of ageing across tissues and identified different sets of longevity regulators therein. In addition, we found novel tissue-specific factors, including irx-1 and myrf-2, which control the integrity of the intestinal barrier and sarcomere structure during ageing respectively. This study demonstrates the complexity of ageing across worm tissues and highlights the power of tissue-specific transcriptomic profiling during ageing, which can serve as a resource to the field.</w:t>
      </w:r>
    </w:p>
    <w:p>
      <w:pPr/>
      <w:r>
        <w:rPr>
          <w:b/>
        </w:rPr>
        <w:t>POSSIBLE 2022:</w:t>
      </w:r>
      <w:r>
        <w:t xml:space="preserve"> Interconnections between Inflammageing and Immunosenescence during Ageing — https://doi.org/10.3390/cells11030359</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Acute inflammation is a physiological response to injury or infection, with a cascade of steps that ultimately lead to the recruitment of immune cells to clear invading pathogens and heal wounds. However, chronic inflammation arising from the continued presence of the initial trigger, or the dysfunction of signalling and/or effector pathways, is harmful to health. While successful ageing in older adults, including centenarians, is associated with low levels of inflammation, elevated inflammation increases the risk of poor health and death. Hence inflammation has been described as one of seven pillars of ageing. Age-associated sterile, chronic, and low-grade inflammation is commonly termed inflammageing-it is not simply a consequence of increasing chronological age, but is also a marker of biological ageing, multimorbidity, and mortality risk. While inflammageing was initially thought to be caused by "continuous antigenic load and stress", reports from the last two decades describe a much more complex phenomenon also involving cellular senescence and the ageing of the immune system. In this review, we explore some of the main sources and consequences of inflammageing in the context of immunosenescence and highlight potential interventions. In particular, we assess the contribution of cellular senescence to age-associated inflammation, identify patterns of pro- and anti-inflammat</w:t>
      </w:r>
    </w:p>
    <w:p>
      <w:pPr/>
      <w:r>
        <w:rPr>
          <w:b/>
        </w:rPr>
        <w:t>POSSIBLE 2021:</w:t>
      </w:r>
      <w:r>
        <w:t xml:space="preserve"> Ageing and ocular problems — https://doi.org/10.1556/2066.2021.00042</w:t>
      </w:r>
    </w:p>
    <w:p>
      <w:pPr/>
      <w:r>
        <w:rPr>
          <w:b/>
        </w:rPr>
        <w:t>Shared claim-specific concepts:</w:t>
      </w:r>
      <w:r>
        <w:t xml:space="preserve"> ageing, problem, system; EU scope not established. This is a provisional connection, not an outcome finding.</w:t>
      </w:r>
    </w:p>
    <w:p>
      <w:pPr>
        <w:pStyle w:val="SourceNote"/>
      </w:pPr>
      <w:r>
        <w:rPr>
          <w:b/>
        </w:rPr>
        <w:t>Available abstract (not full text):</w:t>
      </w:r>
      <w:r>
        <w:t xml:space="preserve">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pPr/>
      <w:r>
        <w:rPr>
          <w:b/>
        </w:rPr>
        <w:t>POSSIBLE 2021:</w:t>
      </w:r>
      <w:r>
        <w:t xml:space="preserve"> The role of the medial prefrontal cortex in cognition, ageing and dementia — https://doi.org/10.1093/braincomms/fcab125</w:t>
      </w:r>
    </w:p>
    <w:p>
      <w:pPr/>
      <w:r>
        <w:rPr>
          <w:b/>
        </w:rPr>
        <w:t>Shared claim-specific concepts:</w:t>
      </w:r>
      <w:r>
        <w:t xml:space="preserve"> ageing; EU scope not established. This is a provisional connection, not an outcome finding.</w:t>
      </w:r>
    </w:p>
    <w:p>
      <w:pPr>
        <w:pStyle w:val="SourceNote"/>
      </w:pPr>
      <w:r>
        <w:rPr>
          <w:b/>
        </w:rPr>
        <w:t>Available abstract (not full text):</w:t>
      </w:r>
      <w:r>
        <w:t xml:space="preserve">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pPr>
        <w:pStyle w:val="Heading2"/>
      </w:pPr>
      <w:r>
        <w:t>875.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2023:</w:t>
      </w:r>
      <w:r>
        <w:t xml:space="preserve"> Cognitive and Interactive Mechanisms for Mutual Understanding in Conversation — https://doi.org/10.1093/acrefore/9780190228613.013.134</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Everyday conversation is, as the term suggests, a frequent and seemingly effortless phenomenon. However, when closely examined, it is seen that the process of achieving mutual understanding in conversation involves both complex social reasoning and finely tuned interactive mechanisms. Referential communication provides an excellent case study for what makes everyday language interactions complex: people recruit an intricate web of cognitive capacities and interactive resources in order to get their message across. In terms of cognitive capacities, reaching mutual understanding in conversation involves social reasoning in order to establish common ground and take into account one’s conversational partner when producing and interpreting utterances. Specifically, people continuously adapt to their conversational partner by keeping track of what information is or is not shared (based on the situational context, preceding discourse, and general knowledge) and adjusting their utterances and interpretations accordingly. In terms of interactive resources, mechanisms that allow us to keep a conversation on track (e.g., backchannels) and the mechanisms that allow us to recover from breakdowns in communication (i.e., repair) contribute to mutual understanding. Specifically, other-initiated repair, a conversational phenomenon that has been documented cross-linguistically and obser</w:t>
      </w:r>
    </w:p>
    <w:p>
      <w:pPr/>
      <w:r>
        <w:rPr>
          <w:b/>
        </w:rPr>
        <w:t>POSSIBLE 2023:</w:t>
      </w:r>
      <w:r>
        <w:t xml:space="preserve"> Maintenance optimization in industry 4.0 — https://doi.org/10.1016/j.ress.2023.109204</w:t>
      </w:r>
    </w:p>
    <w:p>
      <w:pPr/>
      <w:r>
        <w:rPr>
          <w:b/>
        </w:rPr>
        <w:t>Shared claim-specific concepts:</w:t>
      </w:r>
      <w:r>
        <w:t xml:space="preserve"> different, industry, all; EU scope not established. This is a provisional connection, not an outcome finding.</w:t>
      </w:r>
    </w:p>
    <w:p>
      <w:pPr>
        <w:pStyle w:val="SourceNote"/>
      </w:pPr>
      <w:r>
        <w:rPr>
          <w:b/>
        </w:rPr>
        <w:t>Available abstract (not full text):</w:t>
      </w:r>
      <w:r>
        <w:t xml:space="preserve"> This work reviews maintenance optimization from different and complementary points of view. Specifically, we systematically analyze the knowledge, information and data that can be exploited for maintenance optimization within the Industry 4.0 paradigm. Then, the possible objectives of the optimization are critically discussed, together with the maintenance features to be optimized, such as maintenance periods and degradation thresholds. The main challenges and trends of maintenance optimization are, then, highlighted and the need is identified for methods that do not require a-priori selection of a predefined maintenance strategy, are able to deal with large amounts of heterogeneous data collected from different sources, can properly treat all the uncertainties affecting the behavior of the systems and the environment, and can jointly consider multiple optimization objectives, including the emerging ones related to sustainability and resilience.</w:t>
      </w:r>
    </w:p>
    <w:p>
      <w:pPr/>
      <w:r>
        <w:rPr>
          <w:b/>
        </w:rPr>
        <w:t>POSSIBLE 2022:</w:t>
      </w:r>
      <w:r>
        <w:t xml:space="preserve"> Understanding common dolphin and Australasian gannet feeding associations from nutritional and ethological perspectives — https://doi.org/10.1093/icesjms/fsac133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pPr>
        <w:pStyle w:val="Heading2"/>
      </w:pPr>
      <w:r>
        <w:t>876.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2025:</w:t>
      </w:r>
      <w:r>
        <w:t xml:space="preserve"> Translation and Cultural Adaptation to European Portuguese — https://openalex.org/W7113190515</w:t>
      </w:r>
    </w:p>
    <w:p>
      <w:pPr/>
      <w:r>
        <w:rPr>
          <w:b/>
        </w:rPr>
        <w:t>Shared claim-specific concepts:</w:t>
      </w:r>
      <w:r>
        <w:t xml:space="preserve"> adaptation, significant, assessment; EU scope visible. This is a provisional connection, not an outcome finding.</w:t>
      </w:r>
    </w:p>
    <w:p>
      <w:pPr>
        <w:pStyle w:val="SourceNote"/>
      </w:pPr>
      <w:r>
        <w:rPr>
          <w:b/>
        </w:rPr>
        <w:t>Available abstract (not full text):</w:t>
      </w:r>
      <w:r>
        <w:t xml:space="preserve"> Introduction: Visual skills have a significant impact on an infant’s development and participation. In Portugal, although the public health system is organized to support citizens with visual impairment, it lacks translated and culturally adapted assessment tools. Knowing that a comprehensive assessment is crucial for early diagnosis and that it improves an infant’s participation in daily life, the aim of the present article is to present the translation and cultural adaptation of the Participation and Activity Inventory for Children and Youth (0–2 years) into European Portuguese. Methods: To achieve the objective, methodological guidelines were followed, and six different stages were implemented, including translation, synthesis, back translation, revision by an expert committee, pretesting in a representative sample, and submission and appraisal of all written reports by developers to the author’s tool. The whole process was previously approved by an Ethics Committee. Results: A Portuguese version of the Participation and Activity Inventory for Children and Youth (0–2 years) was obtained based on the English version of PAI-CY (0–2 years) with the participation of four independent translators, five experts, and twenty parents filling out the pretest version. The results of the expert committee showed that 99.40% were in favor of the proposed translation. Additionally, the inve</w:t>
      </w:r>
    </w:p>
    <w:p>
      <w:pPr/>
      <w:r>
        <w:rPr>
          <w:b/>
        </w:rPr>
        <w:t>POSSIBLE 2024:</w:t>
      </w:r>
      <w:r>
        <w:t xml:space="preserve"> Adaptation of solar energy in the Global South: Prospects, challenges and opportunities — https://doi.org/10.1016/j.heliyon.2024.e28009</w:t>
      </w:r>
    </w:p>
    <w:p>
      <w:pPr/>
      <w:r>
        <w:rPr>
          <w:b/>
        </w:rPr>
        <w:t>Shared claim-specific concepts:</w:t>
      </w:r>
      <w:r>
        <w:t xml:space="preserve"> adaptation, significant, opportunities, highlighting; EU scope not established. This is a provisional connection, not an outcome finding.</w:t>
      </w:r>
    </w:p>
    <w:p>
      <w:pPr>
        <w:pStyle w:val="SourceNote"/>
      </w:pPr>
      <w:r>
        <w:rPr>
          <w:b/>
        </w:rPr>
        <w:t>Available abstract (not full text):</w:t>
      </w:r>
      <w:r>
        <w:t xml:space="preserve"> The Global South comprising economically disadvantaged regions of the world face various challenges such as limited access to electricity, clean water, industrialization, and food security. Solar energy, as a sustainable and abundant resource, holds great potential to address these challenges. Despite its immense potential, the Global South encounters hurdles related to technology adoption, infrastructure, and financial constraints. This review examines the history, classifications, global statistics, merits, and demerits of solar technology in the Global South. Furthermore, it delves into various applications of solar energy, including extreme environments, residential electricity generation, transportation, and industrial usage in this region. This study concludes by providing new insighths and highlighting the significant role solar energy can play in shaping the future of the Global South if challenges are adequately addressed, and opportunities are embraced.</w:t>
      </w:r>
    </w:p>
    <w:p>
      <w:pPr/>
      <w:r>
        <w:rPr>
          <w:b/>
        </w:rPr>
        <w:t>POSSIBLE 2024:</w:t>
      </w:r>
      <w:r>
        <w:t xml:space="preserve"> Sea Level Rise in Europe: Adaptation measures and decision-making principles — https://doi.org/10.5194/sp-3-slre1-6-2024</w:t>
      </w:r>
    </w:p>
    <w:p>
      <w:pPr/>
      <w:r>
        <w:rPr>
          <w:b/>
        </w:rPr>
        <w:t>Shared claim-specific concepts:</w:t>
      </w:r>
      <w:r>
        <w:t xml:space="preserve"> adaptation, options, integrated, assessment, importance;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Opportunities and Challenges of Climate Adaptation Policies — https://doi.org/10.5089/9798400267093.018</w:t>
      </w:r>
    </w:p>
    <w:p>
      <w:pPr/>
      <w:r>
        <w:rPr>
          <w:b/>
        </w:rPr>
        <w:t>Shared claim-specific concepts:</w:t>
      </w:r>
      <w:r>
        <w:t xml:space="preserve"> adaptation, opportunities, services; EU scope visible. This is a provisional connection, not an outcome finding.</w:t>
      </w:r>
    </w:p>
    <w:p>
      <w:pPr>
        <w:pStyle w:val="SourceNote"/>
      </w:pPr>
      <w:r>
        <w:rPr>
          <w:b/>
        </w:rPr>
        <w:t>Available abstract (not full text):</w:t>
      </w:r>
      <w:r>
        <w:t xml:space="preserve"> Moldova is more vulnerable to climate change than the rest of Europe, due to its (i) higher sensitivity to changes in climate conditions (reflecting its heavier reliance on agriculture, a comparatively-larger rural population, high dependence on energy imports and limited diversification of energy supply sources, and limited financial resources to provide high-quality public services); and (ii) weaker adaptative capacity to climate shocks (due to its comparatively weaker disaster preparedness strategy, low adaptation in the agriculture sector and poorer quality of infrastructure). Adaptation investments can substantially reduce output losses caused by natural disasters, are more cost-efficient than responding to disasters ex-post, and can contribute to boost Moldova’s long-term economic growth and support its development objectives.</w:t>
      </w:r>
    </w:p>
    <w:p>
      <w:pPr/>
      <w:r>
        <w:rPr>
          <w:b/>
        </w:rPr>
        <w:t>POSSIBLE 2023:</w:t>
      </w:r>
      <w:r>
        <w:t xml:space="preserve"> Platform adaptation to regulation: The case of domestic cleaning in Europe — https://doi.org/10.1177/00221856221146833</w:t>
      </w:r>
    </w:p>
    <w:p>
      <w:pPr/>
      <w:r>
        <w:rPr>
          <w:b/>
        </w:rPr>
        <w:t>Shared claim-specific concepts:</w:t>
      </w:r>
      <w:r>
        <w:t xml:space="preserve"> adaptation, but, services; EU scope visible. This is a provisional connection, not an outcome finding.</w:t>
      </w:r>
    </w:p>
    <w:p>
      <w:pPr>
        <w:pStyle w:val="SourceNote"/>
      </w:pPr>
      <w:r>
        <w:rPr>
          <w:b/>
        </w:rPr>
        <w:t>Available abstract (not full text):</w:t>
      </w:r>
      <w:r>
        <w:t xml:space="preserve"> While online platforms were initially applauded for improving services in a range of sectors, they are currently being criticized for ignoring laws and regulations. We analyse the evolution of Helpling – the largest domestic cleaning platform company in Europe – by focusing on the ways that Helpling has adapted its platform to regulations in five national contexts (France, Germany, Ireland, the Netherlands and the United Kingdom). Using data on changing Terms and Conditions, we show that Helpling initially tried to introduce a single business model across Europe, but quickly started to adapt to national regulatory contexts. Informed by arguments on ‘varieties of capitalism’ in Europe, we base our case study on a comparison of the different national trajectories pursued by Helpling.</w:t>
      </w:r>
    </w:p>
    <w:p>
      <w:pPr>
        <w:pStyle w:val="Heading2"/>
      </w:pPr>
      <w:r>
        <w:t>877.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r>
        <w:rPr>
          <w:b/>
        </w:rPr>
        <w:t>POSSIBLE 2024:</w:t>
      </w:r>
      <w:r>
        <w:t xml:space="preserve"> The Impact of Lithuanian Regional Policy on the Level of Socio-Economic Development of Its Regions — https://doi.org/10.15290/sup.2024.08.08</w:t>
      </w:r>
    </w:p>
    <w:p>
      <w:pPr/>
      <w:r>
        <w:rPr>
          <w:b/>
        </w:rPr>
        <w:t>Shared claim-specific concepts:</w:t>
      </w:r>
      <w:r>
        <w:t xml:space="preserve"> socio-economic, currently; EU scope visible. This is a provisional connection, not an outcome finding.</w:t>
      </w:r>
    </w:p>
    <w:p>
      <w:pPr>
        <w:pStyle w:val="SourceNote"/>
      </w:pPr>
      <w:r>
        <w:rPr>
          <w:b/>
        </w:rPr>
        <w:t>Available abstract (not full text):</w:t>
      </w:r>
      <w:r>
        <w:t xml:space="preserve"> Goal – the subject of research in this study is the regional policy of Lithuania, which aims to support the balanced socio-economic development of all regions and cities. Persistent disparities in the development of regions constitute a significant challenge for the national regional policy. The main objective of the research is to demonstrate the importance of Lithuania’s regional policy in reducing the spatial disparities in the country. Research methodology – the following research methods were used to achieve the set goal: analysis of background data, statistical analysis and comparative method. The source of information include the data from Statistics Lithuania (SL), reports of the Ministry of Finance of Lithuania and other analytical studies for the period 2012–20221. Score/results – the authors assumed that regional policy in Lithuania is not very effective in reducing regional polarisation. The results of the conducted research showed persistent interregional differentiation at the county level. The pursuit of achieving socio-economic cohesion is mainly realised through the European Union funds. The planned distribution of these funds under the 2021–2027 multiannual financial framework may result in further consolidation of uneven development at the national level. ‣‣Originality/value – the analysis carried out in the article made it possible to assess the differences </w:t>
      </w:r>
    </w:p>
    <w:p>
      <w:pPr/>
      <w:r>
        <w:rPr>
          <w:b/>
        </w:rPr>
        <w:t>POSSIBLE 2024:</w:t>
      </w:r>
      <w:r>
        <w:t xml:space="preserve"> Technical, economic and ecological assessment of European sustainable aviation fuels (SAF) production — https://doi.org/10.1007/s13272-024-00714-0</w:t>
      </w:r>
    </w:p>
    <w:p>
      <w:pPr/>
      <w:r>
        <w:rPr>
          <w:b/>
        </w:rPr>
        <w:t>Shared claim-specific concepts:</w:t>
      </w:r>
      <w:r>
        <w:t xml:space="preserve"> assessment, range, between, compared; EU scope visible. This is a provisional connection, not an outcome finding.</w:t>
      </w:r>
    </w:p>
    <w:p>
      <w:pPr>
        <w:pStyle w:val="SourceNote"/>
      </w:pPr>
      <w:r>
        <w:rPr>
          <w:b/>
        </w:rPr>
        <w:t>Available abstract (not full text):</w:t>
      </w:r>
      <w:r>
        <w:t xml:space="preserve"> Abstract Multiple options for sustainable alternatives to fossil kerosene have been assessed. The route using biomass gasification, hotgas cleaning, hydrogen addition (derived from water electrolysis using renewable power), Fischer-Tropsch synthesis and product upgrading towards ASTM D7566 certified SAF has technical, economic and environmental advantages to be discussed in detail. The technical assessment shows carbon resp. energy efficiency of fuel production at 61% resp. 55%. The economic assessment of brown-field installations in Finland predicts costs in the range of 1.00 €2019/l. For the evaluation of 200 MWth biomass plus 160.2 MWe grid power plant size, an electricity price and biomass price of 42 €2019/t and 51 €2019/MWh were assumed, respectively. The environmental assessment shows a global warming potential reduction of 91% (corresponds to 8.8 gCO2-eq./MJFuel,LHV) compared to fossil fuel using Finnish wind energy and biomass residues, far better than the required 65% GWP reduction of the European RED II regulation. Based on the techno-economic and environmental assessment of the preferred FT route, a European deployment potential between 10 and 60 Mt/a SAF seems achievable in early 2030 years. The authors propose to implement appropriate regulation with high urgency.</w:t>
      </w:r>
    </w:p>
    <w:p>
      <w:pPr/>
      <w:r>
        <w:rPr>
          <w:b/>
        </w:rPr>
        <w:t>POSSIBLE 2024:</w:t>
      </w:r>
      <w:r>
        <w:t xml:space="preserve"> Socio-economic and environmental impacts of renewable energy deployments: A review — https://doi.org/10.1016/j.rser.2024.114956</w:t>
      </w:r>
    </w:p>
    <w:p>
      <w:pPr/>
      <w:r>
        <w:rPr>
          <w:b/>
        </w:rPr>
        <w:t>Shared claim-specific concepts:</w:t>
      </w:r>
      <w:r>
        <w:t xml:space="preserve"> socio-economic, assessment, climate; EU scope not established. This is a provisional connection, not an outcome finding.</w:t>
      </w:r>
    </w:p>
    <w:p>
      <w:pPr>
        <w:pStyle w:val="SourceNote"/>
      </w:pPr>
      <w:r>
        <w:rPr>
          <w:b/>
        </w:rPr>
        <w:t>Available abstract (not full text):</w:t>
      </w:r>
      <w:r>
        <w:t xml:space="preserve"> Mitigating global warming requires the rapid deployment of renewable energy (RE) systems throughout all parts of the world economy. A crucial step for such deployments is the assessment of their social, economic and environmental impacts. By reviewing three hundred and sixty-nine studies, this work identifies and synthesises a myriad of social, economic and environmental aspects of RE technologies deployment that have been studied over the past decade. The review identifies barriers and drivers that have been found to be common across countries, and those where studies and/or local contexts have found contradictory results. Amongst social issues, trust and quality of institutional governance were found to be increasingly prominent themes of research and key drivers for RE deployment. The review also reveals a growing interest in attachment to place, but with contradicting findings for its negative or positive impacts. Amongst economic issues, the review found widespread agreement that, irrespective of the type of economy, countries continue to preferentially pursue economic growth through expanded production and innovation in fossil fuels . The review of the environmental impacts found that studies of RE deployments tend to focus on negative local impacts, leaving positive global benefits, such as mitigating climate change , as implicit, and that there are only a few studies on</w:t>
      </w:r>
    </w:p>
    <w:p>
      <w:pPr>
        <w:pStyle w:val="Heading2"/>
      </w:pPr>
      <w:r>
        <w:t>878.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879.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r>
        <w:rPr>
          <w:b/>
        </w:rPr>
        <w:t>POSSIBLE 2024:</w:t>
      </w:r>
      <w:r>
        <w:t xml:space="preserve"> Modelling flexibility requirements in deep decarbonisation scenarios: The role of conventional flexibility and sector coupling options in the European 2050 energy system — https://doi.org/10.1016/j.esr.2024.101322</w:t>
      </w:r>
    </w:p>
    <w:p>
      <w:pPr/>
      <w:r>
        <w:rPr>
          <w:b/>
        </w:rPr>
        <w:t>Shared claim-specific concepts:</w:t>
      </w:r>
      <w:r>
        <w:t xml:space="preserve"> energy, system, used, assess, role, hydrogen; EU scope visible. This is a provisional connection, not an outcome finding.</w:t>
      </w:r>
    </w:p>
    <w:p>
      <w:pPr>
        <w:pStyle w:val="SourceNote"/>
      </w:pPr>
      <w:r>
        <w:rPr>
          <w:b/>
        </w:rPr>
        <w:t>Available abstract (not full text):</w:t>
      </w:r>
      <w:r>
        <w:t xml:space="preserve"> Russia's invasion of Ukraine has reaffirmed the importance of scaling up renewable energy to decarbonise Europe's economy while rapidly reducing its exposure to foreign fossil fuel suppliers. Therefore, the question of sources of flexibility to support a fully decarbonised European energy system is becoming even more critical in light of a renewable-dominated energy system. We developed and used a Pan-European energy system model to systematically assess and quantify sources of flexibility to meet deep decarbonisation targets. The electricity supply sector and electricity-based end-use technologies are crucial in achieving deep decarbonisation. Other low-carbon energy sources like biomethane, hydrogen, synthetic e-fuels, and bioenergy with carbon capture and storage will also play a role. To support a fully decarbonised European energy system by 2050, both temporal and spatial flexibility will be needed. Spatial flexibility, achieved through investments in national electricity networks and cross-border interconnections, is crucial to support the aggressive roll-out of variable renewable energy sources. Cross-border trade in electricity is expected to increase, and in deep decarbonisation scenarios, the electricity transmission capacity will be larger than that of natural gas. Hydrogen storage and green hydrogen production will play a key role in providing traditional inter-seas</w:t>
      </w:r>
    </w:p>
    <w:p>
      <w:pPr/>
      <w:r>
        <w:rPr>
          <w:b/>
        </w:rPr>
        <w:t>POSSIBLE 2023:</w:t>
      </w:r>
      <w:r>
        <w:t xml:space="preserve"> Bioenergy in the European energy transition — https://doi.org/10.33540/1670</w:t>
      </w:r>
    </w:p>
    <w:p>
      <w:pPr/>
      <w:r>
        <w:rPr>
          <w:b/>
        </w:rPr>
        <w:t>Shared claim-specific concepts:</w:t>
      </w:r>
      <w:r>
        <w:t xml:space="preserve"> energy, role, climate, long-term, decarbonisation, option; EU scope visible. This is a provisional connection, not an outcome finding.</w:t>
      </w:r>
    </w:p>
    <w:p>
      <w:pPr>
        <w:pStyle w:val="SourceNote"/>
      </w:pPr>
      <w:r>
        <w:rPr>
          <w:b/>
        </w:rPr>
        <w:t>Available abstract (not full text):</w:t>
      </w:r>
      <w:r>
        <w:t xml:space="preserve"> This thesis aims to advance the assessment of the future role of bioenergy as a climate mitigation option for the EU to mid-century. This is achieved by improving EU-level projections at a systematic level via accounting for the critical considerations within supply and demand dynamics across global and regional scales, traversing the full delivery-chain and attached emissions. To achieve this aim, the following research questions are addressed: 1. What is the projected role of bioenergy within EU decarbonisation strategies from quantitative assessment approaches, and how well do they capture 'Root-Chute' considerations? 2. To what extent could global bioenergy competition and trade constraints impact EU mitigation potential from bioenergy and vice-versa? 3. How consistent are integrated modelling assessments for bioenergy deployment with EU-level climate, energy and bioenergy-related policy targets? 4. How feasible are long-term projections for EU bioenergy deployment and mitigative potential from the perspective of logistics, scale-up, management practices and technological advancements?</w:t>
      </w:r>
    </w:p>
    <w:p>
      <w:pPr/>
      <w:r>
        <w:rPr>
          <w:b/>
        </w:rPr>
        <w:t>POSSIBLE 2022:</w:t>
      </w:r>
      <w:r>
        <w:t xml:space="preserve"> Development of Photovoltaic Energy in EU Countries as an Alternative to Fossil Fuels — https://doi.org/10.3390/en15020662</w:t>
      </w:r>
    </w:p>
    <w:p>
      <w:pPr/>
      <w:r>
        <w:rPr>
          <w:b/>
        </w:rPr>
        <w:t>Shared claim-specific concepts:</w:t>
      </w:r>
      <w:r>
        <w:t xml:space="preserve"> energy, used, climate, long-term; EU scope visible. This is a provisional connection, not an outcome finding.</w:t>
      </w:r>
    </w:p>
    <w:p>
      <w:pPr>
        <w:pStyle w:val="SourceNote"/>
      </w:pPr>
      <w:r>
        <w:rPr>
          <w:b/>
        </w:rPr>
        <w:t>Available abstract (not full text):</w:t>
      </w:r>
      <w:r>
        <w:t xml:space="preserve"> The aim of the article is to present the development of photovoltaic energy in the EU countries as one of the alternatives to fossil fuels. The article was prepared on the basis of secondary information and statistical data on the photovoltaic energy market in EU countries, and three hypotheses were formulated: H1—There is a statistically significant correlation between a country’s long-term orientation and its use of photovoltaic energy in European Union countries; H2—There is a statistically significant correlation between GDP per capita and photovoltaic energy use in European Union countries; and H3—There is a relationship between climate and photovoltaic energy use in European Union countries. Correlation coefficients and the Guilford classification were used to analyse the data. Data analysis has shown that photovoltaic energy is the second fastest-growing energy source in the EU, after wind energy. In 2020, 134 TWh of solar energy was produced in the EU countries. Based on the analysis, it can be concluded that there is a statistically significant correlation between the production of photovoltaic energy per person and the level of GDP per capita in the EU countries (Hypothesis 2). Germany and the Netherlands produce the most solar energy. The studies did not confirm Hypothesis 3; however, it can be seen that countries such as Germany, Belgium and the Netherlands have the</w:t>
      </w:r>
    </w:p>
    <w:p>
      <w:pPr/>
      <w:r>
        <w:rPr>
          <w:b/>
        </w:rPr>
        <w:t>POSSIBLE 2022:</w:t>
      </w:r>
      <w:r>
        <w:t xml:space="preserve"> Diversity of options to eliminate fossil fuels and reach carbon neutrality across the entire European energy system — https://doi.org/10.1016/j.joule.2022.05.009</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Disagreements persist on how to design a self-sufficient, carbon-neutral European energy system. To explore the diversity of design options, we develop a high-resolution model of the entire European energy system and produce 441 technically feasible system designs that are within 10% of the optimal economic cost. We show that a wide range of systems based on renewable energy are feasible, with no need to import energy from outside Europe. Model solutions reveal considerable flexibility in the choice and geographical distribution of new infrastructure across the continent. Balanced renewable energy supply can be achieved either with or without mechanisms such as biofuel use, curtailment, and expansion of the electricity network. Trade-offs emerge once specific preferences are imposed. Low biofuel use, for example, requires heat electrification and controlled vehicle charging. This exploration of the impact of preferences on system design options is vital to inform urgent, politically difficult decisions for eliminating fossil fuel imports and achieving European carbon neutrality.</w:t>
      </w:r>
    </w:p>
    <w:p>
      <w:pPr/>
      <w:r>
        <w:rPr>
          <w:b/>
        </w:rPr>
        <w:t>POSSIBLE 2022:</w:t>
      </w:r>
      <w:r>
        <w:t xml:space="preserve"> Classification, potential role, and modeling of power-to-heat and thermal energy storage in energy systems: A review — https://doi.org/10.1016/j.seta.2022.102553</w:t>
      </w:r>
    </w:p>
    <w:p>
      <w:pPr/>
      <w:r>
        <w:rPr>
          <w:b/>
        </w:rPr>
        <w:t>Shared claim-specific concepts:</w:t>
      </w:r>
      <w:r>
        <w:t xml:space="preserve"> energy, system, role, current; EU scope visible. This is a provisional connection, not an outcome finding.</w:t>
      </w:r>
    </w:p>
    <w:p>
      <w:pPr>
        <w:pStyle w:val="SourceNote"/>
      </w:pPr>
      <w:r>
        <w:rPr>
          <w:b/>
        </w:rPr>
        <w:t>Available abstract (not full text):</w:t>
      </w:r>
      <w:r>
        <w:t xml:space="preserve"> Most of the power-to-heat and thermal energy storage technologies are mature and impact the European energy transition. However, detailed models of these technologies are usually very complex, making it challenging to implement them in large-scale energy models, where simplicity, e.g., linearity and appropriate accuracy, are desirable due to computational limitations. In the literature, the main power-to-heat and thermal energy storage technologies across all sectors have not been clearly identified and characterized. Their potential roles have not been fully discussed from the European perspective, and their mathematical modeling equations have not been presented in a compiled form. This paper contributes to the research gap in three main parts. First, it identifies and classifies the major power-to-heat and thermal energy storage technologies that are climate-neutral, efficient, and technologically matured to supplement or substitute the current fossil fuel-based heating. The second part presents the technology readiness levels of the identified technologies and discusses their potential role in a sustainable European energy system. The third part presents the mathematical modeling equations for the technologies in large-scale optimization energy models. We identified electric heat pumps, electric boilers, electric resistance heaters, and hybrid heating systems as the most pr</w:t>
      </w:r>
    </w:p>
    <w:p>
      <w:pPr/>
      <w:r>
        <w:rPr>
          <w:b/>
        </w:rPr>
        <w:t>POSSIBLE 2022:</w:t>
      </w:r>
      <w:r>
        <w:t xml:space="preserve"> Towards a green recovery in the EU: Aligning further emissions reductions with short- and long-term energy-sector employment gains — https://doi.org/10.1016/j.enpol.2022.113301</w:t>
      </w:r>
    </w:p>
    <w:p>
      <w:pPr/>
      <w:r>
        <w:rPr>
          <w:b/>
        </w:rPr>
        <w:t>Shared claim-specific concepts:</w:t>
      </w:r>
      <w:r>
        <w:t xml:space="preserve"> energy, two, long-term, decarbonisation; EU scope visible. This is a provisional connection, not an outcome finding.</w:t>
      </w:r>
    </w:p>
    <w:p>
      <w:pPr>
        <w:pStyle w:val="SourceNote"/>
      </w:pPr>
      <w:r>
        <w:rPr>
          <w:b/>
        </w:rPr>
        <w:t>Available abstract (not full text):</w:t>
      </w:r>
      <w:r>
        <w:t xml:space="preserve"> To tackle the negative socioeconomic implications of the COVID-19 pandemic, the European Union (EU) introduced the Recovery and Resilience Facility, a financial instrument to help Member States recover, on the basis that minimum 37% of the recovery funds flow towards the green transition. This study contributes to the emerging modelling literature on assessing COVID-19 vis-à-vis decarbonisation efforts, with a particular focus on employment, by optimally allocating the green part of the EU recovery stimulus in selected low-carbon technologies and quantifying the trade-offs between resulting emissions reductions and employment gains in the energy sector. We couple an integrated assessment model with a multi-objective linear-programming model and an uncertainty analysis framework aiming to identify robust portfolio mixes. We find that it is possible to allocate recovery packages to align mitigation goals with both short- and long-term energy-sector employment, although over-emphasising the longer-term sustainability of new energy-sector jobs may be costlier and more vulnerable to uncertainties compared to prioritising environmental and near-term employment gains. Robust portfolios with balanced performance across objectives consistently feature small shares of offshore wind and nuclear investments, while the largest chunks are dominated by onshore wind and biofuels, two technolog</w:t>
      </w:r>
    </w:p>
    <w:p>
      <w:pPr>
        <w:pStyle w:val="Heading2"/>
      </w:pPr>
      <w:r>
        <w:t>880.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2023:</w:t>
      </w:r>
      <w:r>
        <w:t xml:space="preserve"> Smart grid technologies and application in the sustainable energy transition: a review — https://doi.org/10.1080/14786451.2023.2222298</w:t>
      </w:r>
    </w:p>
    <w:p>
      <w:pPr/>
      <w:r>
        <w:rPr>
          <w:b/>
        </w:rPr>
        <w:t>Shared claim-specific concepts:</w:t>
      </w:r>
      <w:r>
        <w:t xml:space="preserve"> smart, grid, energy, electricity, facilitate; EU scope not established. This is a provisional connection, not an outcome finding.</w:t>
      </w:r>
    </w:p>
    <w:p>
      <w:pPr>
        <w:pStyle w:val="SourceNote"/>
      </w:pPr>
      <w:r>
        <w:rPr>
          <w:b/>
        </w:rPr>
        <w:t>Available abstract (not full text):</w:t>
      </w:r>
      <w:r>
        <w:t xml:space="preserve"> The smart grid is a product of the advances in computer and communication technology and power electronics that creates a more resilient, reliable and one that supports a two-way flow of electricity and information.The smart grid enables more uptake of the variable renewables like wind, solar and variable loads like the plug-in cars and improves the efficiency of power systems and facilitate several products and services supported by the grid like automatic healing and rerouting of power in case of a fault and demand side management.The deployment and use of smart grids will enhance the realization of shared goals of grid stakeholders, promote energy security, enable economic growth, and help in the mitigation of climate change.</w:t>
      </w:r>
    </w:p>
    <w:p>
      <w:pPr/>
      <w:r>
        <w:rPr>
          <w:b/>
        </w:rPr>
        <w:t>POSSIBLE 2023:</w:t>
      </w:r>
      <w:r>
        <w:t xml:space="preserve"> A State-of-the-Art Review of Smart Energy Systems and Their Management in a Smart Grid Environment — https://doi.org/10.3390/en16010472</w:t>
      </w:r>
    </w:p>
    <w:p>
      <w:pPr/>
      <w:r>
        <w:rPr>
          <w:b/>
        </w:rPr>
        <w:t>Shared claim-specific concepts:</w:t>
      </w:r>
      <w:r>
        <w:t xml:space="preserve"> smart, grid, energy, electricity, increased; EU scope not established. This is a provisional connection, not an outcome finding.</w:t>
      </w:r>
    </w:p>
    <w:p>
      <w:pPr>
        <w:pStyle w:val="SourceNote"/>
      </w:pPr>
      <w:r>
        <w:rPr>
          <w:b/>
        </w:rPr>
        <w:t>Available abstract (not full text):</w:t>
      </w:r>
      <w:r>
        <w:t xml:space="preserve"> A smart grid (SG), considered as a future electricity grid, utilizes bidirectional electricity and information flow to establish automated and widely distributed power generation. The SG provides a delivery network that has distributed energy sources, real-time asset monitoring, increased power quality, increased stability and reliability, and two-way information sharing. Furthermore, SG provides many advantages, such as demand response, distribution automation, optimized use of electricity, economical energy, real-time grid status monitoring, voltage regulation or VAR control, and electricity storage. In this survey, we explore the literature on smart Grid enabling technologies until 2022. We dig out four major systems: (1) the smart grid’s prominent features and challenges; (2) the smart grid standard system and legislations; (3) smart grid energy subsystem; and (4) the smart grid management system and protection system for new researchers for their future projects. The research challenges and future recommendations are also presented in the conclusion section to explore the new paradigm.</w:t>
      </w:r>
    </w:p>
    <w:p>
      <w:pPr/>
      <w:r>
        <w:rPr>
          <w:b/>
        </w:rPr>
        <w:t>POSSIBLE 2023:</w:t>
      </w:r>
      <w:r>
        <w:t xml:space="preserve"> Smart grid projects in the pan-European energy system — https://doi.org/10.33271/nvngu/2023-6/100</w:t>
      </w:r>
    </w:p>
    <w:p>
      <w:pPr/>
      <w:r>
        <w:rPr>
          <w:b/>
        </w:rPr>
        <w:t>Shared claim-specific concepts:</w:t>
      </w:r>
      <w:r>
        <w:t xml:space="preserve"> smart, grid, energy, electricity; EU scope visible. This is a provisional connection, not an outcome finding.</w:t>
      </w:r>
    </w:p>
    <w:p>
      <w:pPr>
        <w:pStyle w:val="SourceNote"/>
      </w:pPr>
      <w:r>
        <w:rPr>
          <w:b/>
        </w:rPr>
        <w:t>Available abstract (not full text):</w:t>
      </w:r>
      <w:r>
        <w:t xml:space="preserve"> Purpose. To provide a comparative and comprehensive analysis of the smart grid projects funded by the H2020 ENERGY and FP7-ENERGY programs. Methodology. As part of the text analysis, the authors evaluated smart grid projects’ results in a sample using text mining methods. Based on statistical analysis and concept-based method, the most significant outcomes of smart grid projects were identified. Findings. A detailed review of the results shows that project teams of the H2020 ENERGY and FP7-ENERGY programs mostly relied on the existing experience which helped to form further development for standardization of tools, conduct planning, or derive specific management actions aimed at smart energy consumption. The majority of these solutions were applied for digitalizing small commercial consumers and for integrating isolated renewable sources in the most effective way. The projects considered the possibilities of electric vehicles used to solve environmental problems and balancing unstable electricity production from renewable sources with Li-ion stationary batteries, tools for effective interaction of users of smart grids, and integration of isolated renewable sources in centralized energy networks. Originality. Based on statistical and machine analysis, the most significant results of smart grid projects were identified. N‑grams of expressed keywords used in the texts of project r</w:t>
      </w:r>
    </w:p>
    <w:p>
      <w:pPr/>
      <w:r>
        <w:rPr>
          <w:b/>
        </w:rPr>
        <w:t>POSSIBLE 2022:</w:t>
      </w:r>
      <w:r>
        <w:t xml:space="preserve"> Mobility in the Smart Grid: Roaming Protocols for EV Charging — https://doi.org/10.1109/tsg.2022.3202608</w:t>
      </w:r>
    </w:p>
    <w:p>
      <w:pPr/>
      <w:r>
        <w:rPr>
          <w:b/>
        </w:rPr>
        <w:t>Shared claim-specific concepts:</w:t>
      </w:r>
      <w:r>
        <w:t xml:space="preserve"> smart, grid, increasingly, openness; EU scope visible. This is a provisional connection, not an outcome finding.</w:t>
      </w:r>
    </w:p>
    <w:p>
      <w:pPr>
        <w:pStyle w:val="SourceNote"/>
      </w:pPr>
      <w:r>
        <w:rPr>
          <w:b/>
        </w:rPr>
        <w:t>Available abstract (not full text):</w:t>
      </w:r>
      <w:r>
        <w:t xml:space="preserve">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pPr/>
      <w:r>
        <w:rPr>
          <w:b/>
        </w:rPr>
        <w:t>POSSIBLE 2022:</w:t>
      </w:r>
      <w:r>
        <w:t xml:space="preserve"> Quantum computing for smart grid applications — https://doi.org/10.1049/gtd2.12602</w:t>
      </w:r>
    </w:p>
    <w:p>
      <w:pPr/>
      <w:r>
        <w:rPr>
          <w:b/>
        </w:rPr>
        <w:t>Shared claim-specific concepts:</w:t>
      </w:r>
      <w:r>
        <w:t xml:space="preserve"> smart, grid, energy, promising; EU scope not established. This is a provisional connection, not an outcome finding.</w:t>
      </w:r>
    </w:p>
    <w:p>
      <w:pPr>
        <w:pStyle w:val="SourceNote"/>
      </w:pPr>
      <w:r>
        <w:rPr>
          <w:b/>
        </w:rPr>
        <w:t>Available abstract (not full text):</w:t>
      </w:r>
      <w:r>
        <w:t xml:space="preserve">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pPr>
        <w:pStyle w:val="Heading2"/>
      </w:pPr>
      <w:r>
        <w:t>881.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following;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 classification of European agricultural land using an energy-based intensity indicator and detailed crop description — https://doi.org/10.1016/j.landurbplan.2020.103793</w:t>
      </w:r>
    </w:p>
    <w:p>
      <w:pPr/>
      <w:r>
        <w:rPr>
          <w:b/>
        </w:rPr>
        <w:t>Shared claim-specific concepts:</w:t>
      </w:r>
      <w:r>
        <w:t xml:space="preserve"> approach, developed, used; EU scope visible. This is a provisional connection, not an outcome finding.</w:t>
      </w:r>
    </w:p>
    <w:p>
      <w:pPr>
        <w:pStyle w:val="SourceNote"/>
      </w:pPr>
      <w:r>
        <w:rPr>
          <w:b/>
        </w:rPr>
        <w:t>Available abstract (not full text):</w:t>
      </w:r>
      <w:r>
        <w:t xml:space="preserve"> With agricultural areas covering almost half of European land, proper management of agro-ecosystems is key to achieve the European Union’s environmental and climate objectives. This requires spatially explicit methods and indicators. We developed an approach for the classification of agricultural land by combining two main dimensions i) land cover, using detailed geo-spatialized census data covering 63 individual crops; ii) management intensity, measured as the anthropogenic energy required in the primary crop production. As a result we identified 10 main crop systems further classified into 30 ‘crop-management systems’ at a spatial resolution of 5 arcminutes. The resulting maps show the spatial patterns of agricultural management intensity across Europe, both in absolute terms (total energy input per hectare) and relative to the dominant crop system in the spatial unit of analysis. The use of multiple intensity dimensions provides new, more detailed insights on agricultural intensity by which areas that were previously classified as low-medium intensive - some permanent crops systems or irrigated arable land - appear now as highly intensive. An expert-based evaluation was carried out on the intensity maps and corroborated the obtained results. The generated maps can be used to support decision-making in designing more targeted, context-specific agricultural and territorial pol</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group, applied;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2019:</w:t>
      </w:r>
      <w:r>
        <w:t xml:space="preserve"> Autonomous Road Vehicles: Challenges for Urban Planning in European Cities — https://doi.org/10.3390/urbansci3020061</w:t>
      </w:r>
    </w:p>
    <w:p>
      <w:pPr/>
      <w:r>
        <w:rPr>
          <w:b/>
        </w:rPr>
        <w:t>Shared claim-specific concepts:</w:t>
      </w:r>
      <w:r>
        <w:t xml:space="preserve"> planning, used, design; EU scope visible. This is a provisional connection, not an outcome finding.</w:t>
      </w:r>
    </w:p>
    <w:p>
      <w:pPr>
        <w:pStyle w:val="SourceNote"/>
      </w:pPr>
      <w:r>
        <w:rPr>
          <w:b/>
        </w:rPr>
        <w:t>Available abstract (not full text):</w:t>
      </w:r>
      <w:r>
        <w:t xml:space="preserve">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pPr/>
      <w:r>
        <w:rPr>
          <w:b/>
        </w:rPr>
        <w:t>POSSIBLE 2019:</w:t>
      </w:r>
      <w:r>
        <w:t xml:space="preserve"> Planning for the North-European Waterfront Cities — https://doi.org/10.1088/1757-899x/603/5/052047</w:t>
      </w:r>
    </w:p>
    <w:p>
      <w:pPr/>
      <w:r>
        <w:rPr>
          <w:b/>
        </w:rPr>
        <w:t>Shared claim-specific concepts:</w:t>
      </w:r>
      <w:r>
        <w:t xml:space="preserve"> planning, used, tourism, design, group; EU scope visible. This is a provisional connection, not an outcome finding.</w:t>
      </w:r>
    </w:p>
    <w:p>
      <w:pPr>
        <w:pStyle w:val="SourceNote"/>
      </w:pPr>
      <w:r>
        <w:rPr>
          <w:b/>
        </w:rPr>
        <w:t>Available abstract (not full text):</w:t>
      </w:r>
      <w:r>
        <w:t xml:space="preserve"> Abstract Redevelopment of urban waterfronts is one of the leading themes in contemporary planning practice. This issue is a subject of interest to many scholars and practitioners, associated with development of waterfront cities. In literature on this topic one can find a lot of information regarding leading examples of this process, discussion of issues and problems associated with this phenomenon as well as analysis of the results achieved. In addition, many specialists in this field managed to develop a sort of “guide of good practice” for cities and planners interested in undertaking an effort associated with reshaping the waterfront site. But one can easily spot that most of the cases discussed are based in climate zones allowing extensive public use of the waterfront sites for the most part of the year. Therefore, the phenomenon of waterfront redevelopment is frequently associated with extensive development of large scale urban structures, in the climate realities allowing extensive public usage of these. On the basis of the “success stories” of many cities undertaking the waterfront urban redevelopment process also municipalities located in “less privileged” from the climate point of view areas as well as small-and medium-sized cities tend to rethink their water related urban structures. This relates both to cities located in the hot and cold climate zones – which to lar</w:t>
      </w:r>
    </w:p>
    <w:p>
      <w:pPr>
        <w:pStyle w:val="Heading2"/>
      </w:pPr>
      <w:r>
        <w:t>882.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2023:</w:t>
      </w:r>
      <w:r>
        <w:t xml:space="preserve"> Fuzzy Hardware Tool: An Adaptable Tool to Facilitate the Implementation of Fuzzy Inference Systems in Hardware — https://doi.org/10.3390/electronics12132853</w:t>
      </w:r>
    </w:p>
    <w:p>
      <w:pPr/>
      <w:r>
        <w:rPr>
          <w:b/>
        </w:rPr>
        <w:t>Shared claim-specific concepts:</w:t>
      </w:r>
      <w:r>
        <w:t xml:space="preserve"> implement, tool, performance; EU scope not established. This is a provisional connection, not an outcome finding.</w:t>
      </w:r>
    </w:p>
    <w:p>
      <w:pPr>
        <w:pStyle w:val="SourceNote"/>
      </w:pPr>
      <w:r>
        <w:rPr>
          <w:b/>
        </w:rPr>
        <w:t>Available abstract (not full text):</w:t>
      </w:r>
      <w:r>
        <w:t xml:space="preserve"> A Fuzzy Inference System (FIS) is a system that represents human reasoning based on fuzzy if-then rules to extract valid results from imprecise or uncertain information. These systems have been applied to various engineering fields, such as control and image recognition, and have encouraged the search for development tools that provide facilities for the design, simulation, and implementation of FISs. Most of the available software tools for the design of FISs have been developed by the scientific community, and very few are commercial tools. According to the state of the technology, the fuzzy systems implemented in hardware have shown higher performance than software implementations. For this reason, different strategies for automatic hardware synthesis of FISs have been proposed in the literature. The available tools for FIS implementation, including MATLAB, Simulink, and Xfuzzy environment, require advanced hardware knowledge, and it is necessary to synthesize and implement the program on FPGA each time a change is made to the code. This paper presents a novel approach for the implementation of fuzzy systems on hardware devices that enables the direct implementation of FISs through a graphical user interface. The VHDL code is pre-synthesized and integrated with the interface, allowing users to experiment with different input parameters, such as membership functions and fuzzy</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r>
        <w:rPr>
          <w:b/>
        </w:rPr>
        <w:t>POSSIBLE 2022:</w:t>
      </w:r>
      <w:r>
        <w:t xml:space="preserve"> An Attempt at a Theoretical Explanation of Violent Islamist Radicalization in Spain — https://doi.org/10.3390/rel13030209</w:t>
      </w:r>
    </w:p>
    <w:p>
      <w:pPr/>
      <w:r>
        <w:rPr>
          <w:b/>
        </w:rPr>
        <w:t>Shared claim-specific concepts:</w:t>
      </w:r>
      <w:r>
        <w:t xml:space="preserve"> theoretical, explanation, nature; EU scope visible. This is a provisional connection, not an outcome finding.</w:t>
      </w:r>
    </w:p>
    <w:p>
      <w:pPr>
        <w:pStyle w:val="SourceNote"/>
      </w:pPr>
      <w:r>
        <w:rPr>
          <w:b/>
        </w:rPr>
        <w:t>Available abstract (not full text):</w:t>
      </w:r>
      <w:r>
        <w:t xml:space="preserve"> This paper is the first in a series of papers that aim to address Islamist violent radicalization from different angles: the nature of violent radicalization in the context of Spain; a comparison between European, North American, and Indian violent radicalization; the need to refine territorial radicalization indexes within the context of preventing violent radicalization and the relation between Islamist violent radicalization; and other forms of violent radicalization in Europe. This series of articles builds upon the general theoretical framework established by the author in two previous works. These works are framed under the known conception of three layers of micro, meso, and macro factors contributing to violent radicalization processes. The paper starts by defining Islamist violent radicalization. Then, it explores different theoretical explanations, and finally, it proposes an explanatory hypothesis that is tested against, on the one hand, data proceeding from different institutional sources in Spain and, on the other, some initial conversations to Spanish security officials and people who were radicalized in the past and regretted it or lived very close to others that did it. In further articles, these preliminary conversations will become life stories and in-depth interviews.</w:t>
      </w:r>
    </w:p>
    <w:p>
      <w:pPr/>
      <w:r>
        <w:rPr>
          <w:b/>
        </w:rPr>
        <w:t>POSSIBLE 2021:</w:t>
      </w:r>
      <w:r>
        <w:t xml:space="preserve"> Implementation of forecasting tool in the logistics company – case study — https://doi.org/10.29119/1641-3466.2021.152.9</w:t>
      </w:r>
    </w:p>
    <w:p>
      <w:pPr/>
      <w:r>
        <w:rPr>
          <w:b/>
        </w:rPr>
        <w:t>Shared claim-specific concepts:</w:t>
      </w:r>
      <w:r>
        <w:t xml:space="preserve"> shows, implement, tool; EU scope not established. This is a provisional connection, not an outcome finding.</w:t>
      </w:r>
    </w:p>
    <w:p>
      <w:pPr>
        <w:pStyle w:val="SourceNote"/>
      </w:pPr>
      <w:r>
        <w:rPr>
          <w:b/>
        </w:rPr>
        <w:t>Available abstract (not full text):</w:t>
      </w:r>
      <w:r>
        <w:t xml:space="preserve"> Purpose: The main aim of following article is the implementation and results analysis of created forecasting tool.Created tool is a tool for automated prediction of future demands level in chosen distribution networks where logistics operator is acting as a service provider.Design/methodology/approach: Article shows the conception of created forecasting tool and presents the deviations of forecasts from real values.Findings: Logistics enterprise could implement the forecasting tool to improvement their own activity.However it demands depth assortment analyzing and also it demands supporting the processes of automated forecasting by forecasting processes based on quality and mixed methods.Originality/value: The value of following article is showing the new function of logistics enterprise which is demand forecasting.It could be also a value added activity which logistic operator could offer to their customers.</w:t>
      </w:r>
    </w:p>
    <w:p>
      <w:pPr/>
      <w:r>
        <w:rPr>
          <w:b/>
        </w:rPr>
        <w:t>POSSIBLE 2020:</w:t>
      </w:r>
      <w:r>
        <w:t xml:space="preserve"> Role and implementation of sustainability management control tools: critical aspects in the Italian context — https://doi.org/10.1108/aaaj-02-2019-3887</w:t>
      </w:r>
    </w:p>
    <w:p>
      <w:pPr/>
      <w:r>
        <w:rPr>
          <w:b/>
        </w:rPr>
        <w:t>Shared claim-specific concepts:</w:t>
      </w:r>
      <w:r>
        <w:t xml:space="preserve"> shows, implement, theoretical, practical; EU scope not established. This is a provisional connection, not an outcome finding.</w:t>
      </w:r>
    </w:p>
    <w:p>
      <w:pPr>
        <w:pStyle w:val="SourceNote"/>
      </w:pPr>
      <w:r>
        <w:rPr>
          <w:b/>
        </w:rPr>
        <w:t>Available abstract (not full text):</w:t>
      </w:r>
      <w:r>
        <w:t xml:space="preserve">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r>
        <w:rPr>
          <w:b/>
        </w:rPr>
        <w:t>POSSIBLE 2019:</w:t>
      </w:r>
      <w:r>
        <w:t xml:space="preserve"> An Information-Theoretic Explanation for the Adversarial Fragility of AI Classifiers — https://doi.org/10.1109/isit.2019.8849757</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We present a simple hypothesis about a compression property of artificial intelligence (AI) classifiers and present theoretical arguments to show that this hypothesis successfully accounts for the observed fragility of AI classifiers to small adversarial perturbations. We also propose a new method for detecting when small input perturbations cause classifier errors, and show theoretical guarantees for the performance of this detection method. We present experimental results with a voice recognition system to demonstrate this method. The ideas in this paper are motivated by a simple analogy between AI classifiers and the standard Shannon model of a communication system1.</w:t>
      </w:r>
    </w:p>
    <w:p>
      <w:pPr>
        <w:pStyle w:val="Heading2"/>
      </w:pPr>
      <w:r>
        <w:t>883.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2024:</w:t>
      </w:r>
      <w:r>
        <w:t xml:space="preserve"> Sustainable farming practices and soil health: a pathway to achieving SDGs and future prospects — https://doi.org/10.1007/s43621-024-00447-4</w:t>
      </w:r>
    </w:p>
    <w:p>
      <w:pPr/>
      <w:r>
        <w:rPr>
          <w:b/>
        </w:rPr>
        <w:t>Shared claim-specific concepts:</w:t>
      </w:r>
      <w:r>
        <w:t xml:space="preserve"> climate, crops, production, agricultural; EU scope not established. This is a provisional connection, not an outcome finding.</w:t>
      </w:r>
    </w:p>
    <w:p>
      <w:pPr>
        <w:pStyle w:val="SourceNote"/>
      </w:pPr>
      <w:r>
        <w:rPr>
          <w:b/>
        </w:rPr>
        <w:t>Available abstract (not full text):</w:t>
      </w:r>
      <w:r>
        <w:t xml:space="preserve"> Sustainable farming practices aim to produce agricultural products at a low environmental cost, ensuring food availability for future generations. These approaches combine the production of agricultural crops and livestock for site-specific uses, with an emphasis on long-term objectives including satisfying the food supply worldwide, improving the environment, making the most efficient use of resources and boosting the welfare of farmers and society as a whole. Sustainability in farming is mostly dependent on soil health, which is the soil’s capacity to function within ecological and land-use boundaries. It enhances general wellness, maintains the purity of the air and water, and supports biological productivity. The depletion of soil functions brought about by modern agricultural intensification has an impact on ecosystem services and long-term productivity. The goal of sustainable farming is to raise fertility and organic matter in the soil. Key practices include carbon farming, conservation agriculture, integrated pest management (IPM), and precision farming. In order to support sustainable crop production, these techniques improve soil fertility, structure, and biodiversity. Going forward, research should concentrate on developing novel approaches to tackle the issues of climate change and global food security.</w:t>
      </w:r>
    </w:p>
    <w:p>
      <w:pPr/>
      <w:r>
        <w:rPr>
          <w:b/>
        </w:rPr>
        <w:t>POSSIBLE 2024:</w:t>
      </w:r>
      <w:r>
        <w:t xml:space="preserve"> Purposeful Pathways: Preparing Chemistry Majors at Furman University for Post-College Careers — https://doi.org/10.1021/bk-2024-1470.ch005</w:t>
      </w:r>
    </w:p>
    <w:p>
      <w:pPr/>
      <w:r>
        <w:rPr>
          <w:b/>
        </w:rPr>
        <w:t>Shared claim-specific concepts:</w:t>
      </w:r>
      <w:r>
        <w:t xml:space="preserve"> pathways, developed, department, all; EU scope not established. This is a provisional connection, not an outcome finding.</w:t>
      </w:r>
    </w:p>
    <w:p>
      <w:pPr>
        <w:pStyle w:val="SourceNote"/>
      </w:pPr>
      <w:r>
        <w:rPr>
          <w:b/>
        </w:rPr>
        <w:t>Available abstract (not full text):</w:t>
      </w:r>
      <w:r>
        <w:t xml:space="preserve"> Furman University adopted a new strategic vision, The Furman Advantage, in 2016. Central to this vision is an integrated four-year pathway that uses mentoring and advising to encourage students to think intentionally about their classroom learning, engaged learning experiences, and career exploration and preparation. The pathway consists of the Pathways Program ®, a common advising curriculum for all students during Years 1 &amp; 2, followed by programming in Years 3 &amp; 4 developed by academic departments to serve their majors. Goals for the Purposeful Pathways (Years 3 &amp; 4) program include exposing students to potential career paths, encouraging students to reflect on learning experiences and connect these with future plans, and supporting students in developing a plan for their post-college pathway. Furman’s Chemistry Department began developing this programming in 2019 by conducting a departmental self-study to assess current departmental activities and identify areas for growth as well as by participating in workshops focused on designing professional programming for students. Through this process, the department identified three key goals: build departmental community for all students, provide opportunities for career exploration and preparation, and encourage student reflection to integrate learning experiences with career goals. We then created programming around these goals </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The UAE’s energy system and GHG emissions: pathways to achieving national goals by 2050 — https://doi.org/10.1093/ce/zkad040</w:t>
      </w:r>
    </w:p>
    <w:p>
      <w:pPr/>
      <w:r>
        <w:rPr>
          <w:b/>
        </w:rPr>
        <w:t>Shared claim-specific concepts:</w:t>
      </w:r>
      <w:r>
        <w:t xml:space="preserve"> four, pathways, developed, energy, all, production; EU scope not established. This is a provisional connection, not an outcome finding.</w:t>
      </w:r>
    </w:p>
    <w:p>
      <w:pPr>
        <w:pStyle w:val="SourceNote"/>
      </w:pPr>
      <w:r>
        <w:rPr>
          <w:b/>
        </w:rPr>
        <w:t>Available abstract (not full text):</w:t>
      </w:r>
      <w:r>
        <w:t xml:space="preserve">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pPr/>
      <w:r>
        <w:rPr>
          <w:b/>
        </w:rPr>
        <w:t>POSSIBLE 2023:</w:t>
      </w:r>
      <w:r>
        <w:t xml:space="preserve"> Pathways to achieving nature-positive and carbon–neutral land use and food systems in Wales — https://doi.org/10.1007/s10113-023-02041-2</w:t>
      </w:r>
    </w:p>
    <w:p>
      <w:pPr/>
      <w:r>
        <w:rPr>
          <w:b/>
        </w:rPr>
        <w:t>Shared claim-specific concepts:</w:t>
      </w:r>
      <w:r>
        <w:t xml:space="preserve"> four, pathways, climate, but, other, agricultural; EU scope not established. This is a provisional connection, not an outcome finding.</w:t>
      </w:r>
    </w:p>
    <w:p>
      <w:pPr>
        <w:pStyle w:val="SourceNote"/>
      </w:pPr>
      <w:r>
        <w:rPr>
          <w:b/>
        </w:rPr>
        <w:t>Available abstract (not full text):</w:t>
      </w:r>
      <w:r>
        <w:t xml:space="preserve"> Abstract Land use and its management can play a vital role in carbon sequestration, but trade-offs may exist with other objectives including food security and nature recovery. Using an integrated model (the FABLE calculator), four pathways, co-created with colleagues at the Welsh Government, towards achieving climate and biodiversity targets in Wales were explored: status quo, improvements on current trends, land sparing and land sharing. We found that continuing as usual will not be sufficient to meet Wales’s climate and biodiversity targets. In contrast, the land use and agricultural sector became a net carbon sink in both the land sparing and land sharing pathways, through high afforestation targets, peatland restoration, reducing food waste and moving towards a healthier diet. Whilst both pathways released land for biodiversity, the gains were greater in the land sharing pathway, which was also less dependent on optimistic assumptions concerning productivity improvements. The results demonstrate that alternative approaches to achieving nature-positive and carbon–neutral land use and food systems may be possible, but they come with stringent and transformative requirements for policy changes, with an integrated approach necessary to maximise benefits for climate, food and nature.</w:t>
      </w:r>
    </w:p>
    <w:p>
      <w:pPr/>
      <w:r>
        <w:rPr>
          <w:b/>
        </w:rPr>
        <w:t>POSSIBLE 2023:</w:t>
      </w:r>
      <w:r>
        <w:t xml:space="preserve"> The use of clinical pathway in Emergency Departments (EDs): a scoping review protocol. — https://doi.org/10.31219/osf.io/vksp7</w:t>
      </w:r>
    </w:p>
    <w:p>
      <w:pPr/>
      <w:r>
        <w:rPr>
          <w:b/>
        </w:rPr>
        <w:t>Shared claim-specific concepts:</w:t>
      </w:r>
      <w:r>
        <w:t xml:space="preserve"> four, pathways, target, department, all, increased; EU scope not established. This is a provisional connection, not an outcome finding.</w:t>
      </w:r>
    </w:p>
    <w:p>
      <w:pPr>
        <w:pStyle w:val="SourceNote"/>
      </w:pPr>
      <w:r>
        <w:rPr>
          <w:b/>
        </w:rPr>
        <w:t>Available abstract (not full text):</w:t>
      </w:r>
      <w:r>
        <w:t xml:space="preserve"> Objective: This scoping review aims to understand the extent of available evidence on the use of clinical pathways in the Emergency Department (ED) for all age groups across different countries. Introduction: Although the use of the clinical pathways has increased in the healthcare industry in general, their use in complex settings like the ED is poor and the reasons are poorly understood (Jabbour et al., 2018). In addition, there are varied ED models of care and site-specific characteristics which impact standardisation of care (Wylie et al., 2015). Evidence for effective implementation strategies in ED remain sparse making it difficult to target improvement efforts (Clay-Williams et al., 2020).Inclusion criteria: In relation to the PICO framework, the research includes studies from any country that focus on all age groups presenting to ED and using clinical pathways.Methods: Four online databases will be searched for articles in English since 2013, to ensure that we are utilising the most up-to-date evidence available. The Covidence software will be used to screen the articles using pre-determined inclusion/exclusion criteria by two independent authors. Results will be presented in tables and diagrams based on research questions. Ethics and dissemination: The scoping review will map the available literature on the use of clinical pathways in the emergency department. Ethical </w:t>
      </w:r>
    </w:p>
    <w:p>
      <w:pPr>
        <w:pStyle w:val="Heading2"/>
      </w:pPr>
      <w:r>
        <w:t>884.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Using urban building energy modeling to quantify the energy performance of residential buildings under climate change — https://doi.org/10.1007/s12273-023-1032-2</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Energy and Climate Changes Along the Last Two Hundred Years: Logistic Modeling — https://doi.org/10.1007/978-3-031-16470-5_10</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Climate change impacts on the energy system: a model comparison — https://doi.org/10.1088/1748-9326/ac5141</w:t>
      </w:r>
    </w:p>
    <w:p>
      <w:pPr/>
      <w:r>
        <w:rPr>
          <w:b/>
        </w:rPr>
        <w:t>Shared claim-specific concepts:</w:t>
      </w:r>
      <w:r>
        <w:t xml:space="preserve"> two, use, energy, climate, both; EU scope visible. This is a provisional connection, not an outcome finding.</w:t>
      </w:r>
    </w:p>
    <w:p>
      <w:pPr>
        <w:pStyle w:val="SourceNote"/>
      </w:pPr>
      <w:r>
        <w:rPr>
          <w:b/>
        </w:rPr>
        <w:t>Available abstract (not full text):</w:t>
      </w:r>
      <w:r>
        <w:t xml:space="preserve"> Abstract Increasing renewable energy use is an essential strategy for mitigating climate change. Nevertheless, the sensitivity of renewable energy to climatic conditions means that the energy system’s vulnerability to climate change can also become larger. In this research, we used two integrated assessment models and data from four climate models to analyse climate change impacts on primary energy use at a global and regional scale under a low-level (RCP2.6) and a medium-level (RCP6.0) climate change scenario. The impacts are analysed on the energy system focusing on four renewable sources (wind, solar, hydropower, and biomass). Globally, small climate impacts on renewable primary energy use are found in both models (5% for RCP2.6 and 6% for RCP6.0). These impacts lead to a decrease in the use of fossil sources for most regions, especially for North America and Europe under the RCP60 scenario. Overall, IMAGE and GCAM provide a similar signal impact response for most regions. E.g. in Asia (excluding China and India), climate change induces an increase in wind and hydropower use under the RCP6.0 scenarios; however, for India, a decrease in solar energy use can be expected under both scenarios and models.</w:t>
      </w:r>
    </w:p>
    <w:p>
      <w:pPr/>
      <w:r>
        <w:rPr>
          <w:b/>
        </w:rPr>
        <w:t>POSSIBLE 2022:</w:t>
      </w:r>
      <w:r>
        <w:t xml:space="preserve"> Overcoming the disconnect between energy system and climate modeling — https://doi.org/10.1016/j.joule.2022.05.010</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Energy system models underpin decisions by energy system planners and operators. Energy system modeling faces a transformation: accounting for changing meteorological conditions imposed by climate change. To enable that transformation, a community of practice in energy-climate modeling has started to form that aims to better integrate energy system models with weather and climate models. Here, we evaluate the disconnects between the energy system and climate modeling communities, then lay out a research agenda to bridge those disconnects. In the near-term, we propose interdisciplinary activities for expediting uptake of future climate data in energy system modeling. In the long-term, we propose a transdisciplinary approach to enable development of (1) energy-system-tailored climate datasets for historical and future meteorological conditions and (2) energy system models that can effectively leverage those datasets. This agenda increases the odds of meeting ambitious climate mitigation goals by systematically capturing and mitigating climate risk in energy sector decision-making.</w:t>
      </w:r>
    </w:p>
    <w:p>
      <w:pPr/>
      <w:r>
        <w:rPr>
          <w:b/>
        </w:rPr>
        <w:t>POSSIBLE 2021:</w:t>
      </w:r>
      <w:r>
        <w:t xml:space="preserve"> Mathematical Model of the Energy Balance for Two Configurations of Trapezoidal Box-type Solar Cooker Tested under Saharan Climate — https://doi.org/10.1109/sienr50924.2021.9631884</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This article presents a mathematical model for two configurations of a box type solar cooker with trapezoidal shape: the cooker will be eqquiped with an additional reflector at first time and will be removed later, the aim is to determine the behavior in both cases depending on the the available solar energy. The energy balance equations have been solved by a Matlab program developed for this purpose. To validate the mathematical model, the values of the theoretical temperatures values were compared with the experimental results obtained from cooker tests carried out under the Saharan climatic conditions of the Ghardaia site. The tests were carried out with the cooker filled with one or two liters of water from 9:00 AM. to 5:00 PM. A good agreement was found between the measured values and that estimated by the proposed model. The model was then used to simulate the performance of the solar cooker throughout the national territory. Several temperature maps were obtained for different days of the year (winter and summer). It has been found that the temperatures obtained when the cooker is fitted with its reflector are much higher than that obtained without a reflector. The large area of Algeria allows the operation of the cooker without or with reflector in different locations and in particular months for each one of the configurations depending on the amount of solar energy rec</w:t>
      </w:r>
    </w:p>
    <w:p>
      <w:pPr>
        <w:pStyle w:val="Heading2"/>
      </w:pPr>
      <w:r>
        <w:t>885.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2025:</w:t>
      </w:r>
      <w:r>
        <w:t xml:space="preserve"> A COMPARATIVE ANALYSIS OF THE LEGAL FRAMEWORK ON GREENWASHING IN ENVIRONMENTAL, SOCIAL, AND GOVERNANCE (ESG) FUNDS LABELLING IN THE UNITED STATES, THE EUROPEAN UNION AND THE UNITED KINGDOM — https://doi.org/10.2139/ssrn.5319796</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pStyle w:val="Heading2"/>
      </w:pPr>
      <w:r>
        <w:t>886.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r>
        <w:rPr>
          <w:b/>
        </w:rPr>
        <w:t>POSSIBLE 2023:</w:t>
      </w:r>
      <w:r>
        <w:t xml:space="preserve"> Air-conditioning adoption and electricity demand highlight climate change mitigation–adaptation tradeoffs — https://doi.org/10.1038/s41598-023-31469-z</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We elucidate mid-century climate change impacts on electricity demand accounting for endogenous adoption of residential air-conditioning (AC) in affluent, cooler countries in Europe, and in poorer, hotter states in India. By 2050, in a high-warming scenario (SSP585) AC prevalence grows twofold in Europe and fourfold in India, reaching around 40% in both regions. We document a mitigation-adaptation tradeoff: AC expansion reduces daily heat exposures by 150 million and 3.8 billion person degree-days (PDDs), but increases annual electricity demand by 34 TWh and 168 TWh in Europe and India, respectively (corresponding to 2% and 15% of today's consumption). The increase in adoption and use of AC would result in an additional 130 MMTCO2, of which 120 MMTCO2 in India alone, if the additional electricity generated were produced with today's power mix. The tradeoff varies geographically and across income groups: a one PDD reduction in heat exposure in Europe versus India necessitates five times more electricity (0.53 kWh vs 0.1 kWh) and two times more emissions (0.16 kgCO[Formula: see text] vs 0.09 kgCO[Formula: see text]), on average. The decomposition of demand drivers offers important insights on how such tradeoff can be moderated through policies promoting technology-based and behavioral-based adaptation strategies.</w:t>
      </w:r>
    </w:p>
    <w:p>
      <w:pPr/>
      <w:r>
        <w:rPr>
          <w:b/>
        </w:rPr>
        <w:t>POSSIBLE 2023:</w:t>
      </w:r>
      <w:r>
        <w:t xml:space="preserve"> Might future electricity generation suffice to meet the global demand? — https://doi.org/10.1016/j.esr.2023.101080</w:t>
      </w:r>
    </w:p>
    <w:p>
      <w:pPr/>
      <w:r>
        <w:rPr>
          <w:b/>
        </w:rPr>
        <w:t>Shared claim-specific concepts:</w:t>
      </w:r>
      <w:r>
        <w:t xml:space="preserve"> electricity, generation, expected, sectors, meet, greenhouse; EU scope not established. This is a provisional connection, not an outcome finding.</w:t>
      </w:r>
    </w:p>
    <w:p>
      <w:pPr>
        <w:pStyle w:val="SourceNote"/>
      </w:pPr>
      <w:r>
        <w:rPr>
          <w:b/>
        </w:rPr>
        <w:t>Available abstract (not full text):</w:t>
      </w:r>
      <w:r>
        <w:t xml:space="preserve"> Electricity supply is one of the critical issues in the energy field. Due to the high shares of greenhouse gases emissions, the electricity sector is experiencing a transition towards a progressively wider use of low-carbon technologies. At the same time, electrification of end-use sectors is identified as one of the most suitable mitigation strategies, although requiring larger electricity production. This paper relates the historical development trends for installed capacity of electricity production technologies to the theory of the S-curves, building a method to depict plausible developments in the electricity sector. Projections are performed considering the existence of an upper limit for industrial capacity development, and according to a path envisaging a revolutionary, an evolutionary and a maturity phase for technologies showing considerable growth trends. Oppositely, stagnation is taken into account for those not showing any remarkable progress. The computed curves are used to perform forecasts about electricity generation potentials until 2050, showing how the projected growth trend of electricity generation technologies would result in a production sufficient to meet the expected global demand, even excluding the contribution of fossil fuels in some cases. In perspective, the presented method can be applied to retrieve maximum capacity constraints for energy system</w:t>
      </w:r>
    </w:p>
    <w:p>
      <w:pPr/>
      <w:r>
        <w:rPr>
          <w:b/>
        </w:rPr>
        <w:t>POSSIBLE 2023:</w:t>
      </w:r>
      <w:r>
        <w:t xml:space="preserve"> The impact of heat electrification on the seasonal and interannual electricity demand of Great Britain — https://doi.org/10.1016/j.apenergy.2023.120885</w:t>
      </w:r>
    </w:p>
    <w:p>
      <w:pPr/>
      <w:r>
        <w:rPr>
          <w:b/>
        </w:rPr>
        <w:t>Shared claim-specific concepts:</w:t>
      </w:r>
      <w:r>
        <w:t xml:space="preserve"> electricity, heat; EU scope not established. This is a provisional connection, not an outcome finding.</w:t>
      </w:r>
    </w:p>
    <w:p>
      <w:pPr>
        <w:pStyle w:val="SourceNote"/>
      </w:pPr>
      <w:r>
        <w:rPr>
          <w:b/>
        </w:rPr>
        <w:t>Available abstract (not full text):</w:t>
      </w:r>
      <w:r>
        <w:t xml:space="preserve"> Amongst all future developments it is the electrification of heat that is anticipated to have the largest impact on seasonal and interannual electricity demand. There is therefore a need to accurately quantify and assess this impact. This paper uses a combination of existing advanced techniques to modify the historic electricity demand to incorporate the impact of heat pumps alone for long-term historic weather data using Great Britain as an example. The methods for generating time series were compared and extensively validated. This includes comparisons with measured data that have not been used previously for this purpose. The research reveals that for predicted 2050 heat pump penetration levels the monthly demand for electricity doubles in winter. This leads to an increase of approximately 30 TWh for each winter month and a 37 % increase in year-to-year variability of electricity demand due to weather. Peak electricity demand is very sensitive to the method of generating heat demand and the assumptions on hourly heat pump operating profiles, suggesting inaccuracies of 25 % in estimates of future peak demand. This work, rather than just assessing the impact of projected changes provides a reference case for policy makers to guide the decision process and planning for future scenarios.</w:t>
      </w:r>
    </w:p>
    <w:p>
      <w:pPr/>
      <w:r>
        <w:rPr>
          <w:b/>
        </w:rPr>
        <w:t>POSSIBLE 2022:</w:t>
      </w:r>
      <w:r>
        <w:t xml:space="preserve"> Interaction between electrified steel production and the north European electricity system — https://doi.org/10.1016/j.apenergy.2022.118584</w:t>
      </w:r>
    </w:p>
    <w:p>
      <w:pPr/>
      <w:r>
        <w:rPr>
          <w:b/>
        </w:rPr>
        <w:t>Shared claim-specific concepts:</w:t>
      </w:r>
      <w:r>
        <w:t xml:space="preserve"> electricity, met, furthermore, transport, sectors, electrified; EU scope visible. This is a provisional connection, not an outcome finding.</w:t>
      </w:r>
    </w:p>
    <w:p>
      <w:pPr>
        <w:pStyle w:val="SourceNote"/>
      </w:pPr>
      <w:r>
        <w:rPr>
          <w:b/>
        </w:rPr>
        <w:t>Available abstract (not full text):</w:t>
      </w:r>
      <w:r>
        <w:t xml:space="preserve">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pPr>
        <w:pStyle w:val="Heading2"/>
      </w:pPr>
      <w:r>
        <w:t>887.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r>
        <w:rPr>
          <w:b/>
        </w:rPr>
        <w:t>POSSIBLE 2023:</w:t>
      </w:r>
      <w:r>
        <w:t xml:space="preserve"> Performance of Bayesian Model Averaging (BMA) for Short-Term Prediction of PM10 Concentration in the Peninsular Malaysia — https://doi.org/10.3390/atmos14020311</w:t>
      </w:r>
    </w:p>
    <w:p>
      <w:pPr/>
      <w:r>
        <w:rPr>
          <w:b/>
        </w:rPr>
        <w:t>Shared claim-specific concepts:</w:t>
      </w:r>
      <w:r>
        <w:t xml:space="preserve"> furthermore, pm10, different, issues; EU scope not established. This is a provisional connection, not an outcome finding.</w:t>
      </w:r>
    </w:p>
    <w:p>
      <w:pPr>
        <w:pStyle w:val="SourceNote"/>
      </w:pPr>
      <w:r>
        <w:rPr>
          <w:b/>
        </w:rPr>
        <w:t>Available abstract (not full text):</w:t>
      </w:r>
      <w:r>
        <w:t xml:space="preserve"> In preparation for the Fourth Industrial Revolution (IR 4.0) in Malaysia, the government envisions a path to environmental sustainability and an improvement in air quality. Air quality measurements were initiated in different backgrounds including urban, suburban, industrial and rural to detect any significant changes in air quality parameters. Due to the dynamic nature of the weather, geographical location and anthropogenic sources, many uncertainties must be considered when dealing with air pollution data. In recent years, the Bayesian approach to fitting statistical models has gained more popularity due to its alternative modelling strategy that accounted for uncertainties for all air quality parameters. Therefore, this study aims to evaluate the performance of Bayesian Model Averaging (BMA) in predicting the next-day PM10 concentration in Peninsular Malaysia. A case study utilized seventeen years’ worth of air quality monitoring data from nine (9) monitoring stations located in Peninsular Malaysia, using eight air quality parameters, i.e., PM10, NO2, SO2, CO, O3, temperature, relative humidity and wind speed. The performances of the next-day PM10 prediction were calculated using five models’ performance evaluators, namely Coefficient of Determination (R2), Index of Agreement (IA), Kling-Gupta efficiency (KGE), Mean Absolute Error (MAE), Root Mean Squared Error (RMSE) and Me</w:t>
      </w:r>
    </w:p>
    <w:p>
      <w:pPr/>
      <w:r>
        <w:rPr>
          <w:b/>
        </w:rPr>
        <w:t>POSSIBLE 2022:</w:t>
      </w:r>
      <w:r>
        <w:t xml:space="preserve"> Impact of PM2.5 and PM10 Emissions on Changes of Their Concentration Levels in Lithuania: A Case Study — https://doi.org/10.3390/atmos13111793</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Due to negative effects on human health and visibility, atmospheric particulate matter (PM) is a prioritized contaminant for urban air pollution management. Over the past few decades, managing emissions have been a top priority. This paper investigated PM national inventory data and mass concentration trends for Lithuania. This analysis considers primary (sum of filterable and condensable) PM2.5 and PM10 emissions from point, mobile on-road and off-road, industry, agriculture, and waste sectors. In this study, by examining both the emissions and the mass concentrations of PM10, the effects of emissions decreasing with a concentration decrease were revealed. The slower decreasing tendency of PM10 and BC (0.03 Gg/year) than that of PM2.5 (0.1 Gg/year) should be noted. Furthermore, the correlation analysis also finds that the increase in PM10 from stationary and mobile combustion sources is closely related to the increase in the contribution to the pollution level.</w:t>
      </w:r>
    </w:p>
    <w:p>
      <w:pPr/>
      <w:r>
        <w:rPr>
          <w:b/>
        </w:rPr>
        <w:t>POSSIBLE 2022:</w:t>
      </w:r>
      <w:r>
        <w:t xml:space="preserve"> Statistical Analysis of PM10 Concentration in the Monterrey Metropolitan Area, Mexico (2010–2018) — https://doi.org/10.3390/atmos13020297</w:t>
      </w:r>
    </w:p>
    <w:p>
      <w:pPr/>
      <w:r>
        <w:rPr>
          <w:b/>
        </w:rPr>
        <w:t>Shared claim-specific concepts:</w:t>
      </w:r>
      <w:r>
        <w:t xml:space="preserve"> furthermore, pm10, concentrations, applying; EU scope not established. This is a provisional connection, not an outcome finding.</w:t>
      </w:r>
    </w:p>
    <w:p>
      <w:pPr>
        <w:pStyle w:val="SourceNote"/>
      </w:pPr>
      <w:r>
        <w:rPr>
          <w:b/>
        </w:rPr>
        <w:t>Available abstract (not full text):</w:t>
      </w:r>
      <w:r>
        <w:t xml:space="preserve"> Air-quality monitoring and analysis are initial parts of a comprehensive strategy to prevent air pollution in cities. In such a context, statistical tools play an important role in determining the time-series trends, locating areas with high pollutant concentrations, and building predictive models. In this work, we analyzed the spatio-temporal behavior of the pollutant PM10 in the Monterrey Metropolitan Area (MMA), Mexico during the period 2010–2018 by applying statistical analysis to the time series of seven environmental stations. First, we used experimental variograms and scientific visualization to determine the general trends and variability in time. Then, fractal exponents (the Hurst rescaled range and Higuchi algorithm) were used to analyze the long-term dependence of the time series and characterize the study area by correlating that dependence with the geographical parameters of each environmental station. The results suggest a linear decrease in PM10 concentration, which showed an annual cyclicity. The autumn-winter period was the most polluted and the spring-summer period was the least. Furthermore, it was found that the highest average concentrations are located in the western and high-altitude zones of the MMA, and that average concentration is related in a quadratic way to the Hurst and Higuchi exponents, which in turn are related to some geographic parameters. Th</w:t>
      </w:r>
    </w:p>
    <w:p>
      <w:pPr/>
      <w:r>
        <w:rPr>
          <w:b/>
        </w:rPr>
        <w:t>POSSIBLE 2022:</w:t>
      </w:r>
      <w:r>
        <w:t xml:space="preserve"> Benefits of future clean air policies in Europe — https://doi.org/10.1097/ee9.0000000000000221</w:t>
      </w:r>
    </w:p>
    <w:p>
      <w:pPr/>
      <w:r>
        <w:rPr>
          <w:b/>
        </w:rPr>
        <w:t>Shared claim-specific concepts:</w:t>
      </w:r>
      <w:r>
        <w:t xml:space="preserve"> concentrations, union, until, available;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pStyle w:val="Heading2"/>
      </w:pPr>
      <w:r>
        <w:t>888.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r>
        <w:rPr>
          <w:b/>
        </w:rPr>
        <w:t>POSSIBLE 2024:</w:t>
      </w:r>
      <w:r>
        <w:t xml:space="preserve"> Life cycle and economic assessment of tidal energy farms in early design phases: Application to a second-generation tidal device — https://doi.org/10.1016/j.heliyon.2024.e32515</w:t>
      </w:r>
    </w:p>
    <w:p>
      <w:pPr/>
      <w:r>
        <w:rPr>
          <w:b/>
        </w:rPr>
        <w:t>Shared claim-specific concepts:</w:t>
      </w:r>
      <w:r>
        <w:t xml:space="preserve"> tidal, ocean, energy, system, emissions; EU scope visible. This is a provisional connection, not an outcome finding.</w:t>
      </w:r>
    </w:p>
    <w:p>
      <w:pPr>
        <w:pStyle w:val="SourceNote"/>
      </w:pPr>
      <w:r>
        <w:rPr>
          <w:b/>
        </w:rPr>
        <w:t>Available abstract (not full text):</w:t>
      </w:r>
      <w:r>
        <w:t xml:space="preserve"> Ocean currents are emerging as key contributors to renewable energy generation. However, technologies for harvesting tidal current energy are still in the early stages of development. In this context, environmental and economic studies on tidal energy converters (TECs) are crucial to further advance tidal technology and facilitate its entry into the market. This article presents a life cycle and economic assessment of a 34.5 MW tidal farm project comprising 23 second-generation tidal devices, each with a rated power of 1.5 MW. The tidal system was simulated using primary data from the full-scale floating platform Atir. The Atir is a pre-commercial tidal device designed with a steel trimaran and a submerged section for TEC installation. An assessment of 18 environmental impact categories was conducted using the ReCiPe 2016 MidPoint method, with process flow systems modelled using SimaPro v9.2.0.1 software. The environmental assessment indicates emissions of 42.11 g CO2eq per kWh, primarily stemming from manufacturing processes that demand substantial amounts of steel. The economic analysis reveals a Levelized Cost of Electricity (LCOE) of 0.125 EUR/kWh, consistent with European Commission projections. Although the platform structure represents a high initial investment, the lower maintenance costs of the Atir device provide long-term savings and, overall, result in a competitive</w:t>
      </w:r>
    </w:p>
    <w:p>
      <w:pPr/>
      <w:r>
        <w:rPr>
          <w:b/>
        </w:rPr>
        <w:t>POSSIBLE 2024:</w:t>
      </w:r>
      <w:r>
        <w:t xml:space="preserve"> Wave and Tidal Energy: A Patent Landscape Study — https://doi.org/10.3390/jmse12111967</w:t>
      </w:r>
    </w:p>
    <w:p>
      <w:pPr/>
      <w:r>
        <w:rPr>
          <w:b/>
        </w:rPr>
        <w:t>Shared claim-specific concepts:</w:t>
      </w:r>
      <w:r>
        <w:t xml:space="preserve"> wave, tidal, ocean, energy, potential, areas; EU scope not established. This is a provisional connection, not an outcome finding.</w:t>
      </w:r>
    </w:p>
    <w:p>
      <w:pPr>
        <w:pStyle w:val="SourceNote"/>
      </w:pPr>
      <w:r>
        <w:rPr>
          <w:b/>
        </w:rPr>
        <w:t>Available abstract (not full text):</w:t>
      </w:r>
      <w:r>
        <w:t xml:space="preserve"> Wave and tidal energy, recognized as vital renewable resources, harness the ocean’s kinetic and potential power. This study aims to provide an in-depth patent analysis of the technological landscape within these sectors. We applied a dual approach: first, a descriptive analysis was conducted to explore patent publication trends, technology lifecycle stages, patent activity by country, top assignees, and IPC classifications. Our analysis provided a detailed overview of the sector’s growth and the key players involved. Second, we utilized topic modeling, specifically BERTopic enhanced with large language models, to identify and fine-tune key technological themes within the patent data. In this study, we identified seven distinct clusters each for wave and tidal energy using this approach. This method led to a novel categorization of the patents, revealing latent themes within the patent data. Although our categorization differs from traditional methods, it provides deeper insights into the thematic focus of the patents, highlighting emerging trends and areas of innovation within wave and tidal energy technologies to better exploit and optimize ocean energy conversion infrastructure.</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2023:</w:t>
      </w:r>
      <w:r>
        <w:t xml:space="preserve"> Observations from structural testing of full-scale tidal turbine blades — https://doi.org/10.36688/ewtec-2023-277</w:t>
      </w:r>
    </w:p>
    <w:p>
      <w:pPr/>
      <w:r>
        <w:rPr>
          <w:b/>
        </w:rPr>
        <w:t>Shared claim-specific concepts:</w:t>
      </w:r>
      <w:r>
        <w:t xml:space="preserve"> aim, combined, tidal, capacity, installed, energy; EU scope visible. This is a provisional connection, not an outcome finding.</w:t>
      </w:r>
    </w:p>
    <w:p>
      <w:pPr>
        <w:pStyle w:val="SourceNote"/>
      </w:pPr>
      <w:r>
        <w:rPr>
          <w:b/>
        </w:rPr>
        <w:t>Available abstract (not full text):</w:t>
      </w:r>
      <w:r>
        <w:t xml:space="preserve"> As the world shifts its reliance from fossil fuels to renewable energy, a reliable, predictable and dependable source of energy is vital; tidal energy provides such a solution. In 2021, the cumulative installed capacity of tidal stream energy in Europe, since 2010, reached 30.2 MW, which is roughly three times as much as the rest of the world. The total electricity produced in Europe from tidal energy increased by 8 GWh to a total of 68 GWh to date. The tidal turbine blades convert the energy in the tidal current to useful mechanical energy that can be converted to electricity. Therefore, the reliability of the blades is paramount to the success for the turbine. Structural testing of composite tidal turbine blades is performed to ensure the design and manufacturing processes [4] produce a reliable component that performs for its design life span. In recent years, a number of structural testing programmes have been performed on full-scale tidal turbine blades, as the sector strives for commercial viability. In this paper, observations during the structural (static, dynamic and fatigue) testing of full-scale tidal turbine blades are presented and discussed. These observations have been made from 5 testing campaigns on full-scale tidal turbine blades at the Large Structures Testing Laboratory in the SFI MaREI centre in the University of Galway. The length of these blades range fro</w:t>
      </w:r>
    </w:p>
    <w:p>
      <w:pPr/>
      <w:r>
        <w:rPr>
          <w:b/>
        </w:rPr>
        <w:t>POSSIBLE 2023:</w:t>
      </w:r>
      <w:r>
        <w:t xml:space="preserve"> Review and assessment of the German tidal energy resource — https://doi.org/10.1007/s40722-023-00309-7</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Abstract To mitigate climate change, a transformation of the energy sector towards a low-emission power generation is necessary. Tidal energy technology has matured in recent years and has the potential to balance Europe’s future power grid. While reviews of the tidal energy resource exist for a number of European countries, along the German North Sea coast is overlooked so far. This paper closes this gap and provides a comprehensive review and assessment of the German tidal energy resource. Germany’s North Sea coast is characterised by comparatively low current velocities and shallow waters. Using available data from the EasyGSH-DB North Sea Model, Germany’s practical tidal energy resource is estimated in a range between 66.6 and 565.8 GWh y $$^{-1}$$ - 1 to, excluding the most energetic sites in the estuaries of Elbe, Weser, and Ems. A stakeholder questionnaire aimed at tidal energy technology developers has shown that it is considered important to further develop the technology towards the use in shallow water and under low current velocities.</w:t>
      </w:r>
    </w:p>
    <w:p>
      <w:pPr/>
      <w:r>
        <w:rPr>
          <w:b/>
        </w:rPr>
        <w:t>POSSIBLE 2023:</w:t>
      </w:r>
      <w:r>
        <w:t xml:space="preserve"> Introduced species in a tidal ecosystem of mud and sand: curse or blessing? — https://doi.org/10.1007/s12526-022-01302-3</w:t>
      </w:r>
    </w:p>
    <w:p>
      <w:pPr/>
      <w:r>
        <w:rPr>
          <w:b/>
        </w:rPr>
        <w:t>Shared claim-specific concepts:</w:t>
      </w:r>
      <w:r>
        <w:t xml:space="preserve"> tidal, capacity, coastal; EU scope visible. This is a provisional connection, not an outcome finding.</w:t>
      </w:r>
    </w:p>
    <w:p>
      <w:pPr>
        <w:pStyle w:val="SourceNote"/>
      </w:pPr>
      <w:r>
        <w:rPr>
          <w:b/>
        </w:rPr>
        <w:t>Available abstract (not full text):</w:t>
      </w:r>
      <w:r>
        <w:t xml:space="preserve"> Abstract For about a century, biodiversity in the tidal Wadden Sea (North Sea, European Atlantic) has increased by more than one hundred introduced species from overseas. Most originate from warmer waters and could facilitate the transformation of this coastal ecosystem to comply with climate warming. Some introduced species promote sediment stabilization and mud accretion. This could help tidal flats to keep up with sea level rise. Although some introduced species also entail negative effects, introductions have diversified lower food web levels, and may benefit foraging birds. So far, no resident populations have gone extinct because an introduced species had established. Rather than degrading the ecosystem, the establishment of introduced species seems to have raised the capacity to follow environmental change. We support increasing efforts against introductions to avoid risk. However, once species are integrated, the common condemnation attitude against “non-natives” or “aliens” ought to be reconsidered for tidal ecosystems of low biodiversity.</w:t>
      </w:r>
    </w:p>
    <w:p>
      <w:pPr/>
      <w:r>
        <w:rPr>
          <w:b/>
        </w:rPr>
        <w:t>POSSIBLE 2023:</w:t>
      </w:r>
      <w:r>
        <w:t xml:space="preserve"> Analysis of the German tidal energy resource — https://doi.org/10.36688/ewtec-2023-682</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 transformation of the energy sector towards a low-emission power generation is needed to mitigate global warming and fight the current climate crisis. In recent years, tidal energy technology has matured and shows potential to balance Europe’s future power grid. While reviews of the tidal energy resource exist for a number of European countries, the potential of tidal energy along the German North Sea coast is overlooked so far. This review closes this gap and provides a first analysis of the German tidal energy resource. Germany’s North Sea coast is characterised by comparatively low current velocities and shallow waters. Using available data from the EasyGSH-DB North Sea Model, Germany’s practical tidal energy resource is estimated at 66.6 GWHy−1, under strong restrictions, excluding the most energetic sites in the estuaries of Elbe, Weser, and Ems. Based on the results, future work for a more detailed analysis is suggested.</w:t>
      </w:r>
    </w:p>
    <w:p>
      <w:pPr>
        <w:pStyle w:val="Heading2"/>
      </w:pPr>
      <w:r>
        <w:t>889.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2023:</w:t>
      </w:r>
      <w:r>
        <w:t xml:space="preserve"> Applying the Purpose Limitation Principle in Smart-City Data-Processing Practices: A European Data Protection Law Perspective — https://doi.org/10.1080/10811680.2023.2180266</w:t>
      </w:r>
    </w:p>
    <w:p>
      <w:pPr/>
      <w:r>
        <w:rPr>
          <w:b/>
        </w:rPr>
        <w:t>Shared claim-specific concepts:</w:t>
      </w:r>
      <w:r>
        <w:t xml:space="preserve"> purpose, two, context, cities; EU scope visible. This is a provisional connection, not an outcome finding.</w:t>
      </w:r>
    </w:p>
    <w:p>
      <w:pPr>
        <w:pStyle w:val="SourceNote"/>
      </w:pPr>
      <w:r>
        <w:rPr>
          <w:b/>
        </w:rPr>
        <w:t>Available abstract (not full text):</w:t>
      </w:r>
      <w:r>
        <w:t xml:space="preserve"> Protection of privacy rights in the context of smart cities is novel, currently underdeveloped, and a hot topic worldwide. This article examines the purpose limitation of European data protection law in the context of smart cities. The “purpose limitation” principle of the General Data Protection Regulation (GDPR) outlines the ways and means of processing personal data to protect individuals’ fundamental right to personal data protection and related risks. The principle, which empowers controller(s) to process data in a controlled manner, requires that controller(s) process personal data only after meeting two fundamental requirements: they must act on the requirements of purpose specification, andthey must perform an “incompatibility test” while processing personal data for further purposes.This article aims to outline the permissible limits of the purpose limitation principle to pursue different purposes in the context of smart cities. Indeed, the principle only applies when controllers process personal data in smart cities. With the authority provided by the principle, data controllers may process personal data for primary and secondary purposes. However, processing purposes cannot go beyond defined restrictions. The study, which is conducted within the European legal framework, deploys a multimethod approach to address different parts of the research question.</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various, size;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Alternative Histories of the White Cube: European Modernism and Mediterranean Vernacular — https://openalex.org/W7111654902</w:t>
      </w:r>
    </w:p>
    <w:p>
      <w:pPr/>
      <w:r>
        <w:rPr>
          <w:b/>
        </w:rPr>
        <w:t>Shared claim-specific concepts:</w:t>
      </w:r>
      <w:r>
        <w:t xml:space="preserve"> purpose, two, alternative, reference; EU scope visible. This is a provisional connection, not an outcome finding.</w:t>
      </w:r>
    </w:p>
    <w:p>
      <w:pPr>
        <w:pStyle w:val="SourceNote"/>
      </w:pPr>
      <w:r>
        <w:rPr>
          <w:b/>
        </w:rPr>
        <w:t>Available abstract (not full text):</w:t>
      </w:r>
      <w:r>
        <w:t xml:space="preserve"> This dissertation investigates historical formulations of the white cube as a link between European modernism and Mediterranean vernacular. Architectural history consistently presents white and cubical modernist designs as resulting from the gradual erasure of ornaments as marks of pastness. The first two chapters of this dissertation shift this paradigm by reframing the historical appearance of bare volumes as resulting not only from the removal of ornament but also from the introduction of Mediterranean vernacular as a shared modernist reference. For this purpose, this dissertation locates the origin of white and cubical designs by seminal architects Adolf Loos (1870-1933), Marcel Breuer (1902-1981), and Le Corbusier (1887-1965) in their encounters with vernacular buildings in Mediterranean countries. Upon their return to Northern Europe, they re-introduced the white façades, flat roofs, and modularity they observed in Greek island villages and North African medinas into their own architectural proposals. This first pair of chapters argues that these architects’ designs for modernist white cubes stem from a primitivist gaze upon the work of vernacular builders. Parallel this demonstration, the third and fourth chapters of this dissertation measure this modernist gaze against discourses formulated by localized Mediterranean figures invested in vernacular traditions. These prot</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2021:</w:t>
      </w:r>
      <w:r>
        <w:t xml:space="preserve"> Educational use of animals in Europe indicates a reluctance to implement alternatives — https://doi.org/10.14573/altex.2011111</w:t>
      </w:r>
    </w:p>
    <w:p>
      <w:pPr/>
      <w:r>
        <w:rPr>
          <w:b/>
        </w:rPr>
        <w:t>Shared claim-specific concepts:</w:t>
      </w:r>
      <w:r>
        <w:t xml:space="preserve"> two, alternative, specific, questions; EU scope visible. This is a provisional connection, not an outcome finding.</w:t>
      </w:r>
    </w:p>
    <w:p>
      <w:pPr>
        <w:pStyle w:val="SourceNote"/>
      </w:pPr>
      <w:r>
        <w:rPr>
          <w:b/>
        </w:rPr>
        <w:t>Available abstract (not full text):</w:t>
      </w:r>
      <w:r>
        <w:t xml:space="preserve"> Animals have been considered an indispensable tool to teach about the functioning of living organisms, to obtain skills necessary for practicing human and veterinary medicine, as well as for acquiring skills for caring for and conducting experiments on animals in laboratories. However, the efficacy of this practice has been questioned in recent decades, and societal views have evolved to place a much stronger emphasis on animal welfare and ethics that needs to be reflected in our teaching and training practices. Currently, many alternatives to harmful animal use are available, and it is not clear why thousands of animals continue to be used every year for educational and training purposes. Therefore, this study aimed to identify reasons for the lack of uptake of non-harmful educational and training methods by analyzing recently published non-technical summaries in the EU and EEA Member States and to provide examples of alternatives for specific learning objectives. Results from non-technical summaries from 18 countries spanning the most recent years (2017-2019) revealed that the two main perceived reasons for continued animal use are: 1) the necessity to use a living animal for “proper” learning and 2) the lack of an adequate alternative. We argue that these reasons often do not reflect reality. In conclusion, we consider it is necessary to place a stronger emphasis on engageme</w:t>
      </w:r>
    </w:p>
    <w:p>
      <w:pPr/>
      <w:r>
        <w:rPr>
          <w:b/>
        </w:rPr>
        <w:t>POSSIBLE 2021:</w:t>
      </w:r>
      <w:r>
        <w:t xml:space="preserve"> OPTVTAM: GAUSS module for Option Pricing via Two Alternative Methods — https://doi.org/10.13140/rg.2.2.29374.61761</w:t>
      </w:r>
    </w:p>
    <w:p>
      <w:pPr/>
      <w:r>
        <w:rPr>
          <w:b/>
        </w:rPr>
        <w:t>Shared claim-specific concepts:</w:t>
      </w:r>
      <w:r>
        <w:t xml:space="preserve"> purpose, two, alternative, context; EU scope visible. This is a provisional connection, not an outcome finding.</w:t>
      </w:r>
    </w:p>
    <w:p>
      <w:pPr>
        <w:pStyle w:val="SourceNote"/>
      </w:pPr>
      <w:r>
        <w:rPr>
          <w:b/>
        </w:rPr>
        <w:t>Available abstract (not full text):</w:t>
      </w:r>
      <w:r>
        <w:t xml:space="preserve"> Options as derivative securities are regularly used by investors and financial institutions. The crucial issue within this context is to determine the fair price of an option. The Black and Scholes (1973) model is regularly used for this purpose. El-Khatib and Hatemi-J (2017) provide a model that can be useful for option pricing during a financial crisis. This Gauss module calculates the premium for the European call and put options using these two mentioned alternative models. In addition, it calculates the price sensitivities (i.e. the Greeks) based on both models. For technical descriptions see (1) Black F. and Scholes M. (1973), The Pricing of Options and Corporate Liabilities, Journal of Political Economy, 81(3), 637-654. (2) El-Khatib, Y. and Hatemi-J, A. (2017), Option valuation and hedging in markets with a crunch, Journal of Economic Studies, 44(5), 801-815.</w:t>
      </w:r>
    </w:p>
    <w:p>
      <w:pPr>
        <w:pStyle w:val="Heading2"/>
      </w:pPr>
      <w:r>
        <w:t>890.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pStyle w:val="Heading2"/>
      </w:pPr>
      <w:r>
        <w:t>891.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2024:</w:t>
      </w:r>
      <w:r>
        <w:t xml:space="preserve"> Effects of reduced pesticide use on winter wheat production in the Canadian Prairies — https://doi.org/10.1139/cjps-2024-0043</w:t>
      </w:r>
    </w:p>
    <w:p>
      <w:pPr/>
      <w:r>
        <w:rPr>
          <w:b/>
        </w:rPr>
        <w:t>Shared claim-specific concepts:</w:t>
      </w:r>
      <w:r>
        <w:t xml:space="preserve"> wheat, yield, compared; EU scope not established. This is a provisional connection, not an outcome finding.</w:t>
      </w:r>
    </w:p>
    <w:p>
      <w:pPr>
        <w:pStyle w:val="SourceNote"/>
      </w:pPr>
      <w:r>
        <w:rPr>
          <w:b/>
        </w:rPr>
        <w:t>Available abstract (not full text):</w:t>
      </w:r>
      <w:r>
        <w:t xml:space="preserve"> Winter wheat ( Triticum aestivum L.) is a highly competitive crop with the potential to enhance on-farm revenue and reduce reliance on crop protection inputs. The adoption of winter wheat in the Canadian Prairies has varied significantly over recent decades; however, improved weed and disease management practices could facilitate stability of hectares cultivated. To assess current and alternative pesticide management practices, we conducted a study across 15 site-years at four locations over 4 years (2018–2022). Experimental treatments included pre-plant weed management (glyphosate vs. glyphosate mixed with pyroxasulfone + carfentrazone-ethyl), in-crop weed management (no in-crop herbicide vs. fall-applied 2,4-D vs. fall-applied 2,4-D + spring-applied site-year-specific herbicides), and in-crop fungicide management (no in-crop fungicide vs. one prothioconazole + tebuconazole application at Zadoks Growth Stage (ZGS) 60 vs. two prothioconazole + tebuconazole applications at ZGS32 and ZGS60). Pre-plant glyphosate alone and glyphosate tank-mixed with pyroxasulfone + carfentrazone-ethyl exhibited comparable effects on grain yield, quality parameters, and agronomic characteristics. In-crop weed management had no significant influence on these factors compared to the no in-crop herbicide control, suggesting that in-crop herbicide applications are unnecessary due to the high competitiv</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A simple method for preserving pollen viability and longevity in wheat — https://doi.org/10.21203/rs.3.rs-2580944/v1</w:t>
      </w:r>
    </w:p>
    <w:p>
      <w:pPr/>
      <w:r>
        <w:rPr>
          <w:b/>
        </w:rPr>
        <w:t>Shared claim-specific concepts:</w:t>
      </w:r>
      <w:r>
        <w:t xml:space="preserve"> based, wheat, determine; EU scope not established. This is a provisional connection, not an outcome finding.</w:t>
      </w:r>
    </w:p>
    <w:p>
      <w:pPr>
        <w:pStyle w:val="SourceNote"/>
      </w:pPr>
      <w:r>
        <w:rPr>
          <w:b/>
        </w:rPr>
        <w:t>Available abstract (not full text):</w:t>
      </w:r>
      <w:r>
        <w:t xml:space="preserve"> Abstract Wheat pollen grains have very short longevity and are non-viable after ~30 minute at room temperature and ~60 minutes at 4°C. Pollen grain viability can be prolonged to ~24 hrs with existing anther preservation methods. Herein, we developed a new and very simple method of spike preservation to prolong pollen viability up to 1 week. The present study was evaluated to determine the effect of storage temperature and duration on the viability and in vitro germination of pollen grains of 50 spring wheat genotypes from two preservation methods of pollens viz, Anther preservation method and Spike preservation method. Pollens collected from both methods were stored at room temperature (22°C), fridge (4°C) for 0 and 1 week. Pollen viability were assessed using Alexander staining techniques with both methods at storage conditions 22°C and 4°C. In vitro germination was determined using liquid germination medium with both methods at 4°C. The results revealed that the pollen viability and in vitro germination as determined by Spike preservation method was highest when pollens were stored at 4°C up to 1 week. In addition, in vitro pollen germination and pollen viability significantly reduced as storage duration increased. It was recorded, that no pollen germination was observed under anther preservation method at storage conditions 4°C after 1 week while 2 to 14% pollen germination </w:t>
      </w:r>
    </w:p>
    <w:p>
      <w:pPr/>
      <w:r>
        <w:rPr>
          <w:b/>
        </w:rPr>
        <w:t>POSSIBLE 2023:</w:t>
      </w:r>
      <w:r>
        <w:t xml:space="preserve"> Pesticide reduction amidst food and feed security concerns in Europe — https://doi.org/10.1038/s43016-023-00834-6</w:t>
      </w:r>
    </w:p>
    <w:p>
      <w:pPr/>
      <w:r>
        <w:rPr>
          <w:b/>
        </w:rPr>
        <w:t>Shared claim-specific concepts:</w:t>
      </w:r>
      <w:r>
        <w:t xml:space="preserve"> based, yield, union; EU scope visible. This is a provisional connection, not an outcome finding.</w:t>
      </w:r>
    </w:p>
    <w:p>
      <w:pPr>
        <w:pStyle w:val="SourceNote"/>
      </w:pPr>
      <w:r>
        <w:rPr>
          <w:b/>
        </w:rPr>
        <w:t>Available abstract (not full text):</w:t>
      </w:r>
      <w:r>
        <w:t xml:space="preserve"> Recent studies have estimated the potential yield impacts of pesticide reductions in the European Union. While these estimates guide policy design, they are often based on worst-case assumptions and rarely account for positive ecological feedbacks that would contribute to sustainable crop yields in the long term.</w:t>
      </w:r>
    </w:p>
    <w:p>
      <w:pPr/>
      <w:r>
        <w:rPr>
          <w:b/>
        </w:rPr>
        <w:t>POSSIBLE 2023:</w:t>
      </w:r>
      <w:r>
        <w:t xml:space="preserve"> Distinct Features Based on Partitioning of the Endophytic Fungi of Cereals and Other Grasses — https://doi.org/10.1128/spectrum.00611-23</w:t>
      </w:r>
    </w:p>
    <w:p>
      <w:pPr/>
      <w:r>
        <w:rPr>
          <w:b/>
        </w:rPr>
        <w:t>Shared claim-specific concepts:</w:t>
      </w:r>
      <w:r>
        <w:t xml:space="preserve"> based, wheat, compared; EU scope not established. This is a provisional connection, not an outcome finding.</w:t>
      </w:r>
    </w:p>
    <w:p>
      <w:pPr>
        <w:pStyle w:val="SourceNote"/>
      </w:pPr>
      <w:r>
        <w:rPr>
          <w:b/>
        </w:rPr>
        <w:t>Available abstract (not full text):</w:t>
      </w:r>
      <w:r>
        <w:t xml:space="preserve"> This study proposes a novel method for diagnosing core microbiotas based on prevalence of community members in a meta-community, which could be determined and supported statistically. Using this approach, the study found stratification in community assembly processes within fungal endophyte communities (FECs) in the stems of wheat and cereal-related wild species. The core and noncore partitions of the FECs exhibited certain degrees of determinism from different aspects. Further analysis revealed abundant and consistent interactions between rare taxa, which might contribute to the determinism process in noncore partitions. Despite minor differences in FEC compositions, wheat FECs showed distinct patterns in community assembly processes compared to wild species, suggesting the effects of domestication on FECs. Overall, our study provided a new approach for identifying core microbiota and provides insights into the community assembly processes within FECs in wheat and related wild species.</w:t>
      </w:r>
    </w:p>
    <w:p>
      <w:pPr/>
      <w:r>
        <w:rPr>
          <w:b/>
        </w:rPr>
        <w:t>POSSIBLE 2022:</w:t>
      </w:r>
      <w:r>
        <w:t xml:space="preserve"> Phosphorus plant removal from European agricultural land — https://doi.org/10.1007/s00003-022-01363-3</w:t>
      </w:r>
    </w:p>
    <w:p>
      <w:pPr/>
      <w:r>
        <w:rPr>
          <w:b/>
        </w:rPr>
        <w:t>Shared claim-specific concepts:</w:t>
      </w:r>
      <w:r>
        <w:t xml:space="preserve"> union, compared, aim; EU scope visible. This is a provisional connection, not an outcome finding.</w:t>
      </w:r>
    </w:p>
    <w:p>
      <w:pPr>
        <w:pStyle w:val="SourceNote"/>
      </w:pPr>
      <w:r>
        <w:rPr>
          <w:b/>
        </w:rPr>
        <w:t>Available abstract (not full text):</w:t>
      </w:r>
      <w:r>
        <w:t xml:space="preserve"> Abstract Phosphorus (P) is an important nutrient for all plant growth and it has become a critical and often imbalanced element in modern agriculture. A proper crop fertilization is crucial for production, farmer profits, and also for ensuring sustainable agriculture. The European Commission has published the Farm to Fork (F2F) Strategy in May 2020, in which the reduction of the use of fertilizers by at least 20% is among one of the main objectives. Therefore, it is important to look for the optimal use of P in order to reduce its pollution effects but also ensure future agricultural production and food security. It is essential to estimate the P budget with the best available data at the highest possible spatial resolution. In this study, we focused on estimating the P removal from soils by crop harvest and removal of crop residues. Specifically, we attempted to estimate the P removal by taking into account the production area and productivity rates of 37 crops for 220 regions in the European Union (EU) and the UK. To estimate the P removal by crops, we included the P concentrations in plant tissues (%), the crop humidity rates, the crop residues production, and the removal rates of the crop residues. The total P removal was about 2.55 million tonnes (Mt) (± 0.23 Mt), with crop harvesting having the larger contribution (ca. 94%) compared to the crop residues removal. A Monte-C</w:t>
      </w:r>
    </w:p>
    <w:p>
      <w:pPr/>
      <w:r>
        <w:rPr>
          <w:b/>
        </w:rPr>
        <w:t>POSSIBLE 2021:</w:t>
      </w:r>
      <w:r>
        <w:t xml:space="preserve"> Improved modelling framework for assessing the interactions between the energy, agriculture, forestry and land use change sectors: Integrating the CAPRI, LUISA-BEES, CBM and POTEnCIA models — https://doi.org/10.2760/900305</w:t>
      </w:r>
    </w:p>
    <w:p>
      <w:pPr/>
      <w:r>
        <w:rPr>
          <w:b/>
        </w:rPr>
        <w:t>Shared claim-specific concepts:</w:t>
      </w:r>
      <w:r>
        <w:t xml:space="preserve"> based, capri, dynamics; EU scope visible. This is a provisional connection, not an outcome finding.</w:t>
      </w:r>
    </w:p>
    <w:p>
      <w:pPr>
        <w:pStyle w:val="SourceNote"/>
      </w:pPr>
      <w:r>
        <w:rPr>
          <w:b/>
        </w:rPr>
        <w:t>Available abstract (not full text):</w:t>
      </w:r>
      <w:r>
        <w:t xml:space="preserve">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pPr>
        <w:pStyle w:val="Heading2"/>
      </w:pPr>
      <w:r>
        <w:t>892.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2022:</w:t>
      </w:r>
      <w:r>
        <w:t xml:space="preserve"> Valentin and his Wild Brother in European Literature: How French is a French Romance? — https://doi.org/10.54103/interfaces-09-08</w:t>
      </w:r>
    </w:p>
    <w:p>
      <w:pPr/>
      <w:r>
        <w:rPr>
          <w:b/>
        </w:rPr>
        <w:t>Shared claim-specific concepts:</w:t>
      </w:r>
      <w:r>
        <w:t xml:space="preserve"> low, national, two; EU scope visible. This is a provisional connection, not an outcome finding.</w:t>
      </w:r>
    </w:p>
    <w:p>
      <w:pPr>
        <w:pStyle w:val="SourceNote"/>
      </w:pPr>
      <w:r>
        <w:rPr>
          <w:b/>
        </w:rPr>
        <w:t>Available abstract (not full text):</w:t>
      </w:r>
      <w:r>
        <w:t xml:space="preserve"> The medieval romance about the two brothers Valentin and Orson (also known as Nameless) crossed various linguistic and cultural borders in the European Middle Ages and beyond. It is said to have originated in a Francophone context, but the French origin, which is believed to be a chanson de geste, has not been preserved – the earliest surviving sources are three Middle Dutch fragments. The different versions of the tale are generally divided into two strands: the first covers versions in Middle Dutch, Middle Low German, Middle High German, and Old Swedish, and the second includes versions in French, English, German, Dutch, Italian, Icelandic, and Yiddish. In this article, we give an up-to-date overview of the two strands and raise the question whether Valentin should be considered as a primarily French tradition. We argue that Valentin cannot be understood only in a monolingual or national context, and that a linear model of transmission does not do justice to the complexity of this tradition. We consider what it means to approach Valentin as a shared European narrative, how each version places itself in this larger tradition, and what insight this approach can give us into the tension as well as fruitful co-existence between local and supralocal. By putting the different versions of the tale in dialogue and paying attention to the places and social networks along which they tr</w:t>
      </w:r>
    </w:p>
    <w:p>
      <w:pPr/>
      <w:r>
        <w:rPr>
          <w:b/>
        </w:rPr>
        <w:t>POSSIBLE 2021:</w:t>
      </w:r>
      <w:r>
        <w:t xml:space="preserve"> Retrospection, Regret, and Contingency in Dickens’s Late Midlives — https://doi.org/10.7146/ageculturehumanities.v5i.130863</w:t>
      </w:r>
    </w:p>
    <w:p>
      <w:pPr/>
      <w:r>
        <w:rPr>
          <w:b/>
        </w:rPr>
        <w:t>Shared claim-specific concepts:</w:t>
      </w:r>
      <w:r>
        <w:t xml:space="preserve"> publication, contingency, population, representations, two, demographic; EU scope not established. This is a provisional connection, not an outcome finding.</w:t>
      </w:r>
    </w:p>
    <w:p>
      <w:pPr>
        <w:pStyle w:val="SourceNote"/>
      </w:pPr>
      <w:r>
        <w:rPr>
          <w:b/>
        </w:rPr>
        <w:t>Available abstract (not full text):</w:t>
      </w:r>
      <w:r>
        <w:t xml:space="preserve"> This essay explores Dickens’s representations of male anxieties over aging and argues both that contingency—a character’s dawning recognition that their life might have been otherwise—haunts Dickens’s midlife narratives and that a developing cultural awareness of midlife as a life-stage is central to the Victorian fascination with unlived lives. It traces developments in Dickens’s own sense of midlife’s particularity to two sources: a recognition of the bodily changes that accompany the process of aging (such as his own graying hair, which he sought to disguise cosmetically through hair and moustache dyes) and his membership of a generation whose life chances were determined by a demographic bulge caused by a rapid expansion of Britain’s middle-aged and elderly population. Both of these circumstances engender an overwhelming sense of regret in the aging protagonists of novels such as David Copperfield (1849-1850), Great Expectations (1860-1861), and Our Mutual Friend (1864-1865), whose midlives are spent thinking, and sometimes writing, about the youthful choices that shaped their later lives. It is only with the publication of the late portmanteau tale “Mugby Junction” that Dickens finds himself able to imagine a midlife in which the aging individuals possess agency and are empowered to cast off the determining and contingent events of their Bildungsroman narratives and engage</w:t>
      </w:r>
    </w:p>
    <w:p>
      <w:pPr/>
      <w:r>
        <w:rPr>
          <w:b/>
        </w:rPr>
        <w:t>POSSIBLE 2021:</w:t>
      </w:r>
      <w:r>
        <w:t xml:space="preserve"> Economic costs of invasive alien species across Europe — https://doi.org/10.3897/neobiota.67.58196</w:t>
      </w:r>
    </w:p>
    <w:p>
      <w:pPr/>
      <w:r>
        <w:rPr>
          <w:b/>
        </w:rPr>
        <w:t>Shared claim-specific concepts:</w:t>
      </w:r>
      <w:r>
        <w:t xml:space="preserve"> france, multiple, population, thus, countries;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Globalization, economic development, and corruption: A cross-lagged contingency perspective — https://doi.org/10.1057/s42214-020-00091-5</w:t>
      </w:r>
    </w:p>
    <w:p>
      <w:pPr/>
      <w:r>
        <w:rPr>
          <w:b/>
        </w:rPr>
        <w:t>Shared claim-specific concepts:</w:t>
      </w:r>
      <w:r>
        <w:t xml:space="preserve"> contingency, low, two, countries; EU scope not established. This is a provisional connection, not an outcome finding.</w:t>
      </w:r>
    </w:p>
    <w:p>
      <w:pPr>
        <w:pStyle w:val="SourceNote"/>
      </w:pPr>
      <w:r>
        <w:rPr>
          <w:b/>
        </w:rPr>
        <w:t>Available abstract (not full text):</w:t>
      </w:r>
      <w:r>
        <w:t xml:space="preserve"> Abstract The 2020 health and economic crisis has exacerbated tensions and debates over whether globalization benefits economic development, as countries face both pressures to enhance economic opportunities through globalization and populist movements seeking protection from global forces. We first review perspectives that offer competing evidence about the role of globalization in regard to economic development and corruption. Drawing on resource dependence and institutional theory, we test the two contingencies of the country’s stage of economic development (low, lower-middle, upper-middle, high) and the globalization dimension (economic, social, political) at play to reconcile competing findings. Using a cross-lagged panel design, we show that these contingencies significantly explain when and what type of globalization can benefit a country’s economy and affect corruption. In doing so, the study provides a platform for future research, and identifies important patterns that can better guide policymaking. Among other results, we find low-income countries’ GDP and corruption benefit the most from the formal dimensions of globalization. With increased wealth, countries are more responsive to the legitimacy accrued with the informal dimensions of globalization, which we find comes at the expense of economic efficiency for high-income countries.</w:t>
      </w:r>
    </w:p>
    <w:p>
      <w:pPr/>
      <w:r>
        <w:rPr>
          <w:b/>
        </w:rPr>
        <w:t>POSSIBLE 2020:</w:t>
      </w:r>
      <w:r>
        <w:t xml:space="preserve"> Discourse and Strategic Use of the Military in France and Europe in the COVID‐19 Crisis — https://doi.org/10.1111/tesg.12451</w:t>
      </w:r>
    </w:p>
    <w:p>
      <w:pPr/>
      <w:r>
        <w:rPr>
          <w:b/>
        </w:rPr>
        <w:t>Shared claim-specific concepts:</w:t>
      </w:r>
      <w:r>
        <w:t xml:space="preserve"> france, population, national; EU scope visible. This is a provisional connection, not an outcome finding.</w:t>
      </w:r>
    </w:p>
    <w:p>
      <w:pPr>
        <w:pStyle w:val="SourceNote"/>
      </w:pPr>
      <w:r>
        <w:rPr>
          <w:b/>
        </w:rPr>
        <w:t>Available abstract (not full text):</w:t>
      </w:r>
      <w:r>
        <w:t xml:space="preserve">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pPr>
        <w:pStyle w:val="Heading2"/>
      </w:pPr>
      <w:r>
        <w:t>893.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r>
        <w:rPr>
          <w:b/>
        </w:rPr>
        <w:t>POSSIBLE 2025:</w:t>
      </w:r>
      <w:r>
        <w:t xml:space="preserve"> Economic performance and energy management - cross-sectional analysis and comparison for EU27 member states — https://doi.org/10.15196/rs150605</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The European Union's climate neutrality ambitions pose significant challenges for member states in terms of energy production, consumption and greenhouse gas emissions. The 2030 targets set out packages of measures that provide both a justification and a timely opportunity to explore the relationship between economic performance and certain indicators of energy management, with a view to answering the question of how the relationship between the different variables has evolved over time: have we seen a structural change or is the change more gradual? To this end, the present study examines the relationship between the relevant indicators (GDP, energy production/use, greenhouse gas emissions) of the 27 EU member states using multivariate statistical methods for the year 2012 and compares it with data from an analysis already carried out for the year 2022 (Erőss et al. 2025). In addition to presenting the changes identified using descriptive statistical tools, the study will use correlation analysis to assess the relationship between the individual indicators and principal component analysis to identify the key factors that play a role in the evolution of each variable. Finally, the authors use cluster analysis to highlight the changes that have taken place over the 10 years, by showing the differences between the country groupings. The results of the research do not show signifi</w:t>
      </w:r>
    </w:p>
    <w:p>
      <w:pPr/>
      <w:r>
        <w:rPr>
          <w:b/>
        </w:rPr>
        <w:t>POSSIBLE 2025:</w:t>
      </w:r>
      <w:r>
        <w:t xml:space="preserve"> The dynamics of European agri-food sector and environmental challenges in Europe: An economic perspective — https://doi.org/10.1186/s40100-025-00416-z</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Agriculture’s environmental footprint is sustainably challenging in terms of environmental footprint, a context in which the main focus of our research lies on identifying directions for specific sustainable practices in the EU27 for the period 2011–2022 using the SEM (structural equation model), GMM (generalized method of moments) system and orientative forecasting to 2027, starting from a VAR (vector autoregression) model. The SEM results show that the agri-food production is the outcome of the interaction between agriculture, demographics and sustainability. Agricultural land plays a central role, with positive direct effects on the cultivated land and negative indirect effects on the environment. The increasing consumption of fertilizers favors production, less the environment. The GMM system confirms the negative direct effects of cultivated land and food production on the environment and the negative indirect effects of the population. European agri-food production, in conjunction with the change in population behavior, is slowly advancing toward sustainability and thus certifying the effectiveness of common environmental measures, even if not at the desired pace and adequate level. The forecast shows the trend of reducing total emissions and increasing those in the agricultural sector. The paper highlights the need for a compensation between the efficiency of Eu</w:t>
      </w:r>
    </w:p>
    <w:p>
      <w:pPr>
        <w:pStyle w:val="Heading2"/>
      </w:pPr>
      <w:r>
        <w:t>894.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leading, predict, based;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here, data, globally, based;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here, climate, bioclimatic, data, two, predict;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The Capability of Deep Learning Model to Predict Ozone Across Continents in China, the United States and Europe — https://doi.org/10.1029/2023gl104928</w:t>
      </w:r>
    </w:p>
    <w:p>
      <w:pPr/>
      <w:r>
        <w:rPr>
          <w:b/>
        </w:rPr>
        <w:t>Shared claim-specific concepts:</w:t>
      </w:r>
      <w:r>
        <w:t xml:space="preserve"> here, data, predict, indicate; EU scope visible. This is a provisional connection, not an outcome finding.</w:t>
      </w:r>
    </w:p>
    <w:p>
      <w:pPr>
        <w:pStyle w:val="SourceNote"/>
      </w:pPr>
      <w:r>
        <w:rPr>
          <w:b/>
        </w:rPr>
        <w:t>Available abstract (not full text):</w:t>
      </w:r>
      <w:r>
        <w:t xml:space="preserve"> Abstract Data‐driven methods have been extensively applied to predict atmospheric compositions. Here, we explore the capability of a deep learning (DL) model to make ozone (O3) predictions across continents in China, the United States (US) and Europe. The DL model was trained and validated with surface O3 observations in China and the US in 2015–2018. The DL model was applied to predict hourly surface O3 over three continents in 2015–2022. Compared to baseline simulations using GEOS‐Chem (GC) model, our analysis exhibits mean biases of 2.6 and 4.8 μg/m3 with correlation coefficients of 0.94 and 0.93 (DL); and mean biases of 3.7 and 5.4 μg/m3 with correlation coefficients of 0.95 and 0.92 (GC) in Europe in 2015–2018 and 2019–2022, respectively. The comparable performances between DL and GC indicate the potential of DL to make reliable predictions over spatial and temporal domains where a wealth of local observations for training is not available.</w:t>
      </w:r>
    </w:p>
    <w:p>
      <w:pPr/>
      <w:r>
        <w:rPr>
          <w:b/>
        </w:rPr>
        <w:t>POSSIBLE 2022:</w:t>
      </w:r>
      <w:r>
        <w:t xml:space="preserve"> Trade‐Offs for Climate‐Smart Forestry in Europe Under Uncertain Future Climate — https://doi.org/10.1029/2022ef002796</w:t>
      </w:r>
    </w:p>
    <w:p>
      <w:pPr/>
      <w:r>
        <w:rPr>
          <w:b/>
        </w:rPr>
        <w:t>Shared claim-specific concepts:</w:t>
      </w:r>
      <w:r>
        <w:t xml:space="preserve"> here, climate, emission; EU scope visible. This is a provisional connection, not an outcome finding.</w:t>
      </w:r>
    </w:p>
    <w:p>
      <w:pPr>
        <w:pStyle w:val="SourceNote"/>
      </w:pPr>
      <w:r>
        <w:rPr>
          <w:b/>
        </w:rPr>
        <w:t>Available abstract (not full text):</w:t>
      </w:r>
      <w:r>
        <w:t xml:space="preserve">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pPr>
        <w:pStyle w:val="Heading2"/>
      </w:pPr>
      <w:r>
        <w:t>895.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r>
        <w:rPr>
          <w:b/>
        </w:rPr>
        <w:t>POSSIBLE 2023:</w:t>
      </w:r>
      <w:r>
        <w:t xml:space="preserve"> Reviving Social Europe: a critical assessment of EU social policy in the wake of multiple crises — https://doi.org/10.17979/ejge.2023.12.2.9541</w:t>
      </w:r>
    </w:p>
    <w:p>
      <w:pPr/>
      <w:r>
        <w:rPr>
          <w:b/>
        </w:rPr>
        <w:t>Shared claim-specific concepts:</w:t>
      </w:r>
      <w:r>
        <w:t xml:space="preserve"> further, issues, focus, economy; EU scope visible. This is a provisional connection, not an outcome finding.</w:t>
      </w:r>
    </w:p>
    <w:p>
      <w:pPr>
        <w:pStyle w:val="SourceNote"/>
      </w:pPr>
      <w:r>
        <w:rPr>
          <w:b/>
        </w:rPr>
        <w:t>Available abstract (not full text):</w:t>
      </w:r>
      <w:r>
        <w:t xml:space="preserve"> The concept of "Social Europe" encompasses the European Union's social policy framework. This paper argues that the financial crisis of 2007-2009, the subsequent Euro crisis, and the ensuing austerity measures diverted significant attention away from Social Europe. This neglect led to declining living standards, reductions in public services, and the emergence of critical challenges such as the gig economy. In recent years, the COVID-19 pandemic has further exacerbated these issues, prompting a renewed focus on Social Europe by EU institutions. This paper conducts a chronological analysis of recent legislative (acquis) and non-legislative (soft power) instruments implemented to address these challenges and assesses the prospects of Social Europe in the near term.</w:t>
      </w:r>
    </w:p>
    <w:p>
      <w:pPr/>
      <w:r>
        <w:rPr>
          <w:b/>
        </w:rPr>
        <w:t>POSSIBLE 2023:</w:t>
      </w:r>
      <w:r>
        <w:t xml:space="preserve"> Further steps in the digitalisation of tax law — https://doi.org/10.35925/j.multi.2023.2.19</w:t>
      </w:r>
    </w:p>
    <w:p>
      <w:pPr/>
      <w:r>
        <w:rPr>
          <w:b/>
        </w:rPr>
        <w:t>Shared claim-specific concepts:</w:t>
      </w:r>
      <w:r>
        <w:t xml:space="preserve"> steps, further, technological; EU scope not established. This is a provisional connection, not an outcome finding.</w:t>
      </w:r>
    </w:p>
    <w:p>
      <w:pPr>
        <w:pStyle w:val="SourceNote"/>
      </w:pPr>
      <w:r>
        <w:rPr>
          <w:b/>
        </w:rPr>
        <w:t>Available abstract (not full text):</w:t>
      </w:r>
      <w:r>
        <w:t xml:space="preserve"> The digitalization of tax law has a decade-long history, the primary goal of which is to increase government revenues and reduce tax evasion. Several elements of this digitalization process are known: the online cash register, the Electronic Road Traffic Control System (EKÁER) system and the Online Invoicing System. My main objective is to prove how useful the state-of-the-art technological solutions that have been debuting in recent years are from the point of view of public finances, since, for example, VAT revenues have more than doubled. In this study, I undertake to review the most important rules of the Online Invoicing System. After examining the legal background, I am processing a case brought before the Curia in which the plaintiff of the dispute was a VAT taxpayer who was unentitled to deduct tax, and the defendant was the Appeal Directorate of the National Tax and Customs Administration (NAV). Next, I will look at an Argentine procedure, electronic invoicing – e-Factura in Spanish – which has been optional on a voluntary basis since 2003 and has become mandatory for all taxpayers subject to VAT since 2016. The introduction of the new system was implemented in stages and was finally fully implemented by 2019. At the end of the article, I discuss the changes affecting the Hungarian regulations in 2023, and then I present the revised rules of e-VAT and finally the e-rec</w:t>
      </w:r>
    </w:p>
    <w:p>
      <w:pPr>
        <w:pStyle w:val="Heading2"/>
      </w:pPr>
      <w:r>
        <w:t>896.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r>
        <w:rPr>
          <w:b/>
        </w:rPr>
        <w:t>POSSIBLE 2022:</w:t>
      </w:r>
      <w:r>
        <w:t xml:space="preserve"> Experimental study on basic mechanical properties of recycled steel fiber reinforced concrete — https://doi.org/10.1515/rams-2022-0041</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Abstract Recycled steel fiber (RSF)-reinforced concrete is not only an innovative research trend in the field of civil engineering materials, but also a new type of civil engineering composites under the trend of low-carbon development. This article deals with the experimental study of applying waste steel fibers to form recycled steel fiber concrete (RSFC). The main materials in this study are RSF, coarse and fine aggregate, fly ash, silica fume, and water reducer agent formed by machining surplus materials as the main materials. Three types of concrete were prepared. They were normal concrete, primary steel fiber concrete (PSFC), and RSFC with six different volume contents. The slump and air content of the three types of concrete are compared and analyzed. Then, the effects of the volume content of RSF on the cube compressive strength, splitting tensile strength, flexural strength, and axial compressive strength of RSFC are studied. Finally, the toughness of RSFC is discussed. The test results show that with the increase in the volume content of RSF, the slump of RSFC is significantly reduced, the compressive strength, tensile strength, and flexural strength are enhanced, the increase in tensile strength and flexural strength is significantly higher than the cube compressive strength, and the RSF has an obvious inhibitory effect on the development of concrete cracks which can</w:t>
      </w:r>
    </w:p>
    <w:p>
      <w:pPr>
        <w:pStyle w:val="Heading2"/>
      </w:pPr>
      <w:r>
        <w:t>897.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2024:</w:t>
      </w:r>
      <w:r>
        <w:t xml:space="preserve"> Exploring agroforestry limiting factors and digitalization perspectives: insights from a european multi-actor appraisal — https://doi.org/10.1007/s10457-024-01047-x</w:t>
      </w:r>
    </w:p>
    <w:p>
      <w:pPr/>
      <w:r>
        <w:rPr>
          <w:b/>
        </w:rPr>
        <w:t>Shared claim-specific concepts:</w:t>
      </w:r>
      <w:r>
        <w:t xml:space="preserve"> there, need, stakeholders; EU scope visible. This is a provisional connection, not an outcome finding.</w:t>
      </w:r>
    </w:p>
    <w:p>
      <w:pPr>
        <w:pStyle w:val="SourceNote"/>
      </w:pPr>
      <w:r>
        <w:rPr>
          <w:b/>
        </w:rPr>
        <w:t>Available abstract (not full text):</w:t>
      </w:r>
      <w:r>
        <w:t xml:space="preserve"> Abstract Despite its potential for fostering farm sustainability, the adoption of agroforestry faces context-dependent challenges, among which the (perceived) shortage of decision-supporting tools and barriers hindering the assessment of economic, environmental, and social benefits. The process of digitalization offers significant opportunities to enhance sustainability, but it remains crucial to foster a human-centric, fair, and sustainable approach. In the context of the DigitAF Horizon Europe project, we present the results of a multi-stakeholder questionnaire aimed at understanding the perceptions of stakeholders regarding agroforestry and digitalization, as well as the needs of these stakeholders for a successful implementation of this agricultural practice. In the questionnaire, there was a specific focus on the need for and the conditions for the use of digital tools and models, such as generalized digital tools, applications and mapping, climate and weather forecasting and recording, farm management and decision support, and agroforestry and environmental tools. The purpose of this survey was to provide insights to inform agroforestry actors and to foster collaborative initiatives that enhance the potential of digital tools to support the design, implementation, and maintenance of effective and sustainable agroforestry in the European context. Our questionnaire was comp</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r>
        <w:rPr>
          <w:b/>
        </w:rPr>
        <w:t>POSSIBLE 2023:</w:t>
      </w:r>
      <w:r>
        <w:t xml:space="preserve"> Exploring the effects of protected area networks on the European land system — https://doi.org/10.1016/j.jenvman.2023.117741</w:t>
      </w:r>
    </w:p>
    <w:p>
      <w:pPr/>
      <w:r>
        <w:rPr>
          <w:b/>
        </w:rPr>
        <w:t>Shared claim-specific concepts:</w:t>
      </w:r>
      <w:r>
        <w:t xml:space="preserve"> different, need, across; EU scope visible. This is a provisional connection, not an outcome finding.</w:t>
      </w:r>
    </w:p>
    <w:p>
      <w:pPr>
        <w:pStyle w:val="SourceNote"/>
      </w:pPr>
      <w:r>
        <w:rPr>
          <w:b/>
        </w:rPr>
        <w:t>Available abstract (not full text):</w:t>
      </w:r>
      <w:r>
        <w:t xml:space="preserve">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three, across;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898.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2024:</w:t>
      </w:r>
      <w:r>
        <w:t xml:space="preserve"> Internationalization accelerators in automotive sector companies — https://doi.org/10.29119/1641-3466.2024.211.20</w:t>
      </w:r>
    </w:p>
    <w:p>
      <w:pPr/>
      <w:r>
        <w:rPr>
          <w:b/>
        </w:rPr>
        <w:t>Shared claim-specific concepts:</w:t>
      </w:r>
      <w:r>
        <w:t xml:space="preserve"> conclusions, recommendations, internationalization, process, international, findings; EU scope not established. This is a provisional connection, not an outcome finding.</w:t>
      </w:r>
    </w:p>
    <w:p>
      <w:pPr>
        <w:pStyle w:val="SourceNote"/>
      </w:pPr>
      <w:r>
        <w:rPr>
          <w:b/>
        </w:rPr>
        <w:t>Available abstract (not full text):</w:t>
      </w:r>
      <w:r>
        <w:t xml:space="preserve"> Purpose: The main aim of the article is to identify and describe the accelerators of internationalization of automotive companies, i.e. the factors that create the conditions for this process to occur and significantly strengthen it.An additional goal is to group these factors according to specific criteria and try to determine their importance using specific examples.Design/methodology/approach: The study used mixed research methods.The research began with literature studies.They allowed for determining the current state of knowledge in the studied area and formulating the research problem.The actual research was conducted using the qualitative approach.Case studies supported by data from secondary sources are an important element of the research.Findings: All factors enabling and accelerating the internationalization process can be classified into one of four groups: politics, market, costs and competition.Each of these groups is characterized by features common within this group and significantly different from those of the other groups.With the passage of time and with evolution of the global economy, the importance of the described factors and the strength of their impact on the overall shape of enterprise internationalization are changing. Research limitations/implications:The research expands scientific knowledge of factors that determine the background of the internatio</w:t>
      </w:r>
    </w:p>
    <w:p>
      <w:pPr/>
      <w:r>
        <w:rPr>
          <w:b/>
        </w:rPr>
        <w:t>POSSIBLE 2024:</w:t>
      </w:r>
      <w:r>
        <w:t xml:space="preserve"> Conclusions with Recommendations — https://doi.org/10.4324/9781003361169-18</w:t>
      </w:r>
    </w:p>
    <w:p>
      <w:pPr/>
      <w:r>
        <w:rPr>
          <w:b/>
        </w:rPr>
        <w:t>Shared claim-specific concepts:</w:t>
      </w:r>
      <w:r>
        <w:t xml:space="preserve"> conclusions, recommendations, higher, education, key; EU scope not established. This is a provisional connection, not an outcome finding.</w:t>
      </w:r>
    </w:p>
    <w:p>
      <w:pPr>
        <w:pStyle w:val="SourceNote"/>
      </w:pPr>
      <w:r>
        <w:rPr>
          <w:b/>
        </w:rPr>
        <w:t>Available abstract (not full text):</w:t>
      </w:r>
      <w:r>
        <w:t xml:space="preserve"> The final chapter covers the key lessons learned throughout the research. They concern mishaps, misunderstandings as well as good practices and opportunities for cooperation between universities and non-governmental organizations in discussed countries. The chapter provides also more general conclusions and shows how the data collected and analysed on cross-sectoral cooperation can be used to foster civil society. Moving beyond the case of one specific country allows us to share not only recommendations on how to intensify cooperation between the third sector and the sector of higher education, but also enables to indicate areas and needs for further research.</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r>
        <w:rPr>
          <w:b/>
        </w:rPr>
        <w:t>POSSIBLE 2023:</w:t>
      </w:r>
      <w:r>
        <w:t xml:space="preserve"> Internationalization of Quality Assurance as a Pre-Requisite for Internationalization in Higher Education — https://doi.org/10.2478/seeur-2023-0099</w:t>
      </w:r>
    </w:p>
    <w:p>
      <w:pPr/>
      <w:r>
        <w:rPr>
          <w:b/>
        </w:rPr>
        <w:t>Shared claim-specific concepts:</w:t>
      </w:r>
      <w:r>
        <w:t xml:space="preserve"> internationalization, higher, education, based, process, international; EU scope visible. This is a provisional connection, not an outcome finding.</w:t>
      </w:r>
    </w:p>
    <w:p>
      <w:pPr>
        <w:pStyle w:val="SourceNote"/>
      </w:pPr>
      <w:r>
        <w:rPr>
          <w:b/>
        </w:rPr>
        <w:t>Available abstract (not full text):</w:t>
      </w:r>
      <w:r>
        <w:t xml:space="preserve"> Abstract There are multiple positive effects of internationalization of Higher Education (HE) on enriching students’ experiences in general and providing opportunities for exchange and development of all segments of university functioning. This paper aims to contribute to determining the role of institutional QA in promotion of the international cooperation in HE by analysing undergraduate students’ perceptions on their international experience and comparing them to their home University. Individual experiences of students from the Southeast European University (SEEU) in North Macedonia, who participated in Erasmus exchange program in the last two academic years (2021/22 and 2022/23), with regard to the main quality assurance (QA) principles and measurements applied at their home University, are being considered. Their academic progress at the international universities is also taken into consideration. The aim is to collect firsthand information from the main stakeholders in the QA process about areas that can be further developed, as well as to position SEEU and self-check where it stands comparing and benchmarking it with some reputable European universities in order to better prepare its students for the international job market. SEEU has one of the most developed QA systems in the wider region, created and constantly being developed based on the international standards and</w:t>
      </w:r>
    </w:p>
    <w:p>
      <w:pPr>
        <w:pStyle w:val="Heading2"/>
      </w:pPr>
      <w:r>
        <w:t>899.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2023:</w:t>
      </w:r>
      <w:r>
        <w:t xml:space="preserve"> Les « groupes Medvedkine » (1967-1974), transfert tardif de la culture d’agit-prop soviétique ? — https://openalex.org/W4364379400</w:t>
      </w:r>
    </w:p>
    <w:p>
      <w:pPr/>
      <w:r>
        <w:rPr>
          <w:b/>
        </w:rPr>
        <w:t>Shared claim-specific concepts:</w:t>
      </w:r>
      <w:r>
        <w:t xml:space="preserve"> lui, les, pour, une; EU scope visible. This is a provisional connection, not an outcome finding.</w:t>
      </w:r>
    </w:p>
    <w:p>
      <w:pPr>
        <w:pStyle w:val="SourceNote"/>
      </w:pPr>
      <w:r>
        <w:rPr>
          <w:b/>
        </w:rPr>
        <w:t>Available abstract (not full text):</w:t>
      </w:r>
      <w:r>
        <w:t xml:space="preserve"> De 1967 à 1974, des collectifs d’ouvriers-cinéastes appelés « groupes Medvedkine » se formèrent en France, dans le sillon des grèves de l’industrie textile et automobile de Besançon et de Sochaux, sous l’impulsion du cinéaste Chris Marker (1921-2012). Ces groupes représentèrent en France une expérience à la fois sociale et créatrice de cinéma militant, caractérisée par l’appropriation par les ouvriers eux-mêmes du processus de création des films au service d’une représentation autonome et réflexive de leurs luttes. Mais de quoi Medvedkine est-il le nom ? Il s’agit pour Marker de matérialiser un lien de filiation : celle qu’il souhaite établir entre le combat idéologique et militant du cinéaste soviétique Alexandre Medvedkine (1900-1989), dans les années 1920 et au début des années 1930 en URSS (incarnée par son « Ciné-train »), et celui des ouvriers français, dont le projet lui semble fondamentalement lié, puisque ceux-ci expriment dès la fin de l’année 1967 la volonté, comme Medvedkine y invitait ouvriers et paysans russes, de s’approprier le discours cinématographique qui les concerne.</w:t>
      </w:r>
    </w:p>
    <w:p>
      <w:pPr/>
      <w:r>
        <w:rPr>
          <w:b/>
        </w:rPr>
        <w:t>POSSIBLE 2023:</w:t>
      </w:r>
      <w:r>
        <w:t xml:space="preserve"> Optimization Methods for Renewable Energy Communities : Operations, Benefit Sharing, Flexibility Provision, Expansion — https://doi.org/10.70675/f607ae6bz0493z453fz8caez1ed024e5ee71</w:t>
      </w:r>
    </w:p>
    <w:p>
      <w:pPr/>
      <w:r>
        <w:rPr>
          <w:b/>
        </w:rPr>
        <w:t>Shared claim-specific concepts:</w:t>
      </w:r>
      <w:r>
        <w:t xml:space="preserve"> second, transition; EU scope visible. This is a provisional connection, not an outcome finding.</w:t>
      </w:r>
    </w:p>
    <w:p>
      <w:pPr>
        <w:pStyle w:val="SourceNote"/>
      </w:pPr>
      <w:r>
        <w:rPr>
          <w:b/>
        </w:rPr>
        <w:t>Available abstract (not full text):</w:t>
      </w:r>
      <w:r>
        <w:t xml:space="preserve"> In the energy transition era, the need for more sustainable energy solutions is inevitable. It pushes transformations within the energy systems, leading to the adoption of renewable energy and a shift from a centralized architecture toward more decentralized systems. This shift assigns active roles to end-users, as they evolve into "prosumers." These prosumers possess distributed energy resources (DER) to generate energy locally, allowing them to be more independent and reduce their carbon footprint. Local energy communities extend this feature by allowing exchanges and transactions between neighboring end-users.This thesis is based on an industrial PhD with a French start-up company, SWEEN, which plays a role as an operator of renewable energy communities. We focus on the effective management of energy communities (EC) across various dimensions. The primary objective is to achieve collective social welfare while ensuring fairness among members. To address this, we propose a Two-Stage Management Strategy where the first stage investigates the operational control of flexible DERs through energy management strategies (EMS) and the second stage is dedicated to the allocation of community generation to each member using coefficients known as "keys of repartition" (KOR). Our analysis encompasses a comprehensive array of forty combinations, ranging from basic to advanced strategies i</w:t>
      </w:r>
    </w:p>
    <w:p>
      <w:pPr/>
      <w:r>
        <w:rPr>
          <w:b/>
        </w:rPr>
        <w:t>POSSIBLE 2023:</w:t>
      </w:r>
      <w:r>
        <w:t xml:space="preserve"> À la recherche de mythes transnationaux pour notre époque : le diptyque Kassandra/Prometheus. Recht auf Welt de Kevin Rittberger — https://doi.org/10.4000/rgi.3821</w:t>
      </w:r>
    </w:p>
    <w:p>
      <w:pPr/>
      <w:r>
        <w:rPr>
          <w:b/>
        </w:rPr>
        <w:t>Shared claim-specific concepts:</w:t>
      </w:r>
      <w:r>
        <w:t xml:space="preserve"> second, les, pour, une; EU scope not established. This is a provisional connection, not an outcome finding.</w:t>
      </w:r>
    </w:p>
    <w:p>
      <w:pPr>
        <w:pStyle w:val="SourceNote"/>
      </w:pPr>
      <w:r>
        <w:rPr>
          <w:b/>
        </w:rPr>
        <w:t>Available abstract (not full text):</w:t>
      </w:r>
      <w:r>
        <w:t xml:space="preserve"> Créé en 2019 au Marstall Theater de Munich, le diptyque Kassandra/Prometheus. Recht auf Welt du dramaturge Kevin Rittberger aborde sous deux angles la question de la migration. Kassandra oder die Welt als Ende der Vorstellung retrace le parcours fictif de Blessing, depuis son départ contraint de son village du Niger jusqu’à sa noyade en Méditerranée. La seconde pièce, Prometheus. Wir Anfänge, constitue une relecture du Prométhée enchaîné d’Eschyle, dans laquelle la migration et l’exil s’inscrivent dans le tableau plus large d’une humanité à la dérive. Par ce double angle, le dramaturge tente « de saisir le mouvement de la migration contemporaine et, pour ce faire, de dire en quoi elle nous traverse et nous transforme » (Michel Agier). À partir de témoignages qu’il a recueillis, Rittberger opte dans la première pour une dramaturgie en grande partie réaliste dans laquelle le parcours de la protagoniste reflète la condition des migrants. Pour autant, la problématisation d’une possible saisie du réel par le récit, quelle qu’en soit la nature, n’en est pas moins insérée dans le déroulement de la fiction dramatique, notamment à travers les personnages d’un journaliste et d’une documentariste. Le langage lui-même fait l’objet d’une réflexion implicite dans la pièce, ce que permettent de mettre en évidence les réflexions de Jacques Derrida sur la notion d’hospitalité. Le second volet d</w:t>
      </w:r>
    </w:p>
    <w:p>
      <w:pPr>
        <w:pStyle w:val="Heading2"/>
      </w:pPr>
      <w:r>
        <w:t>900.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r>
        <w:rPr>
          <w:b/>
        </w:rPr>
        <w:t>POSSIBLE 2025:</w:t>
      </w:r>
      <w:r>
        <w:t xml:space="preserve"> Long‐Term Stable Subdural Recordings Enabled by Fibrosis‐Resistant Hydrogel‐Integrated µECoG Arrays — https://doi.org/10.1002/advs.202515453</w:t>
      </w:r>
    </w:p>
    <w:p>
      <w:pPr/>
      <w:r>
        <w:rPr>
          <w:b/>
        </w:rPr>
        <w:t>Shared claim-specific concepts:</w:t>
      </w:r>
      <w:r>
        <w:t xml:space="preserve"> long-term, biological, often; EU scope not established. This is a provisional connection, not an outcome finding.</w:t>
      </w:r>
    </w:p>
    <w:p>
      <w:pPr>
        <w:pStyle w:val="SourceNote"/>
      </w:pPr>
      <w:r>
        <w:rPr>
          <w:b/>
        </w:rPr>
        <w:t>Available abstract (not full text):</w:t>
      </w:r>
      <w:r>
        <w:t xml:space="preserve"> The long-term performance of microscale subdural arrays is often compromised by adverse tissue responses, leading to increased electrochemical impedance and signal deterioration during chronic applications. Here, the study presents an adhesive hydrogel-integrated micro-electrocorticography (aGel-µECoG) array that improves mechanical compatibility and adhesion to brain tissue, effectively mitigating tissue responses and enabling stable, high-performance electrical communication over days to months. The hydrogel consists of a hydrophilic polyvinyl alcohol and hydrophobic poly3-(trimethoxysilyl) propyl methacrylate heteronetwork, serving as a biological and mechanical bridging to enable seamless, anti-fibrotic, long-term integration with brain tissue. The aGel-µECoG achieves robust tissue adhesion (25.2 ± 3.8 kPa) with reversible and safe removal, enabling sutureless implantation. With an ultrathin 10-µm ionic conductive hydrogel coating, the array exhibits high electrical fidelity, effectively preserving fine-grained sub-millimeter spatial resolution and maintaining unattenuated signal strength for functional cortical mapping. Compared to conventional µECoG arrays, aGel-µECoG exhibits a 20-fold reduction in acute-phase impedance increases, attributed to significantly reduced neuroinflammation and fibrotic tissue formation, as confirmed by histological analyses. Long-term recordin</w:t>
      </w:r>
    </w:p>
    <w:p>
      <w:pPr>
        <w:pStyle w:val="Heading2"/>
      </w:pPr>
      <w:r>
        <w:t>901.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2023:</w:t>
      </w:r>
      <w:r>
        <w:t xml:space="preserve"> Introduction to Work and Employment Relations in Southern Europe — https://doi.org/10.4337/9781789909548.00006</w:t>
      </w:r>
    </w:p>
    <w:p>
      <w:pPr/>
      <w:r>
        <w:rPr>
          <w:b/>
        </w:rPr>
        <w:t>Shared claim-specific concepts:</w:t>
      </w:r>
      <w:r>
        <w:t xml:space="preserve"> outlines, industrial, relations; EU scope visible. This is a provisional connection, not an outcome finding.</w:t>
      </w:r>
    </w:p>
    <w:p>
      <w:pPr>
        <w:pStyle w:val="SourceNote"/>
      </w:pPr>
      <w:r>
        <w:rPr>
          <w:b/>
        </w:rPr>
        <w:t>Available abstract (not full text):</w:t>
      </w:r>
      <w:r>
        <w:t xml:space="preserve"> This chapter serves as an introduction to the book and outlines the background, context and nature of industrial relations and forms of de-regulation related to recent economic developments. The chapter outlines key aspects of the debates related to the nature of Southern European industrial relations in general but focusing on Greece, Italy, Portugal and Spain as the case studies. The chapter concentrates on the way that the states and public policy in such contexts have developed around competing political agendas and imperatives. The argument outlines how de-regulation has occurred, as well as how there have been responses to it, and alternative forms of politics and policies have been developed. It points to the way that broader politics and a set of initiatives regarding worker rights and collective processes have re-emerged, although it reiterates the existence of the problem with how marketization and neoliberalism continue to frame the overall politics and language of re-regulation.</w:t>
      </w:r>
    </w:p>
    <w:p>
      <w:pPr/>
      <w:r>
        <w:rPr>
          <w:b/>
        </w:rPr>
        <w:t>POSSIBLE 2022:</w:t>
      </w:r>
      <w:r>
        <w:t xml:space="preserve"> Digital Divide in European Countries: Approaches to Definition and Assessment — https://doi.org/10.31857/s0201708322050072</w:t>
      </w:r>
    </w:p>
    <w:p>
      <w:pPr/>
      <w:r>
        <w:rPr>
          <w:b/>
        </w:rPr>
        <w:t>Shared claim-specific concepts:</w:t>
      </w:r>
      <w:r>
        <w:t xml:space="preserve"> outlines, three, according; EU scope visible. This is a provisional connection, not an outcome finding.</w:t>
      </w:r>
    </w:p>
    <w:p>
      <w:pPr>
        <w:pStyle w:val="SourceNote"/>
      </w:pPr>
      <w:r>
        <w:rPr>
          <w:b/>
        </w:rPr>
        <w:t>Available abstract (not full text):</w:t>
      </w:r>
      <w:r>
        <w:t xml:space="preserve"> The article focuses on the problems of digital inequality in European countries as well as examines the evolution of approaches to the definition of the digital divide. On this basis the research identifies key factors (determinants) and features of the digital divides in European countries. Based on statistical data the research addresses the effects of such determinants as intensity of the Internet and social networks use, the availability of technical devices, gender, age, ethnic and economic differences of users, and the development of the labor market on the digital divides in Europe. In order to obtain a generalized assessment of the level of digitalization the authors developed an original index of digitalization, using the method of principal components. It was developed the rating of European countries according to the level of digitalisation. It is revealed that Sweden, Denmark and Norway were at the top of ranking in 2020, and Greece, Bulgaria and Romania were at the bottom. The study outlines three groups of European countries focusing on their level of digitalisation. The estimates of digital divides were compared with the estimates obtained with the help of the well-known official European index of the digital economy and society DESI. The research outlined significant gaps. The analysis also demonstrated that digital divides between European countries are driven </w:t>
      </w:r>
    </w:p>
    <w:p>
      <w:pPr/>
      <w:r>
        <w:rPr>
          <w:b/>
        </w:rPr>
        <w:t>POSSIBLE 2021:</w:t>
      </w:r>
      <w:r>
        <w:t xml:space="preserve"> The evolution of life cycle assessment in European policies over three decades — https://doi.org/10.1007/s11367-021-01893-2</w:t>
      </w:r>
    </w:p>
    <w:p>
      <w:pPr/>
      <w:r>
        <w:rPr>
          <w:b/>
        </w:rPr>
        <w:t>Shared claim-specific concepts:</w:t>
      </w:r>
      <w:r>
        <w:t xml:space="preserve"> three, according; EU scope visible. This is a provisional connection, not an outcome finding.</w:t>
      </w:r>
    </w:p>
    <w:p>
      <w:pPr>
        <w:pStyle w:val="SourceNote"/>
      </w:pPr>
      <w:r>
        <w:rPr>
          <w:b/>
        </w:rPr>
        <w:t>Available abstract (not full text):</w:t>
      </w:r>
      <w:r>
        <w:t xml:space="preserve">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pPr>
        <w:pStyle w:val="Heading2"/>
      </w:pPr>
      <w:r>
        <w:t>902.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2025:</w:t>
      </w:r>
      <w:r>
        <w:t xml:space="preserve"> Willingness, Motivators and Barriers to Time Bank Participation: A Scoping Review — https://doi.org/10.1101/2025.03.30.25324913</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pPr/>
      <w:r>
        <w:rPr>
          <w:b/>
        </w:rPr>
        <w:t>POSSIBLE 2025:</w:t>
      </w:r>
      <w:r>
        <w:t xml:space="preserve"> Analysis of Guangzhou time bank pilot policy — https://doi.org/10.54254/2977-5701/2025.27781</w:t>
      </w:r>
    </w:p>
    <w:p>
      <w:pPr/>
      <w:r>
        <w:rPr>
          <w:b/>
        </w:rPr>
        <w:t>Shared claim-specific concepts:</w:t>
      </w:r>
      <w:r>
        <w:t xml:space="preserve"> time, banks, not, actual; EU scope not established. This is a provisional connection, not an outcome finding.</w:t>
      </w:r>
    </w:p>
    <w:p>
      <w:pPr>
        <w:pStyle w:val="SourceNote"/>
      </w:pPr>
      <w:r>
        <w:rPr>
          <w:b/>
        </w:rPr>
        <w:t>Available abstract (not full text):</w:t>
      </w:r>
      <w:r>
        <w:t xml:space="preserve">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pPr/>
      <w:r>
        <w:rPr>
          <w:b/>
        </w:rPr>
        <w:t>POSSIBLE 2024:</w:t>
      </w:r>
      <w:r>
        <w:t xml:space="preserve"> Scope and challenges in the implementation of Time Bank in India: a qualitative study — https://doi.org/10.1007/s44282-024-00040-0</w:t>
      </w:r>
    </w:p>
    <w:p>
      <w:pPr/>
      <w:r>
        <w:rPr>
          <w:b/>
        </w:rPr>
        <w:t>Shared claim-specific concepts:</w:t>
      </w:r>
      <w:r>
        <w:t xml:space="preserve"> time, services, different, people; EU scope not established. This is a provisional connection, not an outcome finding.</w:t>
      </w:r>
    </w:p>
    <w:p>
      <w:pPr>
        <w:pStyle w:val="SourceNote"/>
      </w:pPr>
      <w:r>
        <w:rPr>
          <w:b/>
        </w:rPr>
        <w:t>Available abstract (not full text):</w:t>
      </w:r>
      <w:r>
        <w:t xml:space="preserve">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pPr/>
      <w:r>
        <w:rPr>
          <w:b/>
        </w:rPr>
        <w:t>POSSIBLE 2024:</w:t>
      </w:r>
      <w:r>
        <w:t xml:space="preserve"> DEVELOPMENT OF REMOTE BANKING SERVICES OF COMMERCIAL BANKS IS A REQUIREMENT OF THE TIME — https://doi.org/10.5281/zenodo.21413961</w:t>
      </w:r>
    </w:p>
    <w:p>
      <w:pPr/>
      <w:r>
        <w:rPr>
          <w:b/>
        </w:rPr>
        <w:t>Shared claim-specific concepts:</w:t>
      </w:r>
      <w:r>
        <w:t xml:space="preserve"> time, banks, services; EU scope not established. This is a provisional connection, not an outcome finding.</w:t>
      </w:r>
    </w:p>
    <w:p>
      <w:pPr>
        <w:pStyle w:val="SourceNote"/>
      </w:pPr>
      <w:r>
        <w:rPr>
          <w:b/>
        </w:rPr>
        <w:t>Available abstract (not full text):</w:t>
      </w:r>
      <w:r>
        <w:t xml:space="preserve"> The article examines the increase in capital of commercial banks and the factors influencing it on the basis of theoretical and practical data. Also, based on the study of foreign experience, it is argued that the increase in asset quality in banks will directly improve the quality of credit services provided by banks, reduce problem loans and the use of credit scoring system. A number of specific aspects of the use of credit scoring system in improving the quality of assets of commercial banks have been studied in detail on the basis of theoretical and practical data, scientific proposals and practical recommendations have been developed on the basis of author’s approaches.</w:t>
      </w:r>
    </w:p>
    <w:p>
      <w:pPr/>
      <w:r>
        <w:rPr>
          <w:b/>
        </w:rPr>
        <w:t>POSSIBLE 2024:</w:t>
      </w:r>
      <w:r>
        <w:t xml:space="preserve"> Study on the Application of "Time Bank" to College Students' Volunteer Service System in the Context of Rural Revitalization — https://doi.org/10.54097/pbf0y096</w:t>
      </w:r>
    </w:p>
    <w:p>
      <w:pPr/>
      <w:r>
        <w:rPr>
          <w:b/>
        </w:rPr>
        <w:t>Shared claim-specific concepts:</w:t>
      </w:r>
      <w:r>
        <w:t xml:space="preserve"> time, services, they, not; EU scope not established. This is a provisional connection, not an outcome finding.</w:t>
      </w:r>
    </w:p>
    <w:p>
      <w:pPr>
        <w:pStyle w:val="SourceNote"/>
      </w:pPr>
      <w:r>
        <w:rPr>
          <w:b/>
        </w:rPr>
        <w:t>Available abstract (not full text):</w:t>
      </w:r>
      <w:r>
        <w:t xml:space="preserve"> With the idea of inclusiveness gradually penetrating into the philosophy of governance of colleges and universities, college students' volunteer activities are gradually enriched, and college students have become the most energetic group in youth volunteer activities. Student organizations and associations at the college or school level have become the main field and position for college students to carry out volunteer service activities in various colleges and universities. They arouse students' interest and achieve the purpose of recruiting college students' volunteers by means of credit awards, personal enhancement, and outings, etc., and then carry out volunteer service activities on the basis of which they provide various services for others or the society to promote the development and progress of China's society. According to the survey, college student volunteers have reached 83.1% of the total number of volunteers, college students have been the main force in the body. However, from the current situation, the conditions of volunteer service are still lacking, the contemporary university volunteer group students do not have a comprehensive understanding of volunteer service, awareness is weak, and volunteer activities are mostly top-down type of promotion, passive volunteer service also deviates from the original intention of the spirit of volunteerism. Therefore, with </w:t>
      </w:r>
    </w:p>
    <w:p>
      <w:pPr>
        <w:pStyle w:val="Heading2"/>
      </w:pPr>
      <w:r>
        <w:t>903.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r>
        <w:rPr>
          <w:b/>
        </w:rPr>
        <w:t>POSSIBLE 2025:</w:t>
      </w:r>
      <w:r>
        <w:t xml:space="preserve"> Accelerating Towards Sustainability: Policy and Technology Dynamic Assessments in China’s Road Transport Sector — https://doi.org/10.3390/su17083668</w:t>
      </w:r>
    </w:p>
    <w:p>
      <w:pPr/>
      <w:r>
        <w:rPr>
          <w:b/>
        </w:rPr>
        <w:t>Shared claim-specific concepts:</w:t>
      </w:r>
      <w:r>
        <w:t xml:space="preserve"> transport, sector, need, challenges; EU scope not established. This is a provisional connection, not an outcome finding.</w:t>
      </w:r>
    </w:p>
    <w:p>
      <w:pPr>
        <w:pStyle w:val="SourceNote"/>
      </w:pPr>
      <w:r>
        <w:rPr>
          <w:b/>
        </w:rPr>
        <w:t>Available abstract (not full text):</w:t>
      </w:r>
      <w:r>
        <w:t xml:space="preserve"> The road transport sector in China is confronted with the dual challenges of escalating demand and the critical need to mitigate greenhouse gas emissions. This situation necessitates urgently formulating a precise and comprehensive low-carbon development framework congruent with the objectives outlined in the Paris Agreement. By synthesizing pertinent national and regional policies, this analysis underscores the pivotal role of governmental interventions in promoting innovation and facilitating investment in low-carbon technologies. We propose a series of strategic public interventions essential for transitioning to low-carbon transportation systems within the forthcoming five-year period. These are anticipated to effectively counterbalance the anticipated rise in carbon emissions triggered by increasing demand. Furthermore, the present analysis encompasses a comparative assessment of various transportation technologies' benefits, drawbacks, and obstacles. This assessment focuses mainly on the developmental maturity of these technologies and the low-carbon potential inherent in electric and fuel-cell vehicles. Ultimately, this study delineates a strategic roadmap for establishing a resilient low-carbon transport system, contributing to the broader discourse on sustainable transportation. It also provides actionable recommendations for policymakers and stakeholders dedicated to </w:t>
      </w:r>
    </w:p>
    <w:p>
      <w:pPr/>
      <w:r>
        <w:rPr>
          <w:b/>
        </w:rPr>
        <w:t>POSSIBLE 2024:</w:t>
      </w:r>
      <w:r>
        <w:t xml:space="preserve"> Analyzing Labor Costs in The Transport and Storage Sector in European Countries Through Trend and Cluster Analysis:2007-2022 — https://doi.org/10.19168/jyasar.1345236</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Trends in the transport and storage industry's labor markets in Europe have significantly impacted changes in labor costs. Technological advancements, increased privatization and deregulation, and changes in global capital flows are among the key reasons that have resulted in significant changes in labor costs in the logistics sector during the last few decades, especially in Europe. The amount of remuneration for logistics personnel and its pace of change over time are essential aspects influencing not just capital investment choices but also country competitiveness. The clusters of countries with similar wage increases over time are also impacted by their economic, social, and ecological problems to a similar extent. The existence of probable trends in labor costs in transport and storage on a country level, as well as cluster analysis over the countries where the trend is found, will aid in revealing significant similarities and contrasts concerning the sector and the countries involved in the research. The Labor Cost Index (LCI), according to NACE Rev. 2 Activity-nominal value, quarterly data released by Eurostat was utilized for this research. Sixty-four quarterly periods have been covered between the first quarter of 2007 and the fourth quarter of 2022. The research was based on data collected from 23 different European countries. The Mann-Kendall trend test and Sen's slo</w:t>
      </w:r>
    </w:p>
    <w:p>
      <w:pPr/>
      <w:r>
        <w:rPr>
          <w:b/>
        </w:rPr>
        <w:t>POSSIBLE 2023:</w:t>
      </w:r>
      <w:r>
        <w:t xml:space="preserve"> Negative externalities in the transport sector: European efforts to align transport prices with external costs through market-based instruments — https://doi.org/10.4337/9781035317844.00022</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pPr/>
      <w:r>
        <w:rPr>
          <w:b/>
        </w:rPr>
        <w:t>POSSIBLE 2023:</w:t>
      </w:r>
      <w:r>
        <w:t xml:space="preserve"> Driving towards a sustainable future: Transport sector innovation, climate change and social welfare — https://doi.org/10.1016/j.jclepro.2023.139250</w:t>
      </w:r>
    </w:p>
    <w:p>
      <w:pPr/>
      <w:r>
        <w:rPr>
          <w:b/>
        </w:rPr>
        <w:t>Shared claim-specific concepts:</w:t>
      </w:r>
      <w:r>
        <w:t xml:space="preserve"> transport, sector;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Adapting for Inertia — https://openalex.org/W7137589190</w:t>
      </w:r>
    </w:p>
    <w:p>
      <w:pPr/>
      <w:r>
        <w:rPr>
          <w:b/>
        </w:rPr>
        <w:t>Shared claim-specific concepts:</w:t>
      </w:r>
      <w:r>
        <w:t xml:space="preserve"> inertia, look; EU scope not established. This is a provisional connection, not an outcome finding.</w:t>
      </w:r>
    </w:p>
    <w:p>
      <w:pPr>
        <w:pStyle w:val="SourceNote"/>
      </w:pPr>
      <w:r>
        <w:rPr>
          <w:b/>
        </w:rPr>
        <w:t>Available abstract (not full text):</w:t>
      </w:r>
      <w:r>
        <w:t xml:space="preserve"> Despite much learning and research over many decades, large ICT software projects have continued to experience poor outcomes or fallen short of original expectations—some spectacularly so. This is the case in the Australian and New Zealand public sectors, even though these projects operate within historically developed institutional frameworks that provide the rules, guidelines and controls, and aim to consistently improve outcomes. Something is amiss. In Adapting for Inertia, Grant Douglas questions the effectiveness of these institutional frameworks in governing large ICT software projects in the Australian and New Zealand public sectors. He also gauges the perspectives of a large number of actors in projects in both sectors and examines two case studies in detail. The main narrative to emerge is that the institutional frameworks are in a state of inertia: they are failing to adapt, owing to various institutional factors—all of which have public policy implications. Sadly, Douglas finds, this inertia is likely to continue. If there is difficulty in changing the capacity to govern, he proposes, policymakers should look to change the nature of what is to be governed.</w:t>
      </w:r>
    </w:p>
    <w:p>
      <w:pPr/>
      <w:r>
        <w:rPr>
          <w:b/>
        </w:rPr>
        <w:t>POSSIBLE 2023:</w:t>
      </w:r>
      <w:r>
        <w:t xml:space="preserve"> Effects of Digitalization on Labor Market Development in Transport Sector in Post- Covid Environment — https://doi.org/10.37075/2023.4/ea.2023.4.05</w:t>
      </w:r>
    </w:p>
    <w:p>
      <w:pPr/>
      <w:r>
        <w:rPr>
          <w:b/>
        </w:rPr>
        <w:t>Shared claim-specific concepts:</w:t>
      </w:r>
      <w:r>
        <w:t xml:space="preserve"> transport, sector, like, related; EU scope visible. This is a provisional connection, not an outcome finding.</w:t>
      </w:r>
    </w:p>
    <w:p>
      <w:pPr>
        <w:pStyle w:val="SourceNote"/>
      </w:pPr>
      <w:r>
        <w:rPr>
          <w:b/>
        </w:rPr>
        <w:t>Available abstract (not full text):</w:t>
      </w:r>
      <w:r>
        <w:t xml:space="preserve"> The development of digitalization processes in a post-pandemic environment has the potential to seriously affect the labor market in the transport sector in South- Eastern European countries, which sector is not prepared for such a transformation. An increasing number of transport companies will face the dilemma of keeping their workforce or replacing it with digital devices and robots. The consequences of the COVID-19 pandemic, which led to many small and medium-sized enterprises bankruptcies in the sector, will make it even more difficult for transport companies to remain competitive both on the national and European transport market. Based on statistical and descriptive analysis, the article aims to forecast the emerging trends in the sector and to give recommendations for a smooth transition, considering the specifics of the transport sector in terms of social and technological sustainability. The study identifies the problems, related to the digitalization of the transport sector and reveals the possibilities for their overcoming in regard to road passenger carriages in intercity lines in developing countries with transition economies like Bulgaria.</w:t>
      </w:r>
    </w:p>
    <w:p>
      <w:pPr>
        <w:pStyle w:val="Heading2"/>
      </w:pPr>
      <w:r>
        <w:t>904.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r>
        <w:rPr>
          <w:b/>
        </w:rPr>
        <w:t>POSSIBLE 2022:</w:t>
      </w:r>
      <w:r>
        <w:t xml:space="preserve"> Developing disruptive mobility scenarios for rural areas. Participatory mobility scenario building in a Belgian village for the year 2050 — https://doi.org/10.1186/s12544-022-00555-0</w:t>
      </w:r>
    </w:p>
    <w:p>
      <w:pPr/>
      <w:r>
        <w:rPr>
          <w:b/>
        </w:rPr>
        <w:t>Shared claim-specific concepts:</w:t>
      </w:r>
      <w:r>
        <w:t xml:space="preserve"> wild, cards, high; EU scope not established. This is a provisional connection, not an outcome finding.</w:t>
      </w:r>
    </w:p>
    <w:p>
      <w:pPr>
        <w:pStyle w:val="SourceNote"/>
      </w:pPr>
      <w:r>
        <w:rPr>
          <w:b/>
        </w:rPr>
        <w:t>Available abstract (not full text):</w:t>
      </w:r>
      <w:r>
        <w:t xml:space="preserve"> Background: Historically, quantitative forecasting methods have been used in transport planning. As forecasts can be unreliable to plan for the medium- and long-term, scenario building has recently been increasingly used. However, scenario building methods often fail to take disruptions and wild cards into account, i.e., low probability but high impact events. When unaccounted for, wild card events, like the COVID-19 pandemic, lower the efficacy of scenario building in policy making, as these events may completely disturb the developed scenarios of the future. Methods: In this paper, we develop and apply a creative and participatory methodology to develop visions and disrupted scenarios for rural mobility. Our research was carried out in the Belgian village of Oetingen, where inhabitants developed more resilient views of the future by creating disrupted mobility scenarios and a preferred mobility vision for their village for the year 2050 in a participatory scenario building exercise. Wild cards related to mobility were collected from mobility experts and inhabitants in three workshops. Inhabitants were engaged to define their mobility vision on a postcard that was distributed to all houses in the village as well as on a project website. Respondents were invited for a follow-up interview in which their preferred mobility vision was subjected to the wild cards, and participants </w:t>
      </w:r>
    </w:p>
    <w:p>
      <w:pPr/>
      <w:r>
        <w:rPr>
          <w:b/>
        </w:rPr>
        <w:t>POSSIBLE 2022:</w:t>
      </w:r>
      <w:r>
        <w:t xml:space="preserve"> Estimation of the Wild Boar Population in Southern Italian Apennines by Pellet Count Group Technic: A Preliminary Study — https://doi.org/10.9734/bpi/ecees/v2/1807a</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Today the development of wild ungulates represents one of the most relevant changes of the Italian wildlife in the last decades. The occurrence of damages by wild boars raised dramatically in the last decades and amounts to hundreds of thousands of Euros per year in several European countries. Knowledge of distribution, abundance and population dynamics is essential for their correct management, especially for the Wild boar (Sus scrofa) considering its impact on the natural and agricultural ecosystem. This paper proposes an estimate of the wild boar population in a study area, located in the south / south-eastern part of the Italian Apennines. The census technique was planned through field inspections and cartographic elaborations using GiS software and the Pellet Count Group technic. The data of the Pellet Group discovery were marked on special field cards. 7.010 linear meters and 14.020 m2 were crossed; 12 Pellets Group were found. From this database and knowing the extent of each specific habitat it was detected the presence of about 7/8 animals per 100 ha. These densities, projected by the number of hectares of each analyzed habitat, indicate a presence of animals ranging between 187 and 164. Considering that, the optimal density for the study area would be about 47 animals per 100 ha, this means that the real density exceeds considerably these values. Therefore, the popula</w:t>
      </w:r>
    </w:p>
    <w:p>
      <w:pPr/>
      <w:r>
        <w:rPr>
          <w:b/>
        </w:rPr>
        <w:t>POSSIBLE 2022:</w:t>
      </w:r>
      <w:r>
        <w:t xml:space="preserve"> Assessing the Likelihood of High Pathogenicity Avian Influenza Incursion Into the Gamebird Sector in Great Britain via Designated Hatcheries — https://doi.org/10.3389/fvets.2022.877197</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The outbreaks of High Pathogenicity Avian Influenza (HPAI) in the United Kingdom in 2017 and 2021 had a substantial impact on the gamebird industry and highlighted to policymakers the importance of existing knowledge gaps for effective disease control. Despite the size of the industry, the impact of HPAI on the gamebird industry is not well-understood. To improve future disease preparedness, a veterinary risk assessment to explore the risk of HPAI incursion into the gamebird sector in Great Britain via a designated hatchery was commissioned by Scottish Government Animal Health and Welfare Division. Hatchery designation is a legal requirement for hatcheries located within disease control zones or that have business links to premises located in disease control zones to continue operating during an HPAI outbreak. Several risk pathways were identified, which involved various management procedures associated with egg production through to the delivery of day-old chicks. The overall likelihood of the HPAI virus introduction into a designated hatchery through hatching egg movement is considered to be low (high uncertainty). The overall likelihood of onward transmission of the HPAI virus into gamebird rearing sites from a designated hatchery through day-old chick movement is also considered to be low (medium uncertainty). These risk levels are based on the assumption that relevant cont</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r>
        <w:rPr>
          <w:b/>
        </w:rPr>
        <w:t>POSSIBLE 2021:</w:t>
      </w:r>
      <w:r>
        <w:t xml:space="preserve"> The unresolved question on COVID‐19 virus origin: The three cards game? — https://doi.org/10.1002/jmv.27519</w:t>
      </w:r>
    </w:p>
    <w:p>
      <w:pPr/>
      <w:r>
        <w:rPr>
          <w:b/>
        </w:rPr>
        <w:t>Shared claim-specific concepts:</w:t>
      </w:r>
      <w:r>
        <w:t xml:space="preserve"> several, wild, cards; EU scope not established. This is a provisional connection, not an outcome finding.</w:t>
      </w:r>
    </w:p>
    <w:p>
      <w:pPr>
        <w:pStyle w:val="SourceNote"/>
      </w:pPr>
      <w:r>
        <w:rPr>
          <w:b/>
        </w:rPr>
        <w:t>Available abstract (not full text):</w:t>
      </w:r>
      <w:r>
        <w:t xml:space="preserve">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pPr>
        <w:pStyle w:val="Heading2"/>
      </w:pPr>
      <w:r>
        <w:t>905.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r>
        <w:rPr>
          <w:b/>
        </w:rPr>
        <w:t>POSSIBLE 2024:</w:t>
      </w:r>
      <w:r>
        <w:t xml:space="preserve"> Three pathways for standardisation and ethical disclosure by default under the European union artificial intelligence act — https://doi.org/10.1016/j.clsr.2024.105957</w:t>
      </w:r>
    </w:p>
    <w:p>
      <w:pPr/>
      <w:r>
        <w:rPr>
          <w:b/>
        </w:rPr>
        <w:t>Shared claim-specific concepts:</w:t>
      </w:r>
      <w:r>
        <w:t xml:space="preserve"> aims, design, three, develop, services; EU scope visible. This is a provisional connection, not an outcome finding.</w:t>
      </w:r>
    </w:p>
    <w:p>
      <w:pPr>
        <w:pStyle w:val="SourceNote"/>
      </w:pPr>
      <w:r>
        <w:rPr>
          <w:b/>
        </w:rPr>
        <w:t>Available abstract (not full text):</w:t>
      </w:r>
      <w:r>
        <w:t xml:space="preserve"> Under its proposed Artificial Intelligence Act (‘AIA’), the European Union seeks to develop harmonised standards involving abstract normative concepts such transparency, fairness, and accountability. Applying such concepts inevitably requires answering hard normative questions. Considering this challenge, we argue that there are three possible pathways for future standardisation under the AIA. First, European standard-setting organisations (‘SSOs’) could answer hard normative questions themselves. This approach would raise concerns about its democratic legitimacy. Standardisation is a technical discourse and tends to exclude non-expert stakeholders and the public at large. Second, instead of passing their own normative judgments, SSOs could track the normative consensus they find available. By analysing the standard-setting history of one major SSO, we show that such consensus tracking has historically been its pathway of choice. If standardisation under the AIA took the same route, we demonstrate how this would lead to a false sense of safety as the process is not infallible. Consensus tracking would furthermore push the need to solve unavoidable normative problems down the line. Instead of regulators, AI developers and/or users could define what, for example, fairness requires. By the institutional design of its AIA, the European Commission would have essentially kicked the ‘</w:t>
      </w:r>
    </w:p>
    <w:p>
      <w:pPr>
        <w:pStyle w:val="Heading2"/>
      </w:pPr>
      <w:r>
        <w:t>906.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2021:</w:t>
      </w:r>
      <w:r>
        <w:t xml:space="preserve"> Circular economy: advancement of European Union countries — https://doi.org/10.1186/s12302-021-00549-0</w:t>
      </w:r>
    </w:p>
    <w:p>
      <w:pPr/>
      <w:r>
        <w:rPr>
          <w:b/>
        </w:rPr>
        <w:t>Shared claim-specific concepts:</w:t>
      </w:r>
      <w:r>
        <w:t xml:space="preserve"> union, also, commission;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r>
        <w:rPr>
          <w:b/>
        </w:rPr>
        <w:t>POSSIBLE 2020:</w:t>
      </w:r>
      <w:r>
        <w:t xml:space="preserve"> Luxembourg and the European Union — https://doi.org/10.1093/acrefore/9780190228637.013.1041</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Abstract A founding member state of the European Union (EU) and a major European institutional center, Luxembourg has been a consistently strong supporter of the further development of European integration, often acting to facilitate compromises at critical moments. Its European policy rests on a broad political consensus and enjoys strong support in national public opinion. However, the country has also defended key national priorities on occasion, such as the interests of the steel sector in the early phases of European integration or its taxation policy in the early 21st century. Historically, this openness toward cooperation can be explained by reference to Luxembourg’s long experience of cooperation with neighbouring countries. Luxembourg was a member of the Zollverein (German Customs Union) in the 19th century and formed an economic union with Belgium after the First World War. European policymaking in Luxembourg is characterized by a pragmatic and informal policy style. The comparatively limited size of the national bureaucracy allows for an ease of internal communication and coordination. The typically long tenures and broad remits of national officials coupled with their multilingualism facilitate their integration into European policy arenas, where they often play pivotal roles. Luxembourgish society is further highly “Europeanized.” As the country became one of the l</w:t>
      </w:r>
    </w:p>
    <w:p>
      <w:pPr/>
      <w:r>
        <w:rPr>
          <w:b/>
        </w:rPr>
        <w:t>POSSIBLE 2019:</w:t>
      </w:r>
      <w:r>
        <w:t xml:space="preserve"> Exploring the Exuberant Abundance of Seeing-Knowing, Hoping, and Doing: A Proposal for a Social Trinitarian Praxis — https://openalex.org/W7132983194</w:t>
      </w:r>
    </w:p>
    <w:p>
      <w:pPr/>
      <w:r>
        <w:rPr>
          <w:b/>
        </w:rPr>
        <w:t>Shared claim-specific concepts:</w:t>
      </w:r>
      <w:r>
        <w:t xml:space="preserve"> hope, affect, about; EU scope not established. This is a provisional connection, not an outcome finding.</w:t>
      </w:r>
    </w:p>
    <w:p>
      <w:pPr>
        <w:pStyle w:val="SourceNote"/>
      </w:pPr>
      <w:r>
        <w:rPr>
          <w:b/>
        </w:rPr>
        <w:t>Available abstract (not full text):</w:t>
      </w:r>
      <w:r>
        <w:t xml:space="preserve"> The Continuing violence in the contemporary world prompts a re-focus on the importance of the way we see-know and hope in or with the other/s and how that might affect our doing with or for the other/s. This study’s thesis statement takes up these introductory ideas from Jürgen Moltmann’s The Way of Jesus Christ where he writes, The resurrection of Christ is historically understood in the fullest sense only in ‘the unity of knowing, hoping, and doing. …. Anyone who talks about Christ’s resurrection from the dead and who believes in the power of God to raise the dead is talking in a single breath about the foundation, the future, and the praxis of the liberation of human beings and the redemption of the world. This means that what we can know historically about Christ’s resurrection must not be abstracted from the questions: what can we hope from it? and what must we do in its name? Given the implications of these statements and questions, the three central chapters of this study explore the effect of ‘exuberant abundance’ (or ‘surplus’) in the cross and resurrection event. These chapters examine this effect through an open, ongoing process of discerning the ‘tensioned-struggled’ turn to the other/s in three core ‘journeys’ of seeing-knowing (chapter 2), hoping (chapter 3), and doing (chapter 4) in humanity and creation. This study’s explorative journeys search for interanimativ</w:t>
      </w:r>
    </w:p>
    <w:p>
      <w:pPr>
        <w:pStyle w:val="Heading2"/>
      </w:pPr>
      <w:r>
        <w:t>907.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r>
        <w:rPr>
          <w:b/>
        </w:rPr>
        <w:t>POSSIBLE 2024:</w:t>
      </w:r>
      <w:r>
        <w:t xml:space="preserve"> Assessment of transdisciplinarity by its participants: the case of Tertúlias do Montado, Alentejo, Portugal — https://doi.org/10.1007/s11625-023-01451-9</w:t>
      </w:r>
    </w:p>
    <w:p>
      <w:pPr/>
      <w:r>
        <w:rPr>
          <w:b/>
        </w:rPr>
        <w:t>Shared claim-specific concepts:</w:t>
      </w:r>
      <w:r>
        <w:t xml:space="preserve"> area, montado, case, indicating; EU scope visible. This is a provisional connection, not an outcome finding.</w:t>
      </w:r>
    </w:p>
    <w:p>
      <w:pPr>
        <w:pStyle w:val="SourceNote"/>
      </w:pPr>
      <w:r>
        <w:rPr>
          <w:b/>
        </w:rPr>
        <w:t>Available abstract (not full text):</w:t>
      </w:r>
      <w:r>
        <w:t xml:space="preserve"> Abstract Evaluation plays a pivotal role in transdisciplinary (TD) research, often discussed during funding stages or when assessing project impacts. A few studies delve into the participant perspective when examining the quality of transdisciplinarity. Our work contributes to this area of assessment. Rather than providing a definitive definition of transdisciplinarity, we developed a questionnaire to evaluate a set of TD principles within a specific TD initiative. We collected insights from 100 individuals out of a pool of 200 participants engaged in a TD initiative since 2016. Given the long-term nature of the case study, our sample included both frequent and occasional participants. Using non-parametric statistical, we concluded that frequent participants express higher satisfaction with their involvement, identify more outcomes stemming from their participation, and assign greater importance to TD principles. These findings highlight the significant impact of investing in long-term TD initiatives. Additionally, our questionnaires featured open-ended questions to capture participants’ individual definition of the initiative, along with their perceived benefits and drawbacks. Through content analysis, we identified two distinct discourses: positivism and postpositivism. The positivist discourse predominantly features male participants over 60 years of age, primarily from the </w:t>
      </w:r>
    </w:p>
    <w:p>
      <w:pPr/>
      <w:r>
        <w:rPr>
          <w:b/>
        </w:rPr>
        <w:t>POSSIBLE 2024:</w:t>
      </w:r>
      <w:r>
        <w:t xml:space="preserve"> Sustainable Intensification of the Montado Ecosystem: Evaluation of Sheep Grazing Systems and Soil Amendment — https://doi.org/10.20944/preprints202403.1294.v1</w:t>
      </w:r>
    </w:p>
    <w:p>
      <w:pPr/>
      <w:r>
        <w:rPr>
          <w:b/>
        </w:rPr>
        <w:t>Shared claim-specific concepts:</w:t>
      </w:r>
      <w:r>
        <w:t xml:space="preserve"> show, montado; EU scope not established. This is a provisional connection, not an outcome finding.</w:t>
      </w:r>
    </w:p>
    <w:p>
      <w:pPr>
        <w:pStyle w:val="SourceNote"/>
      </w:pPr>
      <w:r>
        <w:rPr>
          <w:b/>
        </w:rPr>
        <w:t>Available abstract (not full text):</w:t>
      </w:r>
      <w:r>
        <w:t xml:space="preserve"> The objective of this study was to determine how application with dolomitic limestone and grazing type (continuous or deferred) affect sheep grazing location and feed preference when the pasture growth rate is maximum. A 4ha field was divided into 4 plots: P1 and P2- without application of dolomitic limestone, continuous (CG) and deferred grazing (DG), respectively; P3 and P4- with application of dolomitic limestone, DG (1AUE), and CG (2.4 AUE), respectively. In DG, animals were placed and removed from the plots depending on the height of the pasture. In each plot, 12 georeferenced sampling points were identified. Throughout the pasture's vegetative cycle (autumn, winter, spring, and early summer) several measurements of pasture height and cut were carried out. From the beginning of March to the beginning of June, animal behavior was observed, by trained observers, through binoculars on six dates. Animals' activity grazing and location was recorded. The results show that: (i) the application of dolomitic limestone combined with CG provided higher values of pasture height; (ii) there were no significant differences in pasture quality between treatments; (iii) Deferred grazing led to 50% more sheep grazing days than continuous grazing; (iv) there were no significant differences in soil compaction between CG and DG; (v) the type of grazing and the treatment with dolomitic limeston</w:t>
      </w:r>
    </w:p>
    <w:p>
      <w:pPr>
        <w:pStyle w:val="Heading2"/>
      </w:pPr>
      <w:r>
        <w:t>908.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r>
        <w:rPr>
          <w:b/>
        </w:rPr>
        <w:t>POSSIBLE 2025:</w:t>
      </w:r>
      <w:r>
        <w:t xml:space="preserve"> Introducing the Central Europe SEEBASE, a Bottom-Up Basement Interpretation and Geothermal Model — https://doi.org/10.3997/2214-4609.202510896</w:t>
      </w:r>
    </w:p>
    <w:p>
      <w:pPr/>
      <w:r>
        <w:rPr>
          <w:b/>
        </w:rPr>
        <w:t>Shared claim-specific concepts:</w:t>
      </w:r>
      <w:r>
        <w:t xml:space="preserve"> resource, geothermal, systems, constrained; EU scope visible. This is a provisional connection, not an outcome finding.</w:t>
      </w:r>
    </w:p>
    <w:p>
      <w:pPr>
        <w:pStyle w:val="SourceNote"/>
      </w:pPr>
      <w:r>
        <w:rPr>
          <w:b/>
        </w:rPr>
        <w:t>Available abstract (not full text):</w:t>
      </w:r>
      <w:r>
        <w:t xml:space="preserve"> Summary Geognostics introduces the Central Europe SEEBASE, a comprehensive basement and geothermal model for onshore central Europe. This model includes depth to Moho, major crustal structures, basement terranes and composition, depth to basement, and modelled heat flow and temperature at depth. SEEBASE® integrates various geophysical and geological datasets through a bottom-up approach, starting with the basement to understand basin systems. The Central Europe SEEBASE study, funded by OMV and released under a creative commons license, is a significant upgrade to the existing Geognostics Global SEEBASE model based on incorporation of new magnetic and gravity data, well data, and a review and integration of recent literature. The study provides a high-resolution, tectonically constrained basement interpretation and predictive heat flow model of central Europe. As part of this study, a regional-scale, full-crustal heat flow modelling workflow was developed, leveraging the upward series of elements provided by the SEEBASE model. The SEEBASE Geothermal model differs from conventional ‘top-down’ geothermal studies, which often rely on downward-extrapolated measurements, to instead build a conductive heat flow model from the lithosphere-asthenosphere boundary to the surface. The results support exploration across various resource sectors and is available under a creative commons lice</w:t>
      </w:r>
    </w:p>
    <w:p>
      <w:pPr/>
      <w:r>
        <w:rPr>
          <w:b/>
        </w:rPr>
        <w:t>POSSIBLE 2025:</w:t>
      </w:r>
      <w:r>
        <w:t xml:space="preserve"> Critical Minerals in Tibetan Geothermal Systems: Their Distribution, Flux, Reserves, and Resource Effects — https://doi.org/10.3390/min15010093</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Critical mineral resources (CMRs) are essential for emerging high-tech industries and are geopolitically significant, prompting countries to pursue resource exploration and development. Tibetan geothermal systems, recognized for their CMR potential, have not yet been systematically evaluated. This study presents a comprehensive investigation of the spatial distributions, resource flux, reserves, and resource effects of CMRs, integrating and analyzing hydrochemical and discharge flow rate data. Geochemical findings reveal significant enrichment of lithium (Li), rubidium (Rb), cesium (Cs), and boron (B) in the spring waters and sediments, primarily located along the Yarlung Zangbo suture and north–south rift zones. Resource flux estimates include approximately 246 tons of Li, 54 tons of Rb, 233 tons of Cs, and 2747 tons of B per year, underscoring the mineral potential of the geothermal spring waters. Additionally, over 40,000 tons of Cs reserves are preserved in siliceous sinters in Tagejia, Gulu, and Semi. The Tibetan geothermal systems thus demonstrate considerable potential for CMRs, especially Cs, through stable discharge and widespread distribution, also serving as indicators for endogenous mineral exploration and providing potential sources for lithium in exogenous salt lakes. This study evaluates the CMR potential of the Tibetan geothermal systems, advancing CMR explorati</w:t>
      </w:r>
    </w:p>
    <w:p>
      <w:pPr/>
      <w:r>
        <w:rPr>
          <w:b/>
        </w:rPr>
        <w:t>POSSIBLE 2024:</w:t>
      </w:r>
      <w:r>
        <w:t xml:space="preserve"> Using Particle Swarm Optimization with Backpropagation Neural Networks and Analytic Hierarchy Process to Optimize the Power Generation Performance of Enhanced Geothermal System (EGS) — https://doi.org/10.3390/w16030509</w:t>
      </w:r>
    </w:p>
    <w:p>
      <w:pPr/>
      <w:r>
        <w:rPr>
          <w:b/>
        </w:rPr>
        <w:t>Shared claim-specific concepts:</w:t>
      </w:r>
      <w:r>
        <w:t xml:space="preserve"> egs, enhanced, geothermal, systems, different; EU scope not established. This is a provisional connection, not an outcome finding.</w:t>
      </w:r>
    </w:p>
    <w:p>
      <w:pPr>
        <w:pStyle w:val="SourceNote"/>
      </w:pPr>
      <w:r>
        <w:rPr>
          <w:b/>
        </w:rPr>
        <w:t>Available abstract (not full text):</w:t>
      </w:r>
      <w:r>
        <w:t xml:space="preserve"> The optimization of the production scheme for enhanced geothermal systems (EGS) in geothermal fields is crucial for enhancing heat production efficiency and prolonging the lifespan of thermal reservoirs. In this study, the 4100–4300 m granite diorite stratum in the Zhacang geothermal field was taken as the target stratum to establish a numerical model of water-heat coupling of three vertical wells. However, relying solely on numerical simulation for optimization is time-consuming and challenging for the determination of the globally optimal production plan. The present study proposes a comprehensive evaluation method for optimizing the performance of EGS power generation based on the integration of particle swarm optimization with backpropagation neural network (PSO-BPNN) and analytic hierarchy process (AHP). Five different PSO-BPNN models were constructed based on the numerical simulation data to predict different EGS power generation performance indexes, including the production temperature, the injection pressure, the total electricity generation, the electric energy efficiency and the levelized cost of electricity. Based on these PSO-BPNN models, the weights of various thermal development evaluation indexes were calculated by AHP to conduct a comprehensive evaluation of the power generation performance of the three vertical wells EGS. The results show that the PSO-BPNN mode</w:t>
      </w:r>
    </w:p>
    <w:p>
      <w:pPr>
        <w:pStyle w:val="Heading2"/>
      </w:pPr>
      <w:r>
        <w:t>909.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2023:</w:t>
      </w:r>
      <w:r>
        <w:t xml:space="preserve"> Partitioning model uncertainty in multi-model ensemble river flow projections — https://doi.org/10.1007/s10584-023-03621-1</w:t>
      </w:r>
    </w:p>
    <w:p>
      <w:pPr/>
      <w:r>
        <w:rPr>
          <w:b/>
        </w:rPr>
        <w:t>Shared claim-specific concepts:</w:t>
      </w:r>
      <w:r>
        <w:t xml:space="preserve"> multi-model, ensemble, regional, climate, projections, used; EU scope not established. This is a provisional connection, not an outcome finding.</w:t>
      </w:r>
    </w:p>
    <w:p>
      <w:pPr>
        <w:pStyle w:val="SourceNote"/>
      </w:pPr>
      <w:r>
        <w:rPr>
          <w:b/>
        </w:rPr>
        <w:t>Available abstract (not full text):</w:t>
      </w:r>
      <w:r>
        <w:t xml:space="preserve"> Abstract Floods are the largest natural disaster currently facing the UK, whilst the incidents of droughts have increased in recent years. Floods and droughts can have devastating consequences on society, resulting in significant financial damage to the economy. Climate models suggest that precipitation and temperature changes will exacerbate future hydrological extremes (i.e., floods and droughts). Such events are likely to become more frequent and intense in the future; thus to develop adaptation plans climate model projections feed hydrological models to provide future water resource projections. ‘eFLaG’ is one set of future river flow projections produced for the UK driven by UKCP18 climate projections from the UK Met Office. The UKCP18-derived eFLaG dataset provides state-of-the-art projections for a single GCM driven by RCP 8.5 across the entire UK. A QE-ANOVA approach has been used to partition contributing sources of uncertainty for two flow quantiles (Q5 high flows and Q95 low flows), at near and far future time scales, for each of the 186 GB catchments in the eFLaG dataset. Results suggest a larger hydrological model uncertainty associated with low flows and greater regional climate model uncertainty for high flows which remains stationary between flow indicators. Total uncertainty increases from near to far future and highly uncertain catchments have been identified </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multi-model, ensemble, used, content;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Constraint on regional land surface air temperature projections in CMIP6 multi-model ensemble — https://doi.org/10.1038/s41612-023-00410-6</w:t>
      </w:r>
    </w:p>
    <w:p>
      <w:pPr/>
      <w:r>
        <w:rPr>
          <w:b/>
        </w:rPr>
        <w:t>Shared claim-specific concepts:</w:t>
      </w:r>
      <w:r>
        <w:t xml:space="preserve"> multi-model, ensemble, regional, projections, temperature, end; EU scope visible. This is a provisional connection, not an outcome finding.</w:t>
      </w:r>
    </w:p>
    <w:p>
      <w:pPr>
        <w:pStyle w:val="SourceNote"/>
      </w:pPr>
      <w:r>
        <w:rPr>
          <w:b/>
        </w:rPr>
        <w:t>Available abstract (not full text):</w:t>
      </w:r>
      <w:r>
        <w:t xml:space="preserve"> Abstract The reliability of the near-land-surface air temperature (LSAT) projections from the state-of-the-art climate-system models that participated in the Coupled Model Intercomparison Project phase six (CMIP6) is debatable, particularly on regional scales. Here we introduce a new method of constructing a constrained multi-model-ensemble (CMME), based on rejecting models that fail to reproduce observed LSAT trends. We use the CMME to constrain future LSAT projections under the Shared Socioeconomic Pathways 5-8.5 (SSP5-8.5) in the 21st century; this scenario represents the high end of the range of future pathway uncertainty. In comparison with the “raw” (unconstrained) CMIP6 multi-model ensemble (MME) mean, the impact of the observation-based constraint is less than 0.1 oC/100years at global scale over the 21st century. However, the regional results show a wider range of positive and negative adjustments from -1.0oC/100years to 1 oC/100years. The ideal 1pctCO2 experiment suggests that the response of LSAT to carbon dioxide (CO2) forcing on regional scales is responsible for the MME biases in historical period, indicating the higher reliability of CMME in the 21st century projections. The advantage of CMME is that it goes beyond the idea of “model democracy” assumed in MME. The unconstrained CMIP6 MME may be overestimating the risks of future warming over North America, Europe</w:t>
      </w:r>
    </w:p>
    <w:p>
      <w:pPr/>
      <w:r>
        <w:rPr>
          <w:b/>
        </w:rPr>
        <w:t>POSSIBLE 2023:</w:t>
      </w:r>
      <w:r>
        <w:t xml:space="preserve"> Investigating the Effect of Climate Change on Drought Propagation in the Tarim River Basin Using Multi-Model Ensemble Projections — https://doi.org/10.3390/atmos15010050</w:t>
      </w:r>
    </w:p>
    <w:p>
      <w:pPr/>
      <w:r>
        <w:rPr>
          <w:b/>
        </w:rPr>
        <w:t>Shared claim-specific concepts:</w:t>
      </w:r>
      <w:r>
        <w:t xml:space="preserve"> multi-model, ensemble, climate, projections, precipitation; EU scope not established. This is a provisional connection, not an outcome finding.</w:t>
      </w:r>
    </w:p>
    <w:p>
      <w:pPr>
        <w:pStyle w:val="SourceNote"/>
      </w:pPr>
      <w:r>
        <w:rPr>
          <w:b/>
        </w:rPr>
        <w:t>Available abstract (not full text):</w:t>
      </w:r>
      <w:r>
        <w:t xml:space="preserve"> Recent studies on China’s arid and semi-arid regions, particularly the Tarim River Basin (TRB), have shown an increase in the intensity and frequency of extreme weather events. This research examines the link between meteorological droughts, as measured by the Standardized Precipitation Evapotranspiration Index (SPEI), and hydrological droughts, as indicated by the Standardized Runoff Index (SRI) and the Standardized Terrestrial Water Storage Index (STI), over various time scales. Historical data indicate that SPEI drought frequency (DF) was 14.3–21.9%, with prevalent events in the northern oases. SRI DF ranged from 9.0% to 35.8%, concentrated around the Taklamakan and Kumtag Deserts, while STI DF varied between 4.4% and 32.7%, averaging 15% basin-wide. Future projections show an increased DF of SPEI in deserts and a decrease in oases; SRI DF decreased in deserts but increased in oases. STI changes were more moderate. The study also found a higher risk of drought progression from SPEI to SRI in the southwestern and northeastern oases, exceeding 50% probability, while central and eastern TRB had lower risks. The western TRB and inner Taklamakan Desert faced higher risks of SPEI to STI progression, with probabilities over 45%, in contrast to the lower risks in the eastern and central oases. The concurrence of SRI/STI with moderate to extreme SPEI droughts led to a higher probabil</w:t>
      </w:r>
    </w:p>
    <w:p>
      <w:pPr/>
      <w:r>
        <w:rPr>
          <w:b/>
        </w:rPr>
        <w:t>POSSIBLE 2023:</w:t>
      </w:r>
      <w:r>
        <w:t xml:space="preserve"> Multi-model ensemble projection of the global dust cycle by the end of 21st century using the Coupled Model Intercomparison Project version 6 data — https://doi.org/10.5194/acp-23-7823-2023</w:t>
      </w:r>
    </w:p>
    <w:p>
      <w:pPr/>
      <w:r>
        <w:rPr>
          <w:b/>
        </w:rPr>
        <w:t>Shared claim-specific concepts:</w:t>
      </w:r>
      <w:r>
        <w:t xml:space="preserve"> multi-model, ensemble, climate, estimate, precipitation, end; EU scope not established. This is a provisional connection, not an outcome finding.</w:t>
      </w:r>
    </w:p>
    <w:p>
      <w:pPr>
        <w:pStyle w:val="SourceNote"/>
      </w:pPr>
      <w:r>
        <w:rPr>
          <w:b/>
        </w:rPr>
        <w:t>Available abstract (not full text):</w:t>
      </w:r>
      <w:r>
        <w:t xml:space="preserve"> Abstract. As a natural aerosol with the largest emissions on land, dust has important impacts on atmospheric environment and climate systems. Both the emissions and transport of dust aerosols are tightly connected to meteorological conditions and as a result are confronted with strong modulations by the changing climate. Here, we project the changes of global dust emissions and loading by the end of the 21st century using an ensemble of model outputs from the Coupled Model Intercomparison Project version 6 (CMIP6) under four Shared Socioeconomic Pathways (SSPs). Based on the validations against site-level observations, we select 5 out of 10 models and estimate an ensemble global dust emission of 3311 Tg a−1 (1 Tg = 1012 g) at present day, in which 75 % is dry deposited and 25 % is wet deposited. Compared to 2005–2014, global dust emissions show varied responses with a reduction of 15.8 Tg a−1 under the SSP3-7.0 scenario but increased emissions up to 53.4 Tg a−1 under the SSP5-8.5 scenario at 2090–2099. For all scenarios, the most significant increase of dust emissions appears in North Africa (0.4 %–4.7 %) due to the combined effects of reduced relative humidity and precipitation but strengthened surface wind. In contrast, all scenarios show decreased emissions in central Asia (−0.6 % to −20 %) and Middle East (0 to −2.8 %) because of the increased precipitation but decreased wi</w:t>
      </w:r>
    </w:p>
    <w:p>
      <w:pPr>
        <w:pStyle w:val="Heading2"/>
      </w:pPr>
      <w:r>
        <w:t>910.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2023:</w:t>
      </w:r>
      <w:r>
        <w:t xml:space="preserve"> Comparative analysis of photovoltaic configurations for agrivoltaic systems in Europe — https://doi.org/10.1002/pip.3727</w:t>
      </w:r>
    </w:p>
    <w:p>
      <w:pPr/>
      <w:r>
        <w:rPr>
          <w:b/>
        </w:rPr>
        <w:t>Shared claim-specific concepts:</w:t>
      </w:r>
      <w:r>
        <w:t xml:space="preserve"> three, current, use; EU scope visible. This is a provisional connection, not an outcome finding.</w:t>
      </w:r>
    </w:p>
    <w:p>
      <w:pPr>
        <w:pStyle w:val="SourceNote"/>
      </w:pPr>
      <w:r>
        <w:rPr>
          <w:b/>
        </w:rPr>
        <w:t>Available abstract (not full text):</w:t>
      </w:r>
      <w:r>
        <w:t xml:space="preserve"> Abstract Agrivoltaics is the dual use of land by combining agricultural crop production and photovoltaic (PV) systems. In this work, we have analyzed three different agrivoltaic configurations: static with optimal tilt, vertically mounted bifacial, and single‐axis horizontal tracking. A model is developed to calculate the shadowing losses on the PV panels along with the reduced solar irradiation reaching the area under them for different PV capacity densities. First, we investigate the trade‐offs using a location in Denmark as a case study and second, we extrapolate the analysis to the rest of Europe. We find that the vertical and single‐axis tracking produce more uniform irradiance on the ground, and a capacity density of around 30 W/m 2 is suitable for agrivoltaic systems. Based on our model and a 100‐m‐resolution land cover database, we calculate the potential for agrivoltaic in every region within the European Union. The potential for agrivoltaic is enormous as the electricity generated by agrivoltaic systems could produce 25 times the current electricity demand in Europe. Overall, the potential capacity for agrivoltaic in Europe is 51 TW, which would result in an electricity yield of 71,500 TWh/year.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A probabilistic climate change assessment for Europe — https://doi.org/10.1002/joc.7604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climate, trends;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r>
        <w:rPr>
          <w:b/>
        </w:rPr>
        <w:t>POSSIBLE 2021:</w:t>
      </w:r>
      <w:r>
        <w:t xml:space="preserve"> Aviation Contrail Cirrus and Radiative Forcing Over Europe During 6 Months of COVID‐19 — https://doi.org/10.1029/2021gl092771</w:t>
      </w:r>
    </w:p>
    <w:p>
      <w:pPr/>
      <w:r>
        <w:rPr>
          <w:b/>
        </w:rPr>
        <w:t>Shared claim-specific concepts:</w:t>
      </w:r>
      <w:r>
        <w:t xml:space="preserve"> partially, observed, over; EU scope visible. This is a provisional connection, not an outcome finding.</w:t>
      </w:r>
    </w:p>
    <w:p>
      <w:pPr>
        <w:pStyle w:val="SourceNote"/>
      </w:pPr>
      <w:r>
        <w:rPr>
          <w:b/>
        </w:rPr>
        <w:t>Available abstract (not full text):</w:t>
      </w:r>
      <w:r>
        <w:t xml:space="preserve"> Abstract The COVID‐19 pandemic led to a 72% reduction of air traffic over Europe in March–August 2020 compared to 2019. Modeled contrail cover declined similarly, and computed mean instantaneous radiative contrail forcing dropped regionally by up to 0.7 W m−2. Here, model predictions of cirrus optical thickness and the top‐of‐atmosphere outgoing longwave and reflected shortwave irradiances are tested by comparison to Meteosat‐SEVIRI‐derived data. The agreement between observations and modeled data is slightly better when modeled contrail cirrus contributions are included. The spatial distributions and diurnal cycles of the differences in these data between 2019 and 2020 are partially caused by differences in atmospheric and surface conditions, particularly for solar radiation in the spring of 2020. Aviation signals become discernible in the observed differences of these data between 2019 and 2020 when subtracting numerical weather prediction model results that approximate the atmosphere and surface conditions without contrails.</w:t>
      </w:r>
    </w:p>
    <w:p>
      <w:pPr>
        <w:pStyle w:val="Heading2"/>
      </w:pPr>
      <w:r>
        <w:t>911.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r>
        <w:rPr>
          <w:b/>
        </w:rPr>
        <w:t>POSSIBLE 2024:</w:t>
      </w:r>
      <w:r>
        <w:t xml:space="preserve"> Enhanced Regional Ocean Ensemble Data Assimilation Through Atmospheric Coupling in the SKRIPS Model — https://doi.org/10.1016/j.ocemod.2024.102424</w:t>
      </w:r>
    </w:p>
    <w:p>
      <w:pPr/>
      <w:r>
        <w:rPr>
          <w:b/>
        </w:rPr>
        <w:t>Shared claim-specific concepts:</w:t>
      </w:r>
      <w:r>
        <w:t xml:space="preserve"> coupling, ensemble; EU scope not established. This is a provisional connection, not an outcome finding.</w:t>
      </w:r>
    </w:p>
    <w:p>
      <w:pPr>
        <w:pStyle w:val="SourceNote"/>
      </w:pPr>
      <w:r>
        <w:rPr>
          <w:b/>
        </w:rPr>
        <w:t>Available abstract (not full text):</w:t>
      </w:r>
      <w:r>
        <w:t xml:space="preserve"> We investigate the impact of ocean data assimilation using the Ensemble Adjustment Kalman Filter (EAKF) from the Data Assimilation Research Testbed (DART) on the oceanic and atmospheric states of the Red Sea. Our study extends the ocean data assimilation experiment performed by Sanikommu et al. (2020) by utilizing the SKRIPS model coupling the MITgcm ocean model and the Weather Research and Forecasting (WRF) atmosphere model. Using a 50-member ensemble, we assimilate satellite-derived sea surface temperature and height and in-situ temperature and salinity profiles every three days for one year, starting January 01 2011. Atmospheric data are not assimilated in the experiments. To improve the ensemble realism, perturbations are added to the WRF model using several physics options and the stochastic kinetic energy backscatter (SKEB) scheme. Compared with the control experiments using uncoupled MITgcm with ECMWF ensemble forcing, the EAKF ensemble mean oceanic states from the coupled model are better or insignificantly worse (root-mean-square-errors are 30% to -2% smaller), especially when the atmospheric model uncertainties are accounted for with stochastic perturbations. We hypothesize that the ensemble spreads of the air–sea fluxes are better represented in the downscaled WRF ensembles when uncertainties are well accounted for, leading to improved representation of the ensemble </w:t>
      </w:r>
    </w:p>
    <w:p>
      <w:pPr>
        <w:pStyle w:val="Heading2"/>
      </w:pPr>
      <w:r>
        <w:t>912.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Assessing the Causal Impact of Culture on Socio-economic Variables in European Countries — https://doi.org/10.1177/02601079241232775</w:t>
      </w:r>
    </w:p>
    <w:p>
      <w:pPr/>
      <w:r>
        <w:rPr>
          <w:b/>
        </w:rPr>
        <w:t>Shared claim-specific concepts:</w:t>
      </w:r>
      <w:r>
        <w:t xml:space="preserve"> article, assess, set, indicators; EU scope visible. This is a provisional connection, not an outcome finding.</w:t>
      </w:r>
    </w:p>
    <w:p>
      <w:pPr>
        <w:pStyle w:val="SourceNote"/>
      </w:pPr>
      <w:r>
        <w:rPr>
          <w:b/>
        </w:rPr>
        <w:t>Available abstract (not full text):</w:t>
      </w:r>
      <w:r>
        <w:t xml:space="preserve"> Despite the growing attention to the impact of culture on socio-economic indicators, there is a lack of causality evidence. Scholars have noted that cultural values or norms, as well as, a vibrant cultural environment can have a positive impact on GDP growth, labour productivity, the attraction of human capital and the improvement of human well-being. However, the issue of endogeneity is not thoroughly debated. Not only can culture impact economic development, but socio-economic environment also affects the cultural indicators. Therefore, it is essential to identify the causal effects of culture. This article aims to assess whether culture has a causal impact on socio-economic variables. The Granger procedure is utilised to evaluate causal relationships, describing the cultural environment with a comprehensive set of 45 cultural indicators across 30 European countries. This enables the comparison of the relationship between culture and socio-economic variables using the same method across different countries. Additionally, cultural indices are constructed. The research is extended by employing a panel vector autoregression (VAR) model. The key finding of this article demonstrates a causal impact of culture on socio-economic indicators, confirmed by both the Granger procedure and panel VAR estimations. JEL Code: Z1</w:t>
      </w:r>
    </w:p>
    <w:p>
      <w:pPr/>
      <w:r>
        <w:rPr>
          <w:b/>
        </w:rPr>
        <w:t>POSSIBLE 2024:</w:t>
      </w:r>
      <w:r>
        <w:t xml:space="preserve"> Digital divide in the european union: assessing spatial disparities and neighborhood effects — https://doi.org/10.2298/ijgi2402181t</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This article aims to investigate whether the digital inequality within the European Union (EU) has been reduced in the period 2017-2022. The goal of the study is to measure the dynamics of EU digital inequality and assess the effectiveness of the EU supranational bodies in reducing digital disparities. The author seeks to determine if the dynamics of this divide have been influenced by the EU's supranational policy fostering digital transformation by juxtaposing EU financing of digital transformation and spatial disparities among EU members based on Digital Economy and Society Index (DESI) and its components. The study reveals that, despite the fact that the agenda of digital divide reduction has been in the focus of the European supranational bodies within the last 22 years, the funding of digital transformation was neither adequate in terms of volumes nor consistent. The main beneficiaries were the EU members located in Western and Southern Europe and the least supported area was the members in Eastern Europe. In addition, using spatial econometric analysis, the author proves that the spatial digital divide has decreased in the period 2017-2022 and coincides only partially with the conventional cleavage ?developed North &amp; West VS lagging South &amp; East?. However, as the correlation analysis shows, the EU financial support of digital transformation had a slight positive impact o</w:t>
      </w:r>
    </w:p>
    <w:p>
      <w:pPr/>
      <w:r>
        <w:rPr>
          <w:b/>
        </w:rPr>
        <w:t>POSSIBLE 2024:</w:t>
      </w:r>
      <w:r>
        <w:t xml:space="preserve"> The European Parliament as the voice of the European citizens? Examining the European Parliament’s role as a representative of the European citizens in the 2019 elections — https://doi.org/10.36253/qoe-15524</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The European Parliament is considered a solution to the democratic deficit because the citizens of the EU directly elect it. This article aims to examine the validity of this claim. Concerning representativeness, the focus is on the homogeneity of rules and procedures used for electing the members of the European Parliament (MEPs). This homogeneity is considered as necessary for the EP to represent the EU citizens. Thus, it aims to assess the impact of the United Kingdom's withdrawal from the European Union on the level of homogeneity of the rules used to conduct the 2019 European Parliament elections. This work claims that the European Parliament's role as representative of European Citizens is weakened by the consistent level of heterogeneity characterising the electoral rules used to elect it and that the withdrawal of the UK and the partial redistribution of seats simultaneously increased and decreased the level of homogeneity of the rules used to elect the MEPs.</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article, climate, use, environmental;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Foraging Practices and Sustainable Management of Wild Food Resources in Europe: A Systematic Review — https://doi.org/10.3390/land12071299</w:t>
      </w:r>
    </w:p>
    <w:p>
      <w:pPr/>
      <w:r>
        <w:rPr>
          <w:b/>
        </w:rPr>
        <w:t>Shared claim-specific concepts:</w:t>
      </w:r>
      <w:r>
        <w:t xml:space="preserve"> aim, article, land, use; EU scope visible. This is a provisional connection, not an outcome finding.</w:t>
      </w:r>
    </w:p>
    <w:p>
      <w:pPr>
        <w:pStyle w:val="SourceNote"/>
      </w:pPr>
      <w:r>
        <w:rPr>
          <w:b/>
        </w:rPr>
        <w:t>Available abstract (not full text):</w:t>
      </w:r>
      <w:r>
        <w:t xml:space="preserve"> Wild food gathering activities (i.e., foraging practices) played an important role in securing food in the past. Nowadays, these resources and the knowledge around their use are experiencing a process of erosion. This article aims to identify the factors explaining the abandonment or, on the other hand, the preservation of foraging practices in Europe. The second aim is to analyze how these practices contribute to the economic and social development of local communities and to the sustainability of land management. A systematic review of the literature on European foraging practices was performed to answer these research questions. Following this approach, 111 publications were selected and analyzed. The results highlight that the reasons for the abandonment of foraging practices are related to socio-economic changes as well as changes in the environment such as reduced availability and land-use change. On the other hand, heritagization processes of these resources, such as wild plants sold as traditional local products, in restaurants, or as eco-tourism experiences, are emerging. The sustainability of these practices has not been widely evaluated in the literature. Efficient management strategies of wild food resources could help foster all three dimensions of sustainability at the local level, as well as help preserve traditional knowledge. This systematic review thus contrib</w:t>
      </w:r>
    </w:p>
    <w:p>
      <w:pPr/>
      <w:r>
        <w:rPr>
          <w:b/>
        </w:rPr>
        <w:t>POSSIBLE 2023:</w:t>
      </w:r>
      <w:r>
        <w:t xml:space="preserve"> Review article: A European perspective on wind and storm damage – from the meteorological background to index-based approaches to assess impacts — https://doi.org/10.5194/nhess-23-2171-2023</w:t>
      </w:r>
    </w:p>
    <w:p>
      <w:pPr/>
      <w:r>
        <w:rPr>
          <w:b/>
        </w:rPr>
        <w:t>Shared claim-specific concepts:</w:t>
      </w:r>
      <w:r>
        <w:t xml:space="preserve"> article, assess, land; EU scope visible. This is a provisional connection, not an outcome finding.</w:t>
      </w:r>
    </w:p>
    <w:p>
      <w:pPr>
        <w:pStyle w:val="SourceNote"/>
      </w:pPr>
      <w:r>
        <w:rPr>
          <w:b/>
        </w:rPr>
        <w:t>Available abstract (not full text):</w:t>
      </w:r>
      <w:r>
        <w:t xml:space="preserve"> Abstract. Wind and windstorms cause severe damage to natural and human-made environments. Thus, wind-related risk assessment is vital for the preparation and mitigation of calamities. However, the cascade of events leading to damage depends on many factors that are environment-specific and the available methods to address wind-related damage often require sophisticated analysis and specialization. Fortunately, simple indices and thresholds are as effective as complex mechanistic models for many applications. Nonetheless, the multitude of indices and thresholds available requires a careful selection process according to the target environment. Here, we first provide a basic background on wind and storm formation and characteristics, followed by a comprehensive collection of both indices and thresholds that can be used to predict the occurrence and magnitude of wind and storm damage. We focused on five key environments: forests, urban, transport, agriculture, and wind-based energy production. For each environment we described indices and thresholds relating to physical properties such as topography and land cover but also to economic aspects (e.g. disruptions in transportation or energy production). In the face of increased climatic variability, the promotion of more effective analysis of wind and storm damage could reduce the impact on society and the environment.</w:t>
      </w:r>
    </w:p>
    <w:p>
      <w:pPr>
        <w:pStyle w:val="Heading2"/>
      </w:pPr>
      <w:r>
        <w:t>913.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Chitosan with Natural Additives as a Potential Food Packaging — https://doi.org/10.3390/ma16041579</w:t>
      </w:r>
    </w:p>
    <w:p>
      <w:pPr/>
      <w:r>
        <w:rPr>
          <w:b/>
        </w:rPr>
        <w:t>Shared claim-specific concepts:</w:t>
      </w:r>
      <w:r>
        <w:t xml:space="preserve"> potential, packaging, common, further; EU scope not established. This is a provisional connection, not an outcome finding.</w:t>
      </w:r>
    </w:p>
    <w:p>
      <w:pPr>
        <w:pStyle w:val="SourceNote"/>
      </w:pPr>
      <w:r>
        <w:rPr>
          <w:b/>
        </w:rPr>
        <w:t>Available abstract (not full text):</w:t>
      </w:r>
      <w:r>
        <w:t xml:space="preserve">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pPr>
        <w:pStyle w:val="Heading2"/>
      </w:pPr>
      <w:r>
        <w:t>914.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r>
        <w:rPr>
          <w:b/>
        </w:rPr>
        <w:t>POSSIBLE 2023:</w:t>
      </w:r>
      <w:r>
        <w:t xml:space="preserve"> Stakeholder diversity and collaborative innovation: Integrating the resource-based view with stakeholder theory — https://doi.org/10.1016/j.jbusres.2023.113955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paper uses Stakeholder Theory to build on the Resource-Based View (RBV) of the firm – and its extension, the Knowledge-Based View (KBV) – and theoretically and empirically assesses how a choice of stakeholders with a diverse set of interests and motives affects the development of collaborative innovation. Theoretically, the paper discusses how collaborating with stakeholders with diverse motives and interests affects the development of diverse types of innovations; and whether and how a focal organisation's access to diverse information sources may influence the behaviour of different types of collaborators. The empirical analysis is based on Spanish Technological Innovation Panel (2015–2016) data. The results show that collaborations with secondary (primary) stakeholders are typically associated with the likelihood of developing eco-innovations (product and process innovations) and increased demand for skilled workers. We also find that access to diverse information sources is associated with the likelihood of collaborating with primary stakeholders only.</w:t>
      </w:r>
    </w:p>
    <w:p>
      <w:pPr/>
      <w:r>
        <w:rPr>
          <w:b/>
        </w:rPr>
        <w:t>POSSIBLE 2023:</w:t>
      </w:r>
      <w:r>
        <w:t xml:space="preserve"> Europe first? The rise of EU industrial policy promoting and protecting the single market — https://doi.org/10.1080/13501763.2023.2202684</w:t>
      </w:r>
    </w:p>
    <w:p>
      <w:pPr/>
      <w:r>
        <w:rPr>
          <w:b/>
        </w:rPr>
        <w:t>Shared claim-specific concepts:</w:t>
      </w:r>
      <w:r>
        <w:t xml:space="preserve"> integrated, area; EU scope visible. This is a provisional connection, not an outcome finding.</w:t>
      </w:r>
    </w:p>
    <w:p>
      <w:pPr>
        <w:pStyle w:val="SourceNote"/>
      </w:pPr>
      <w:r>
        <w:rPr>
          <w:b/>
        </w:rPr>
        <w:t>Available abstract (not full text):</w:t>
      </w:r>
      <w:r>
        <w:t xml:space="preserve"> Within Europe’s regulatory state, industrial policy has largely remained within national governments’ remit. Yet, a plethora of new supra- and cross-national industrial policy initiatives have recently emerged whereby the Commission proactively engages in pan-European activities to foster innovation and economic development. This article brings the ‘Developmental Network States’ (DNS) literature into dialogue with EU integration scholarship to explain both the timing of EU industrial policy’s rise since the mid-2010s and the variation in forms of EU integration of different industrial policy functions. Our analysis suggests that the Commission increasingly operates four major developmental functions akin to DNSs and aimed at promoting and protecting the single market. Neofunctionalist theories of EU integration explain these momentous shifts. The timing behind the rise of EU industrial policy is best explained as an interplay of functional, cultivated, and political spillovers, driven especially by the Franco-German realignment on pro-EU industrial policy positions since 2016. Variation in the governance forms of integrated EU industrial policy functions is instead explained in terms of the degree of pre-existing integration of extant policies, the low vs high politics nature of the policy domain and the types of externalities attached to the specific policy area.</w:t>
      </w:r>
    </w:p>
    <w:p>
      <w:pPr/>
      <w:r>
        <w:rPr>
          <w:b/>
        </w:rPr>
        <w:t>POSSIBLE 2023:</w:t>
      </w:r>
      <w:r>
        <w:t xml:space="preserve"> Past, present &amp; future of the european electricity market — https://openalex.org/W7113421957</w:t>
      </w:r>
    </w:p>
    <w:p>
      <w:pPr/>
      <w:r>
        <w:rPr>
          <w:b/>
        </w:rPr>
        <w:t>Shared claim-specific concepts:</w:t>
      </w:r>
      <w:r>
        <w:t xml:space="preserve"> stakeholders, landscape, however; EU scope visible. This is a provisional connection, not an outcome finding.</w:t>
      </w:r>
    </w:p>
    <w:p>
      <w:pPr>
        <w:pStyle w:val="SourceNote"/>
      </w:pPr>
      <w:r>
        <w:rPr>
          <w:b/>
        </w:rPr>
        <w:t>Available abstract (not full text):</w:t>
      </w:r>
      <w:r>
        <w:t xml:space="preserve"> Europe faces two intertwined challenges of critical importance: the urgent need to combat climate change and the complex geopolitical landscape, particularly concerning Russia. Climate change poses a severe threat, demanding immediate and concerted action. European countries have been at the forefront of climate change mitigation efforts, implementing ambitious emission reduction targets and promoting sustainable practices. However, addressing climate change requires comprehensive approaches that transcend domestic initiatives. Simultaneously, Europe's energy landscape is closely tied to geopolitics, with concerns surrounding energy security and dependence on Russian energy imports. Russia’s invasion of Ukraine in February 2022 has profoundly affected global energy markets. Price volatility, supply shortages, security issues, and economic uncertainty have contributed to what the International Energy Agency (IEA) calls “the first truly global energy crisis, with impacts that will be felt for years to come.” This paper examines the potential of renewable energy sources and a new power market to tackle climate change and reduce Europe's vulnerability to geopolitical pressures. We seek to provide insights and recommendations for policymakers, industry stakeholders, and civil society by analyzing policies, market dynamics, technological advancements, and potential collaborations</w:t>
      </w:r>
    </w:p>
    <w:p>
      <w:pPr/>
      <w:r>
        <w:rPr>
          <w:b/>
        </w:rPr>
        <w:t>POSSIBLE 2023:</w:t>
      </w:r>
      <w:r>
        <w:t xml:space="preserve"> Open banking and inclusive finance in the European Union: perspectives from the Dutch stakeholder ecosystem — https://doi.org/10.1186/s40854-023-00522-1</w:t>
      </w:r>
    </w:p>
    <w:p>
      <w:pPr/>
      <w:r>
        <w:rPr>
          <w:b/>
        </w:rPr>
        <w:t>Shared claim-specific concepts:</w:t>
      </w:r>
      <w:r>
        <w:t xml:space="preserve"> technology, landscape, however, based; EU scope visible. This is a provisional connection, not an outcome finding.</w:t>
      </w:r>
    </w:p>
    <w:p>
      <w:pPr>
        <w:pStyle w:val="SourceNote"/>
      </w:pPr>
      <w:r>
        <w:rPr>
          <w:b/>
        </w:rPr>
        <w:t>Available abstract (not full text):</w:t>
      </w:r>
      <w:r>
        <w:t xml:space="preserve"> Abstract In the European Union (EU), the revised Payment Services Directive (PSD2) aims to provide more convenient and customized financial products through open banking (OB) platforms. However, little attention has been paid to the role of OB in improving the financial well-being of the growing number of the EU’s underserved groups, which currently constitute approximately a quarter of its population. This study examines how the PSD2 and OB impact inclusive finance in the EU based on the perspectives of the Netherlands’ ecosystem, one of the leaders in the EU’s financial technology (FinTech) landscape. A fundamental distinction can be drawn between the OB users and the ecosystem’s players. Regarding the impact of financial services on the users’ inclusivity, while the PSD2 strengthens the infrastructure necessary for financial inclusion, many challenges remain, mainly because it was not designed for this purpose. This study identifies several areas of improvement that include adjustments to the know your customer and anti-money laundering processes for underserved customers, innovative ways to communicate the PSD2’s potential, and the regulation of technology providers’ activities to build trust. Meanwhile, from the ecosystem’s position, there is a need to strengthen and improve microfinance regulation according to the opportunities provided by the PSD2 to support microfinance</w:t>
      </w:r>
    </w:p>
    <w:p>
      <w:pPr>
        <w:pStyle w:val="Heading2"/>
      </w:pPr>
      <w:r>
        <w:t>915.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r>
        <w:rPr>
          <w:b/>
        </w:rPr>
        <w:t>POSSIBLE 2023:</w:t>
      </w:r>
      <w:r>
        <w:t xml:space="preserve"> How different incentives influence reported motivation and perceptions of performance in Ghanaian community-based health planning and services zones — https://doi.org/10.1186/s13104-023-06286-2</w:t>
      </w:r>
    </w:p>
    <w:p>
      <w:pPr/>
      <w:r>
        <w:rPr>
          <w:b/>
        </w:rPr>
        <w:t>Shared claim-specific concepts:</w:t>
      </w:r>
      <w:r>
        <w:t xml:space="preserve"> planning, four, different, two, care; EU scope not established. This is a provisional connection, not an outcome finding.</w:t>
      </w:r>
    </w:p>
    <w:p>
      <w:pPr>
        <w:pStyle w:val="SourceNote"/>
      </w:pPr>
      <w:r>
        <w:rPr>
          <w:b/>
        </w:rPr>
        <w:t>Available abstract (not full text):</w:t>
      </w:r>
      <w:r>
        <w:t xml:space="preserve"> BACKGROUND: Maternal mortality is still a burden worldwide, and Ghana's maternal and child mortalities are still high. Incentive schemes have been effective in improving health workers' performance thereby reducing maternal and child deaths. The efficiency of public health services in most developing countries has been linked to the provision of incentives. Thus, financial packages for Community Health Volunteers (CHVs) serve as enablers for them to be focused and committed to their work. However, the poor performance of CHVs is still a challenge in health service delivery in many developing countries. Although the reasons for these persistent problems are understood, we need to find out how to implement what works in the face of political will and financial constraints. This study assesses how different incentives influence reported motivation and perceptions of performance in Community-based Health Planning and Services Program (CHPS) zones in the Upper East region. METHODS: A quasi-experimental study design with post-intervention measurement was used. Performance-based interventions were implemented for 1 year in the Upper East region. The different interventions were rolled out in 55 of 120 CHPS zones. The 55 CHPS zones were randomly assigned to four groups: three groups of 14 CHPS zones with the last group containing 13 CHPS zones. Several alternative types of financial an</w:t>
      </w:r>
    </w:p>
    <w:p>
      <w:pPr/>
      <w:r>
        <w:rPr>
          <w:b/>
        </w:rPr>
        <w:t>POSSIBLE 2022:</w:t>
      </w:r>
      <w:r>
        <w:t xml:space="preserve"> A Study on the Translatability of the Developmental Assessment Report into the Individualized Education Plan in the Philippines — https://doi.org/10.1080/1034912x.2022.2095557</w:t>
      </w:r>
    </w:p>
    <w:p>
      <w:pPr/>
      <w:r>
        <w:rPr>
          <w:b/>
        </w:rPr>
        <w:t>Shared claim-specific concepts:</w:t>
      </w:r>
      <w:r>
        <w:t xml:space="preserve"> reports, four, different; EU scope not established. This is a provisional connection, not an outcome finding.</w:t>
      </w:r>
    </w:p>
    <w:p>
      <w:pPr>
        <w:pStyle w:val="SourceNote"/>
      </w:pPr>
      <w:r>
        <w:rPr>
          <w:b/>
        </w:rPr>
        <w:t>Available abstract (not full text):</w:t>
      </w:r>
      <w:r>
        <w:t xml:space="preserve"> The Special Education Process (SEP) demands the collaboration of various professionals and personalities to create the Individualised Education Plan (IEP), beginning with the evaluation conducted by clinical psychologists, psychiatrists and in this study, developmental paediatricians. Assessments acts as a keystone document, serving as basis for determining placement levels, student support requirements and depth of academic training to be implemented. With inclusion gradually being implemented in the Philippines, the study sought to determine the translatability of the assessment report produced by developmental paediatricians into the IEP. The study used documentary analysis of 50 individualised education plans derived from the assessment reports of 10 different developmental paediatricians. The documents were analysed to determine the presence of components needed to refer to in making the IEP. The data shows that the assessment reports have four components, namely profile, present level of condition, report and recommendation. These components can be used as reference material in creating the IEP, and as a basis for a structured approach in creating the document. However, the study also shows how the report content and structure slightly differ for each other, making some of the reports easier to refer to compared to others.</w:t>
      </w:r>
    </w:p>
    <w:p>
      <w:pPr/>
      <w:r>
        <w:rPr>
          <w:b/>
        </w:rPr>
        <w:t>POSSIBLE 2022:</w:t>
      </w:r>
      <w:r>
        <w:t xml:space="preserve"> Measurement invariance testing using confirmatory factor analysis and alignment optimization: A tutorial for transparent analysis planning and reporting. — https://doi.org/10.1037/met0000441</w:t>
      </w:r>
    </w:p>
    <w:p>
      <w:pPr/>
      <w:r>
        <w:rPr>
          <w:b/>
        </w:rPr>
        <w:t>Shared claim-specific concepts:</w:t>
      </w:r>
      <w:r>
        <w:t xml:space="preserve"> planning, four, different, two; EU scope not established. This is a provisional connection, not an outcome finding.</w:t>
      </w:r>
    </w:p>
    <w:p>
      <w:pPr>
        <w:pStyle w:val="SourceNote"/>
      </w:pPr>
      <w:r>
        <w:rPr>
          <w:b/>
        </w:rPr>
        <w:t>Available abstract (not full text):</w:t>
      </w:r>
      <w:r>
        <w:t xml:space="preserve"> Measurement invariance-the notion that the measurement properties of a scale are equal across groups, contexts, or time-is an important assumption underlying much of psychology research. The traditional approach for evaluating measurement invariance is to fit a series of nested measurement models using multiple-group confirmatory factor analyses. However, traditional approaches are strict, vary across the field in implementation, and present multiplicity challenges, even in the simplest case of two groups under study. The alignment method was recently proposed as an alternative approach. This method is more automated, requires fewer decisions from researchers, and accommodates two or more groups. However, it has different assumptions, estimation techniques, and limitations from traditional approaches. To address the lack of accessible resources that explain the methodological differences and complexities between the two approaches, we introduce and illustrate both, comparing them side by side. First, we overview the concepts, assumptions, advantages, and limitations of each approach. Based on this overview, we propose a list of four key considerations to help researchers decide which approach to choose and how to document their analytical decisions in a preregistration or analysis plan. We then demonstrate our key considerations on an illustrative research question using an ope</w:t>
      </w:r>
    </w:p>
    <w:p>
      <w:pPr>
        <w:pStyle w:val="Heading2"/>
      </w:pPr>
      <w:r>
        <w:t>916.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r>
        <w:rPr>
          <w:b/>
        </w:rPr>
        <w:t>POSSIBLE 2024:</w:t>
      </w:r>
      <w:r>
        <w:t xml:space="preserve"> Working with Sport Clients in Transitions: Four Practitioners, Four Narratives — https://doi.org/10.1080/21520704.2024.2366828</w:t>
      </w:r>
    </w:p>
    <w:p>
      <w:pPr/>
      <w:r>
        <w:rPr>
          <w:b/>
        </w:rPr>
        <w:t>Shared claim-specific concepts:</w:t>
      </w:r>
      <w:r>
        <w:t xml:space="preserve"> four, narratives, each, practice; EU scope not established. This is a provisional connection, not an outcome finding.</w:t>
      </w:r>
    </w:p>
    <w:p>
      <w:pPr>
        <w:pStyle w:val="SourceNote"/>
      </w:pPr>
      <w:r>
        <w:rPr>
          <w:b/>
        </w:rPr>
        <w:t>Available abstract (not full text):</w:t>
      </w:r>
      <w:r>
        <w:t xml:space="preserve"> In this paper, we aim to present four narratives disclosing our applied experiences of working with sport clients in transitions. Within the narratives, each practitioner reflected on their professional philosophy, approaches used in practice, and provided a case illustration. The four included cases on transitions of a student-athlete, a retired jockey, a novice baseball coach, and a basketball coach were informed by diversified developmental theoretical perspectives, employing context-driven approaches, and person-centered collaborations. Consistent with the literature, we share effective ways of developing client awareness of the transition demands/barriers, helping them become more resourceful to cope, supporting their coping strategies, and stimulating reflexivity on their transition experience.</w:t>
      </w:r>
    </w:p>
    <w:p>
      <w:pPr/>
      <w:r>
        <w:rPr>
          <w:b/>
        </w:rPr>
        <w:t>POSSIBLE 2024:</w:t>
      </w:r>
      <w:r>
        <w:t xml:space="preserve"> Time and Space in the Narrative of Teacher Education — https://openalex.org/W7216888903</w:t>
      </w:r>
    </w:p>
    <w:p>
      <w:pPr/>
      <w:r>
        <w:rPr>
          <w:b/>
        </w:rPr>
        <w:t>Shared claim-specific concepts:</w:t>
      </w:r>
      <w:r>
        <w:t xml:space="preserve"> four, narratives, time, developed, narrative; EU scope not established. This is a provisional connection, not an outcome finding.</w:t>
      </w:r>
    </w:p>
    <w:p>
      <w:pPr>
        <w:pStyle w:val="SourceNote"/>
      </w:pPr>
      <w:r>
        <w:rPr>
          <w:b/>
        </w:rPr>
        <w:t>Available abstract (not full text):</w:t>
      </w:r>
      <w:r>
        <w:t xml:space="preserve"> This study explores the education narrative that has developed during one year in a clinical model of a teacher education program - academia class program. The study aims to describe the nature of the education process by monitoring the chronotope according to the narrative model conceived by Bakhtin, as well as assessing the references and contexts encompassed in a multi-voice narrative – in an ecological prospective. The findings indicate four different narratives that occur within one framework narrative. The analysis of findings according to the eco-system principles have resulted in the consolidation of a 5C type ecological model: context, continuity, characteristics, change, and coherence. The narrative model and the ecological model proposed in this study enhance the understanding of the nature of the education process, and offer rethinking the way policymakers shape the dimensions of time and space in teacher education, and their price in relation to processes of this kind.</w:t>
      </w:r>
    </w:p>
    <w:p>
      <w:pPr/>
      <w:r>
        <w:rPr>
          <w:b/>
        </w:rPr>
        <w:t>POSSIBLE 2024:</w:t>
      </w:r>
      <w:r>
        <w:t xml:space="preserve"> Ammianus’ Digressions and their Narrative Impact — https://doi.org/10.1515/9783111320908-013</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Ammianus’ Res Gestae contains some thirty-two digressions. These vary considerably in length and content. This chapter examines the narrative impact of four of these digressions, namely Julian’s Thracian campaign (22.8.1- 48), the Persian pearls (23.6.85-88), the tragedian Phrynichus (28.1.2-5), and the bissextile day (26.1.7-14). These digressions suggest alternate histories, foreshadow plot developments, engage in metaliterary reflections on the narrative, and develop coded polemics, all the while providing powerful symbols for understanding the motivations and challenges of the leaders of the Roman empire in the fourth century. Each digression is directly connected to the main text, situated within a network of digressions, as they reflect the history and historical vantage point of Ammianus’ age, and provide ample scope for metaphorical, allusive, narratological, and political implications.</w:t>
      </w:r>
    </w:p>
    <w:p>
      <w:pPr/>
      <w:r>
        <w:rPr>
          <w:b/>
        </w:rPr>
        <w:t>POSSIBLE 2023:</w:t>
      </w:r>
      <w:r>
        <w:t xml:space="preserve"> Perspectives on Narrative Time in Chinese Cinema — https://doi.org/10.1515/jcfs-2023-0010</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Abstract The unique view of time rooted in traditional Chinese culture is distinct from that of Western countries. In the Eastern perspective, eternity and evanescence are unified in the axiom: “The passage of time is like flowing water.” This concept also creates a different perspective on narrative time in Chinese films, compared with Western films. In the Chinese perspective, firstly, traditional laws of time are fully respected, and the four seasons, solar terms, and festivals are often seen as time nodes; secondly, a nationally imagined unity of time and space is followed, and expressions of time are likely to be integrated into artistic images such as objects, weather phenomena, and natural landscapes; thirdly, the cognitive laws of nature are respected whereby the linear or circumferential track is adopted and therefore a sense of leisure comes up in resonance; finally, the time scale is based on perception, and Chinese aesthetic style is thus construed while fulfilling the needs of narrative.</w:t>
      </w:r>
    </w:p>
    <w:p>
      <w:pPr/>
      <w:r>
        <w:rPr>
          <w:b/>
        </w:rPr>
        <w:t>POSSIBLE 2023:</w:t>
      </w:r>
      <w:r>
        <w:t xml:space="preserve"> Narrative, Time, and Disaster — https://doi.org/10.1215/00295132-10562980</w:t>
      </w:r>
    </w:p>
    <w:p>
      <w:pPr/>
      <w:r>
        <w:rPr>
          <w:b/>
        </w:rPr>
        <w:t>Shared claim-specific concepts:</w:t>
      </w:r>
      <w:r>
        <w:t xml:space="preserve"> four, narratives, time, developed, each, area; EU scope not established. This is a provisional connection, not an outcome finding.</w:t>
      </w:r>
    </w:p>
    <w:p>
      <w:pPr>
        <w:pStyle w:val="SourceNote"/>
      </w:pPr>
      <w:r>
        <w:rPr>
          <w:b/>
        </w:rPr>
        <w:t>Available abstract (not full text):</w:t>
      </w:r>
      <w:r>
        <w:t xml:space="preserve"> In 2004 I joined a student volunteer group. I was a graduate student in Johannesburg, and our volunteer group taught at an unregistered school in an informal settlement in Eikenhof, south of Johannesburg, once a week. The school had no full-time teachers because it was not recognized by the government. In December we put together food parcels to distribute to people living with HIV in the area. Our visits were difficult. Many of the patients had full-blown AIDS. I remember one woman had a five-year-old son—a stylish little gent who cheerfully chatted with us and asked us to photograph him in different poses. His mother had little time left. She told us she had been on antiretroviral medication dispensed by the clinic at no charge but had stopped taking them because they made her sicker. She did not have consistent access to food. Sitting in her home, I kept thinking the zinc and cardboard shack was no match for Johannesburg's brutal winters. I felt defeated—defeated by the futility of our volunteer teaching and our December visits, which were thin Band-Aids on deep wounds. The visits triggered other memories. They reminded me of 1999, when I visited my grandfather during school holidays back in Kenya. I knew my aunt had been unwell but hadn't realized how seriously ill she was. Soon after exchanging greetings, my grandfather said: “enda uone mama yako, labda alikuwa anakungoja”</w:t>
      </w:r>
    </w:p>
    <w:p>
      <w:pPr/>
      <w:r>
        <w:rPr>
          <w:b/>
        </w:rPr>
        <w:t>POSSIBLE 2023:</w:t>
      </w:r>
      <w:r>
        <w:t xml:space="preserve"> Concordance Between Quranic Narrative of Adam and Hindu Narrative of Swayambhuva Manu — https://openalex.org/W7216850550</w:t>
      </w:r>
    </w:p>
    <w:p>
      <w:pPr/>
      <w:r>
        <w:rPr>
          <w:b/>
        </w:rPr>
        <w:t>Shared claim-specific concepts:</w:t>
      </w:r>
      <w:r>
        <w:t xml:space="preserve"> four, narratives, time, each, narrative; EU scope not established. This is a provisional connection, not an outcome finding.</w:t>
      </w:r>
    </w:p>
    <w:p>
      <w:pPr>
        <w:pStyle w:val="SourceNote"/>
      </w:pPr>
      <w:r>
        <w:rPr>
          <w:b/>
        </w:rPr>
        <w:t>Available abstract (not full text):</w:t>
      </w:r>
      <w:r>
        <w:t xml:space="preserve"> Adam was the first Prophet in Islamic tradition while Swayambhuva Manu was the progenitor of the human race in the Hindu tradition. We trace the parallels between the Islamic narrative of Adam and Hindu narrative of Swayambhuva Manu on four narrations. (1) Beginnings in a situation of a primitive stupor; (2) The negative qualities of black mud or darkness were introduced to break the primitive stupor; (3) The beginning of marriage took place at their time; and (4) Adam was a Prophet while Swayambhuva was venerated as the first progenitor of humankind. These parallel narrations suggest that they may have been the same person sometime in the distant past and their details are available to us differently due to the modifications during long time of transmission. Basically, their life narratives concord with each other. This concordance means that the underlying theological concepts in their lives may also be parallel. We find that the theological concepts relating to these two persons in the two religions are non-contradictory also largely concord with each other though certain silences make them appear to be different. This concordance in the narratives and theological concepts can help develop a mutual understanding between the two religions.</w:t>
      </w:r>
    </w:p>
    <w:p>
      <w:pPr/>
      <w:r>
        <w:rPr>
          <w:b/>
        </w:rPr>
        <w:t>POSSIBLE 2023:</w:t>
      </w:r>
      <w:r>
        <w:t xml:space="preserve"> How Does Automation Shape the Process of Narrative Visualization: A Survey of Tools — https://doi.org/10.1109/tvcg.2023.3261320</w:t>
      </w:r>
    </w:p>
    <w:p>
      <w:pPr/>
      <w:r>
        <w:rPr>
          <w:b/>
        </w:rPr>
        <w:t>Shared claim-specific concepts:</w:t>
      </w:r>
      <w:r>
        <w:t xml:space="preserve"> four, developed, each, narrative, key; EU scope not established. This is a provisional connection, not an outcome finding.</w:t>
      </w:r>
    </w:p>
    <w:p>
      <w:pPr>
        <w:pStyle w:val="SourceNote"/>
      </w:pPr>
      <w:r>
        <w:rPr>
          <w:b/>
        </w:rPr>
        <w:t>Available abstract (not full text):</w:t>
      </w:r>
      <w:r>
        <w:t xml:space="preserve"> In recent years, narrative visualization has gained much attention. Researchers have proposed different design spaces for various narrative visualization genres and scenarios to facilitate the creation process. As users' needs grow and automation technologies advance, increasingly more tools have been designed and developed. In this study, we summarized six genres of narrative visualization (annotated charts, infographics, timelines &amp; storylines, data comics, scrollytelling &amp; slideshow, and data videos) based on previous research and four types of tools (design spaces, authoring tools, ML/AI-supported tools and ML/AI-generator tools) based on the intelligence and automation level of the tools. We surveyed 105 papers and tools to study how automation can progressively engage in visualization design and narrative processes to help users easily create narrative visualizations. This research aims to provide an overview of current research and development in the automation involvement of narrative visualization tools. We discuss key research problems in each category and suggest new opportunities to encourage further research in the related domain.</w:t>
      </w:r>
    </w:p>
    <w:p>
      <w:pPr>
        <w:pStyle w:val="Heading2"/>
      </w:pPr>
      <w:r>
        <w:t>917.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r>
        <w:rPr>
          <w:b/>
        </w:rPr>
        <w:t>POSSIBLE 2023:</w:t>
      </w:r>
      <w:r>
        <w:t xml:space="preserve"> Extreme heat and drought typical of an end-of-century climate could occur over Europe soon and repeatedly — https://doi.org/10.1038/s43247-023-01075-y</w:t>
      </w:r>
    </w:p>
    <w:p>
      <w:pPr/>
      <w:r>
        <w:rPr>
          <w:b/>
        </w:rPr>
        <w:t>Shared claim-specific concepts:</w:t>
      </w:r>
      <w:r>
        <w:t xml:space="preserve"> over, two, climate; EU scope visible. This is a provisional connection, not an outcome finding.</w:t>
      </w:r>
    </w:p>
    <w:p>
      <w:pPr>
        <w:pStyle w:val="SourceNote"/>
      </w:pPr>
      <w:r>
        <w:rPr>
          <w:b/>
        </w:rPr>
        <w:t>Available abstract (not full text):</w:t>
      </w:r>
      <w:r>
        <w:t xml:space="preserve"> Abstract Extreme heat and drought levels typical of an end-of-century climate could occur swiftly, and repeatedly. Despite the European climate being potentially prone to multi-year successive extremes due to the influence of the North Atlantic variability, it remains unclear how the likelihood of such successive extremes changes under warming, how early they could reach end-of-century levels, and how this is affected by internal climate variability. Using the MPI Grand Ensemble, we find that even under moderate warming, end-of-century heat and drought levels virtually impossible 20 years ago reach 1-in-10 likelihoods as early as the 2030s. By 2050-2075, two successive years of single or compound end-of-century extremes, unprecedented to date, exceed 1-in-10 likelihoods; while Europe-wide 5-year megadroughts become plausible. Whole decades of end-of-century heat stress could start by 2040, by 2020 for rain-deficit drought, and end-of-century decades starting as early as 2030 become twice as likely under a warm North Atlantic state.</w:t>
      </w:r>
    </w:p>
    <w:p>
      <w:pPr/>
      <w:r>
        <w:rPr>
          <w:b/>
        </w:rPr>
        <w:t>POSSIBLE 2023:</w:t>
      </w:r>
      <w:r>
        <w:t xml:space="preserve"> Rapid range shifts in African Anopheles mosquitoes over the last century — https://doi.org/10.1098/rsbl.2022.0365</w:t>
      </w:r>
    </w:p>
    <w:p>
      <w:pPr/>
      <w:r>
        <w:rPr>
          <w:b/>
        </w:rPr>
        <w:t>Shared claim-specific concepts:</w:t>
      </w:r>
      <w:r>
        <w:t xml:space="preserve"> here, range, over, century, climate, one; EU scope not established. This is a provisional connection, not an outcome finding.</w:t>
      </w:r>
    </w:p>
    <w:p>
      <w:pPr>
        <w:pStyle w:val="SourceNote"/>
      </w:pPr>
      <w:r>
        <w:rPr>
          <w:b/>
        </w:rPr>
        <w:t>Available abstract (not full text):</w:t>
      </w:r>
      <w:r>
        <w:t xml:space="preserve"> Abstract Facing a warming climate, many tropical species-including the arthropod vectors of several infectious diseases-will be displaced to higher latitudes and elevations. These shifts are frequently forecasted for the future, but rarely documented in the present day. Here, we use one of the most comprehensive datasets ever compiled by medical entomologists to track the observed range limits of African malaria mosquito vectors ( Anopheles spp.) from 1898 to 2016. Using a simple regression approach, we estimate that these species’ ranges gained an average of 6.5 meters of elevation per year, and the southern limits of their ranges moved polewards 4.7 kilometers per year. These shifts are consistent with the local velocity of climate change, and might help explain the incursion of malaria transmission into new areas over the past few decades. Confirming that climate change underlies these shifts, and applying similar methods to other disease vectors, are important directions for future research.</w:t>
      </w:r>
    </w:p>
    <w:p>
      <w:pPr/>
      <w:r>
        <w:rPr>
          <w:b/>
        </w:rPr>
        <w:t>POSSIBLE 2023:</w:t>
      </w:r>
      <w:r>
        <w:t xml:space="preserve"> The Long Sixth Century in Eastern Europe — https://doi.org/10.5406/23300841.68.3.19</w:t>
      </w:r>
    </w:p>
    <w:p>
      <w:pPr/>
      <w:r>
        <w:rPr>
          <w:b/>
        </w:rPr>
        <w:t>Shared claim-specific concepts:</w:t>
      </w:r>
      <w:r>
        <w:t xml:space="preserve"> here, century, migration, two, one, use; EU scope visible. This is a provisional connection, not an outcome finding.</w:t>
      </w:r>
    </w:p>
    <w:p>
      <w:pPr>
        <w:pStyle w:val="SourceNote"/>
      </w:pPr>
      <w:r>
        <w:rPr>
          <w:b/>
        </w:rPr>
        <w:t>Available abstract (not full text):</w:t>
      </w:r>
      <w:r>
        <w:t xml:space="preserve"> The transformative nature of the sixth century has always seemed obvious to historians of the medieval West, who see the period as the long transition from the political structures of the late Roman empire to the kingdoms of the early Middle Ages. In his new book, archaeologist-historian Florin Curta for the first time provides an overarching and compelling argument for the vital importance of the transformation which “Eastern Europe”—as Curta points out, two-thirds of the European continent by area (p. 3)—underwent in the same time period. It is no small accomplishment—no written sources exist for the vast majority of the territory discussed in the period, and archaeological resources are often fragmentary, inconclusive, and subject to nationalist controversy. In providing a synthesis with a geographical scope ranging from the Balkans to the Russian taiga, the author has had to wrestle with a bewildering variety of source-types, languages, and historiographical traditions. But Curta proceeds in exemplary fashion, guiding the reader at a rapid clip from the edges of the eastern Roman empire north and east, regions largely ignored by traditional medievalists and ancient historians alike.This neglect is the main villain of Curta's monograph. The author trains his ire especially on Chris Wickham's magisterial Framing the Early Middle Ages, a synthesis of the early European economy</w:t>
      </w:r>
    </w:p>
    <w:p>
      <w:pPr>
        <w:pStyle w:val="Heading2"/>
      </w:pPr>
      <w:r>
        <w:t>918.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r>
        <w:rPr>
          <w:b/>
        </w:rPr>
        <w:t>POSSIBLE 2023:</w:t>
      </w:r>
      <w:r>
        <w:t xml:space="preserve"> The smaller, the better? First evaluation of growth and mortality in crayfish internally tagged with p-Chips — https://doi.org/10.1093/jcbiol/ruad071</w:t>
      </w:r>
    </w:p>
    <w:p>
      <w:pPr/>
      <w:r>
        <w:rPr>
          <w:b/>
        </w:rPr>
        <w:t>Shared claim-specific concepts:</w:t>
      </w:r>
      <w:r>
        <w:t xml:space="preserve"> mass, between, different; EU scope not established. This is a provisional connection, not an outcome finding.</w:t>
      </w:r>
    </w:p>
    <w:p>
      <w:pPr>
        <w:pStyle w:val="SourceNote"/>
      </w:pPr>
      <w:r>
        <w:rPr>
          <w:b/>
        </w:rPr>
        <w:t>Available abstract (not full text):</w:t>
      </w:r>
      <w:r>
        <w:t xml:space="preserve"> Abstract Small-bodied aquatic animals present a challenge to researchers seeking to uniquely mark individuals for scientific study. Microtransponder tags, such as p-Chips, represent the smallest electronic animal tags available to meet this need. The use of p-Chips to tag freshwater crayfishes, however, has not been explored. The goal of this study, therefore, was to determine the effects of p-Chip tagging on growth and survival of crayfishes in a controlled laboratory environment. We also investigated potential influences from variables such as sex, reproductive form, number of molt events, and crayfish size on mortality. We internally tagged individuals of the woodland crayfish Faxonius hylas (Faxon, 1890) (12.2–26.6 mm carapace length; CL) with either one p-Chip (single-tag) or one p-Chip and one visual implant elastomer tag (double-tagged) and observed the effects over a period of 90 days. Survival probability over time was not statistically different (P &gt; 0.05) among tagging groups, sex, and reproductive form. Survival rates were similar across all tagging groups, with 75% in the control group, 77% in the double-tagged group, and 78% in the single-tag group. A strong correlation, however, was observed between survival and the number of molt events. Additionally, there was a negative correlation between survival and crayfish size (CL), indicating a higher risk of mortality </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r>
        <w:rPr>
          <w:b/>
        </w:rPr>
        <w:t>POSSIBLE 2022:</w:t>
      </w:r>
      <w:r>
        <w:t xml:space="preserve"> The impact of mass migration of Syrians on the Turkish labor market — https://doi.org/10.1016/j.labeco.2022.102183</w:t>
      </w:r>
    </w:p>
    <w:p>
      <w:pPr/>
      <w:r>
        <w:rPr>
          <w:b/>
        </w:rPr>
        <w:t>Shared claim-specific concepts:</w:t>
      </w:r>
      <w:r>
        <w:t xml:space="preserve"> mass, migration;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Educational Problems of Mass Migration — https://doi.org/10.4324/9781003172246-22</w:t>
      </w:r>
    </w:p>
    <w:p>
      <w:pPr/>
      <w:r>
        <w:rPr>
          <w:b/>
        </w:rPr>
        <w:t>Shared claim-specific concepts:</w:t>
      </w:r>
      <w:r>
        <w:t xml:space="preserve"> third, mass, migration, world; EU scope not established. This is a provisional connection, not an outcome finding.</w:t>
      </w:r>
    </w:p>
    <w:p>
      <w:pPr>
        <w:pStyle w:val="SourceNote"/>
      </w:pPr>
      <w:r>
        <w:rPr>
          <w:b/>
        </w:rPr>
        <w:t>Available abstract (not full text):</w:t>
      </w:r>
      <w:r>
        <w:t xml:space="preserve">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pPr/>
      <w:r>
        <w:rPr>
          <w:b/>
        </w:rPr>
        <w:t>POSSIBLE 2022:</w:t>
      </w:r>
      <w:r>
        <w:t xml:space="preserve"> Struggles With Mass-Migrations, National- and State-Interests in the Late Habsburg Empire — https://doi.org/10.4324/9781003246619-13</w:t>
      </w:r>
    </w:p>
    <w:p>
      <w:pPr/>
      <w:r>
        <w:rPr>
          <w:b/>
        </w:rPr>
        <w:t>Shared claim-specific concepts:</w:t>
      </w:r>
      <w:r>
        <w:t xml:space="preserve"> third, mass, migration, different, policies; EU scope visible. This is a provisional connection, not an outcome finding.</w:t>
      </w:r>
    </w:p>
    <w:p>
      <w:pPr>
        <w:pStyle w:val="SourceNote"/>
      </w:pPr>
      <w:r>
        <w:rPr>
          <w:b/>
        </w:rPr>
        <w:t>Available abstract (not full text):</w:t>
      </w:r>
      <w:r>
        <w:t xml:space="preserve">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pPr/>
      <w:r>
        <w:rPr>
          <w:b/>
        </w:rPr>
        <w:t>POSSIBLE 2022:</w:t>
      </w:r>
      <w:r>
        <w:t xml:space="preserve"> Civic Education in the Age of Mass Migration: Implications for Theory and Practice — https://doi.org/10.17763/1943-5045-92.2.304a</w:t>
      </w:r>
    </w:p>
    <w:p>
      <w:pPr/>
      <w:r>
        <w:rPr>
          <w:b/>
        </w:rPr>
        <w:t>Shared claim-specific concepts:</w:t>
      </w:r>
      <w:r>
        <w:t xml:space="preserve"> third, mass, migration, purpose, between; EU scope not established. This is a provisional connection, not an outcome finding.</w:t>
      </w:r>
    </w:p>
    <w:p>
      <w:pPr>
        <w:pStyle w:val="SourceNote"/>
      </w:pPr>
      <w:r>
        <w:rPr>
          <w:b/>
        </w:rPr>
        <w:t>Available abstract (not full text):</w:t>
      </w:r>
      <w:r>
        <w:t xml:space="preserve"> Civic Education in the Age of Mass Migration: Implications for Theory and Practice opens with a discussion of a key tension between civic education and citizenship as a legal construct. While civic education focuses on membership, or belonging within a community, the process of legally creating citizens requires drawing lines to exclude those who do not belong. The construction of citizens necessitates the creation of non-citizens. Further, the boundaries of citizenship that cleave de jure citizens (those with formal legal status) from de facto citizens (members of society based on their social, political, and economic connections) have historically aligned with, reinforced, and formalized the exclusion of marginalized and oppressed groups. In this, her latest book on civic education in the United States, Angela Banks argues that “citizenship boundaries in the United States have been, and continue to be, structured in ways that violate the egalitarian norm with regard to race, class, and gender” (p. 13). Despite this, civic education usually frames citizenship as purely inclusive, an approach that is both limiting and problematic.The book begins with an overview of the history and development of the main strands of civic education, including a discussion of why civic education must interrogate the boundaries of citizenship in order to more effectively meet its purpose. In chapt</w:t>
      </w:r>
    </w:p>
    <w:p>
      <w:pPr>
        <w:pStyle w:val="Heading2"/>
      </w:pPr>
      <w:r>
        <w:t>919.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2023:</w:t>
      </w:r>
      <w:r>
        <w:t xml:space="preserve"> Methodology of a Circular Economy in a Specific Territory — https://doi.org/10.3390/su151310363</w:t>
      </w:r>
    </w:p>
    <w:p>
      <w:pPr/>
      <w:r>
        <w:rPr>
          <w:b/>
        </w:rPr>
        <w:t>Shared claim-specific concepts:</w:t>
      </w:r>
      <w:r>
        <w:t xml:space="preserve"> territory, capacity, developed, sustainable; EU scope not established. This is a provisional connection, not an outcome finding.</w:t>
      </w:r>
    </w:p>
    <w:p>
      <w:pPr>
        <w:pStyle w:val="SourceNote"/>
      </w:pPr>
      <w:r>
        <w:rPr>
          <w:b/>
        </w:rPr>
        <w:t>Available abstract (not full text):</w:t>
      </w:r>
      <w:r>
        <w:t xml:space="preserve"> This article refers to the UN Sustainable Development Goals (SDGs), adopted in 2015 by the 193 countries of the UN General Assembly, of which Goal 12: Ensure sustainable consumption and production patterns has important implications for achieving a zero-waste, circular economy. The methodology of achieving integrated zero-waste production and a circular economy is discussed for application in a specific territory. The methodology consists of the following key aspects: (a) a targeted program of zero-waste production addressing problems concerning industrial and domestic waste in a specific territory; (b) targeted zero-waste production subprograms addressing industrial waste problems; (c) Industry 4.0 technologies involved in the development of a circular economy in a specific territory; (d) involvement of residents of a territory in collectively addressing all environmental problems and participating in zero-waste production organizations; and (e) mathematical, software, and IT methodologies of implementing a zero-waste and circular economy in a specific territory. An empirical analysis of the methodological aspects was carried out, using the example of a municipal district with a developed multisectoral economy. This study demonstrates the concept of waste classification involving the use of waste as raw material in a municipal district, including a specific targeted subprogram</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r>
        <w:rPr>
          <w:b/>
        </w:rPr>
        <w:t>POSSIBLE 2020:</w:t>
      </w:r>
      <w:r>
        <w:t xml:space="preserve"> Between Imagined Communities and Communities of Practice - Participation, Territory and the Making of Heritage — https://openalex.org/W2605418063</w:t>
      </w:r>
    </w:p>
    <w:p>
      <w:pPr/>
      <w:r>
        <w:rPr>
          <w:b/>
        </w:rPr>
        <w:t>Shared claim-specific concepts:</w:t>
      </w:r>
      <w:r>
        <w:t xml:space="preserve"> concrete, terms, territory; EU scope visible. This is a provisional connection, not an outcome finding.</w:t>
      </w:r>
    </w:p>
    <w:p>
      <w:pPr>
        <w:pStyle w:val="SourceNote"/>
      </w:pPr>
      <w:r>
        <w:rPr>
          <w:b/>
        </w:rPr>
        <w:t>Available abstract (not full text):</w:t>
      </w:r>
      <w:r>
        <w:t xml:space="preserve"> Community and participation have become central concepts in the nomination processes surrounding heritage, intersecting time and again with questions of territory. In this volume, anthropologists and legal scholars from France, Germany, Italy and the USA take up questions arising from these intertwined concerns from diverse perspectives: How and by whom were these concepts interpreted and re-interpreted, and what effects did they bring forth in their implementation? What impact was wielded by these terms, and what kinds of discursive formations did they bring forth? How do actors from local to national levels interpret these new components of the heritage regime, and how do actors within heritage-granting national and international bodies work it into their cultural and political agency? What is the role of experts and expertise, and when is scholarly knowledge expertise and when is it partisan? How do bureaucratic institutions translate the imperative of participation into concrete practices?Case studies from within and without the UNESCO matrix combine with essays probing larger concerns generated by the valuation and valorization of culture.</w:t>
      </w:r>
    </w:p>
    <w:p>
      <w:pPr/>
      <w:r>
        <w:rPr>
          <w:b/>
        </w:rPr>
        <w:t>POSSIBLE 2020:</w:t>
      </w:r>
      <w:r>
        <w:t xml:space="preserve"> Learning in, with, and through the Territory: Territory-Based Learning as a Catalyst for Urban Sustainability — https://doi.org/10.3390/su12073000</w:t>
      </w:r>
    </w:p>
    <w:p>
      <w:pPr/>
      <w:r>
        <w:rPr>
          <w:b/>
        </w:rPr>
        <w:t>Shared claim-specific concepts:</w:t>
      </w:r>
      <w:r>
        <w:t xml:space="preserve"> concrete, terms, territory; EU scope not established. This is a provisional connection, not an outcome finding.</w:t>
      </w:r>
    </w:p>
    <w:p>
      <w:pPr>
        <w:pStyle w:val="SourceNote"/>
      </w:pPr>
      <w:r>
        <w:rPr>
          <w:b/>
        </w:rPr>
        <w:t>Available abstract (not full text):</w:t>
      </w:r>
      <w:r>
        <w:t xml:space="preserve"> Territorial problems such as the socio-ecological degradation of urban rivers represent a great challenge to achieving sustainability in cities. This issue demands collaborative efforts and the crossing of boundaries determined by actors that act from diverse spheres of knowledge and systems of practice. Based on an integrative territory notion and the boundary approach, the goal of this paper is to comprehend the boundary crossings that take place in multi-actor initiatives towards the resolution of this problem and what type of territorial transformation is produced as an outcome. Our analysis is built on participatory research on the Taquara Stream case, a degraded watercourse in a socio-ecologically vulnerable area, in southern Brazil. Our data analysis applied a visual chronological narrative and an interdisciplinary theoretical framework of analysis that combined concepts related to the territory (geography) and the boundary approach (education). We verified that local territorial issues functioned as boundary objects, fostering and facilitating dialogical interaction among involved actors, knowledge co-production, and collaborative practical actions that led to changes in the territory in terms of practices, comprehensions, and physical concrete transformations. We framed this study as one of territory-based learning meant to advance the understanding of territorial inte</w:t>
      </w:r>
    </w:p>
    <w:p>
      <w:pPr/>
      <w:r>
        <w:rPr>
          <w:b/>
        </w:rPr>
        <w:t>POSSIBLE 2020:</w:t>
      </w:r>
      <w:r>
        <w:t xml:space="preserve"> The Utilization of Agricultural Waste as Agro-Cement in Concrete: A Review — https://doi.org/10.3390/su12176971</w:t>
      </w:r>
    </w:p>
    <w:p>
      <w:pPr/>
      <w:r>
        <w:rPr>
          <w:b/>
        </w:rPr>
        <w:t>Shared claim-specific concepts:</w:t>
      </w:r>
      <w:r>
        <w:t xml:space="preserve"> concrete, providing, sustainable; EU scope not established. This is a provisional connection, not an outcome finding.</w:t>
      </w:r>
    </w:p>
    <w:p>
      <w:pPr>
        <w:pStyle w:val="SourceNote"/>
      </w:pPr>
      <w:r>
        <w:rPr>
          <w:b/>
        </w:rPr>
        <w:t>Available abstract (not full text):</w:t>
      </w:r>
      <w:r>
        <w:t xml:space="preserve"> Concrete, as the world’s most implemented construction material, is increasingly being used because of the rapid development of industrialization and urbanization. Limited resources and progressive depravation of the environment are forcing scientific efforts to seek alternative and effective materials from large amounts of natural resources as additives in the partial replacement of cement. Cement is a main constituent of concrete. To solve and minimize environmental issues, research works attempting to employ the wide availability of agricultural wastes, such as sugar cane bagasse, rice husk, sugar cane straw, and palm oil fuel, among others, into cement, and to finally bring sustainable and environmentally friendly properties to concrete are being examined. Agro-waste materials are crushed into fine and coarse aggregates or are burnt into ash, and are then mixed with cement, which is known as agro-cement. The replacement of aggregates, either partially or fully, is also deemed as a sustainable material in construction. This paper mainly reviews the current research on agro-cement that has been researched and applied for the enhancement of the strength and durability of concrete. It further summarizes the relevant knowledge and techniques, while providing optimal parameters for applying agricultural wastes in concrete.</w:t>
      </w:r>
    </w:p>
    <w:p>
      <w:pPr/>
      <w:r>
        <w:rPr>
          <w:b/>
        </w:rPr>
        <w:t>POSSIBLE 2020:</w:t>
      </w:r>
      <w:r>
        <w:t xml:space="preserve"> Eco-friendly concrete containing recycled plastic as partial replacement for sand — https://doi.org/10.1016/j.jmrt.2020.02.090</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Solid waste is one of the many factors that negatively affect the environment. Problems stem from factors such as difficulty of waste recycling and limited reuse. Plastic is an important type of solid waste with a strong environmental impact. This study aims to investigate the effects of utilising poly-ethylene terephthalate (PET) as a partial substitute for sand in concrete. The effects of this material on the physical and mechanical properties of concrete were examined. A group of six concrete mixtures containing PET was prepared as a partial substitute for sand with substitution levels 0%, 10%, 20%, 30%, 40% and 50%. Concrete was cast to determine the behaviour of fresh and hardened concrete in terms of workability, unit weight, compressive strength, flexural strength, tensile strength, pulse velocity and fire-resistant behaviour. The experimental results showed a reduction in unit weight, the sand replacement harmed the concrete mechanical properties at varying rates and proved that plastic waste can be disposed of by specific ratios and therefore, can be effectively applied in industrial usage.</w:t>
      </w:r>
    </w:p>
    <w:p>
      <w:pPr>
        <w:pStyle w:val="Heading2"/>
      </w:pPr>
      <w:r>
        <w:t>920.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review, recent;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Quantum Optimal Control in Quantum Technologies. Strategic Report on Current Status, Visions and Goals for Research in Europe — https://doi.org/10.1140/epjqt/s40507-022-00138-x</w:t>
      </w:r>
    </w:p>
    <w:p>
      <w:pPr/>
      <w:r>
        <w:rPr>
          <w:b/>
        </w:rPr>
        <w:t>Shared claim-specific concepts:</w:t>
      </w:r>
      <w:r>
        <w:t xml:space="preserve"> review, recent, visions, key; EU scope visible. This is a provisional connection, not an outcome finding.</w:t>
      </w:r>
    </w:p>
    <w:p>
      <w:pPr>
        <w:pStyle w:val="SourceNote"/>
      </w:pPr>
      <w:r>
        <w:rPr>
          <w:b/>
        </w:rPr>
        <w:t>Available abstract (not full text):</w:t>
      </w:r>
      <w:r>
        <w:t xml:space="preserve"> Quantum optimal control, a toolbox for devising and implementing the shapes of external fields that accomplish given tasks in the operation of a quantum device in the best way possible, has evolved into one of the cornerstones for enabling quantum technologies. The last few years have seen a rapid evolution and expansion of the field. We review here recent progress in our understanding of the controllability of open quantum systems and in the development and application of quantum control techniques to quantum technologies. We also address key challenges and sketch a roadmap for future developments.</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review, build, recent;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Deep learning in computer vision: A critical review of emerging techniques and application scenarios — https://doi.org/10.1016/j.mlwa.2021.100134</w:t>
      </w:r>
    </w:p>
    <w:p>
      <w:pPr/>
      <w:r>
        <w:rPr>
          <w:b/>
        </w:rPr>
        <w:t>Shared claim-specific concepts:</w:t>
      </w:r>
      <w:r>
        <w:t xml:space="preserve"> review, recent, key; EU scope not established. This is a provisional connection, not an outcome finding.</w:t>
      </w:r>
    </w:p>
    <w:p>
      <w:pPr>
        <w:pStyle w:val="SourceNote"/>
      </w:pPr>
      <w:r>
        <w:rPr>
          <w:b/>
        </w:rPr>
        <w:t>Available abstract (not full text):</w:t>
      </w:r>
      <w:r>
        <w:t xml:space="preserve"> Deep learning has been overwhelmingly successful in computer vision (CV), natural language processing, and video/speech recognition. In this paper, our focus is on CV. We provide a critical review of recent achievements in terms of techniques and applications. We identify eight emerging techniques, investigate their origins and updates, and finally emphasize their applications in four key scenarios, including recognition, visual tracking, semantic segmentation, and image restoration. We recognize three development stages in the past decade and emphasize research trends for future works. The summarizations, knowledge accumulations, and creations could benefit researchers in the academia and participators in the CV industries.</w:t>
      </w:r>
    </w:p>
    <w:p>
      <w:pPr/>
      <w:r>
        <w:rPr>
          <w:b/>
        </w:rPr>
        <w:t>POSSIBLE 2020:</w:t>
      </w:r>
      <w:r>
        <w:t xml:space="preserve"> Review of the evidence for oceans and human health relationships in Europe: A systematic map — https://doi.org/10.1016/j.envint.2020.106275</w:t>
      </w:r>
    </w:p>
    <w:p>
      <w:pPr/>
      <w:r>
        <w:rPr>
          <w:b/>
        </w:rPr>
        <w:t>Shared claim-specific concepts:</w:t>
      </w:r>
      <w:r>
        <w:t xml:space="preserve"> review, build, recent, key, there; EU scope visible. This is a provisional connection, not an outcome finding.</w:t>
      </w:r>
    </w:p>
    <w:p>
      <w:pPr>
        <w:pStyle w:val="SourceNote"/>
      </w:pPr>
      <w:r>
        <w:rPr>
          <w:b/>
        </w:rPr>
        <w:t>Available abstract (not full text):</w:t>
      </w:r>
      <w:r>
        <w:t xml:space="preserve">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pPr>
        <w:pStyle w:val="Heading2"/>
      </w:pPr>
      <w:r>
        <w:t>921.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2021:</w:t>
      </w:r>
      <w:r>
        <w:t xml:space="preserve"> Contrasting habitat use and conservation status of Chinese-wintering and other Eurasian Greater White-fronted Goose (Anser albifrons) populations — https://doi.org/10.1186/s40657-021-00306-0</w:t>
      </w:r>
    </w:p>
    <w:p>
      <w:pPr/>
      <w:r>
        <w:rPr>
          <w:b/>
        </w:rPr>
        <w:t>Shared claim-specific concepts:</w:t>
      </w:r>
      <w:r>
        <w:t xml:space="preserve"> addition, china, increasing; EU scope visible. This is a provisional connection, not an outcome finding.</w:t>
      </w:r>
    </w:p>
    <w:p>
      <w:pPr>
        <w:pStyle w:val="SourceNote"/>
      </w:pPr>
      <w:r>
        <w:rPr>
          <w:b/>
        </w:rPr>
        <w:t>Available abstract (not full text):</w:t>
      </w:r>
      <w:r>
        <w:t xml:space="preserve"> Abstract Background GPS/GSM tracking data were used to contrast use of (i) habitats and (ii) protected areas between three Arctic-nesting Greater White-fronted Geese (Anser albifrons, GWFG) populations throughout the annual cycle. We wished to demonstrate that the East Asian Continental Population (which winters on natural wetlands in the Chinese Yangtze River floodplain and is currently declining) avoids using farmland at multiple wintering sites. We also gathered tracking evidence to support general observations from two increasing population of GWFG, the North Sea-Baltic (which winters in Europe) and the West Pacific (which winter in Korea and Japan) winter mostly within farmland landscapes, using wetlands only for safe night roosts. Methods We tracked 156 GWFG throughout their annual cycle using GPS/GSM transmitters from these three populations to determine migration routes and stopover staging patterns. We used Brownian Bridge Movement Models to generate summer, winter and migration stopover home ranges which we then overlaid in GIS with land cover and protected area boundary at national level to determine habitat use and degree of protection from nature conservation designated areas. Results Data confirmed that 73% of European wintering GWFG homes ranges were from within farmland, compared to 59% in Japan and Korea, but just 5% in China, confirming the heavy winter use of</w:t>
      </w:r>
    </w:p>
    <w:p>
      <w:pPr/>
      <w:r>
        <w:rPr>
          <w:b/>
        </w:rPr>
        <w:t>POSSIBLE 2018:</w:t>
      </w:r>
      <w:r>
        <w:t xml:space="preserve"> Phytoplankton response to a plume front in the northern South China Sea — https://doi.org/10.5194/bg-15-2551-2018</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pPr>
        <w:pStyle w:val="Heading2"/>
      </w:pPr>
      <w:r>
        <w:t>922.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Technical and Business Evaluation of Professional Aquaponics in Europe — https://doi.org/10.3390/w15061198</w:t>
      </w:r>
    </w:p>
    <w:p>
      <w:pPr/>
      <w:r>
        <w:rPr>
          <w:b/>
        </w:rPr>
        <w:t>Shared claim-specific concepts:</w:t>
      </w:r>
      <w:r>
        <w:t xml:space="preserve"> evaluation, them, develop; EU scope visible. This is a provisional connection, not an outcome finding.</w:t>
      </w:r>
    </w:p>
    <w:p>
      <w:pPr>
        <w:pStyle w:val="SourceNote"/>
      </w:pPr>
      <w:r>
        <w:rPr>
          <w:b/>
        </w:rPr>
        <w:t>Available abstract (not full text):</w:t>
      </w:r>
      <w:r>
        <w:t xml:space="preserve"> The European aquaponic sector started to develop and professionalize in the early 2010′s. This development and the subsequent challenges faced by early practitioners were investigated in various publications between 2015 and 2020. Although most of these studies were focused on educational and research institutions, only a few included commercial entities. The present survey is aimed at defining and assessing the recent evolution of the European aquaponic activities in professional structures. One hundred and forty professional aquaponic entities (non-profit organization, educational, and commercial) having an aquaponic system with more than 1 m3 of water in their recirculating aquaculture systems were identified in Europe. Among them, 46 responded to a survey about the technical and business aspects of their structures. In comparison to previous surveys, a much higher number of entities had larger systems (up to 14,000 m2), with higher yields (up to 20 t of fish or vegetables per year), whereas 59% of them declared making profits. This revealed a clear expansion and professionalization of the sector, which was found to be highly diversified, with systems varying greatly in size, design, and technology. Business models and activities were generally diverse, and included a combination of production, education, and/or services. Most entities also combined different customer segmen</w:t>
      </w:r>
    </w:p>
    <w:p>
      <w:pPr/>
      <w:r>
        <w:rPr>
          <w:b/>
        </w:rPr>
        <w:t>POSSIBLE 2022:</w:t>
      </w:r>
      <w:r>
        <w:t xml:space="preserve"> Evaluation of attractiveness of Russian and Western European green bonds — https://doi.org/10.18323/2221-5689-2022-3-25-33</w:t>
      </w:r>
    </w:p>
    <w:p>
      <w:pPr/>
      <w:r>
        <w:rPr>
          <w:b/>
        </w:rPr>
        <w:t>Shared claim-specific concepts:</w:t>
      </w:r>
      <w:r>
        <w:t xml:space="preserve"> evaluation, comparing, them; EU scope visible. This is a provisional connection, not an outcome finding.</w:t>
      </w:r>
    </w:p>
    <w:p>
      <w:pPr>
        <w:pStyle w:val="SourceNote"/>
      </w:pPr>
      <w:r>
        <w:rPr>
          <w:b/>
        </w:rPr>
        <w:t>Available abstract (not full text):</w:t>
      </w:r>
      <w:r>
        <w:t xml:space="preserve"> More and more companies in Western markets provide potential investors with an instrument to attract debt financing called “green bonds”. In recent years, a significant rise in demand for this type of securities is observed in Western stock markets; Russian investors also demonstrate interest in them, which makes issues of evaluating green bonds and comparing their investment attractiveness with the attractiveness of traditional bonds topical ones. The paper gives the assessment of attractiveness of green bonds both of Russian and Western European issuers and compares green and traditional corporate bonds from the point of view of a potential investor. The authors analyzed key financial performance indicators of green bonds: a coupon size, yield to maturity, and duration; assessed alternative costs of holding green bonds (bank deposit for the period of more than one year is considered an alternative variant of investment). Based on the results of the work, the authors conclude that, in general, non-green bonds today are more attractive for an investor; however, green bonds have an advantage in view of nominal coupon profitability. High duration is a distinctive feature of green bonds: the average due date of return of investments of green bonds is close to the maturity date, while traditional bonds have the duration much less than the term to their maturity. Therefore, one can </w:t>
      </w:r>
    </w:p>
    <w:p>
      <w:pPr>
        <w:pStyle w:val="Heading2"/>
      </w:pPr>
      <w:r>
        <w:t>923.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2023:</w:t>
      </w:r>
      <w:r>
        <w:t xml:space="preserve"> Exploring the Prospects of Fermenting/Co-Fermenting Marine Biomass for Enhanced Bioethanol Production — https://doi.org/10.3390/fermentation9110934</w:t>
      </w:r>
    </w:p>
    <w:p>
      <w:pPr/>
      <w:r>
        <w:rPr>
          <w:b/>
        </w:rPr>
        <w:t>Shared claim-specific concepts:</w:t>
      </w:r>
      <w:r>
        <w:t xml:space="preserve"> converted, bioethanol, potential; EU scope not established. This is a provisional connection, not an outcome finding.</w:t>
      </w:r>
    </w:p>
    <w:p>
      <w:pPr>
        <w:pStyle w:val="SourceNote"/>
      </w:pPr>
      <w:r>
        <w:rPr>
          <w:b/>
        </w:rPr>
        <w:t>Available abstract (not full text):</w:t>
      </w:r>
      <w:r>
        <w:t xml:space="preserve"> With the rising demands for renewable fuels, there is growing interest in utilizing abundant and sustainable non-edible biomass as a feedstock for bioethanol production. Macroalgal biomass contains a high content of carbohydrates in the form of special polysaccharides like alginate, agar, and carrageenan that can be converted to fermentable sugars. In addition, using seagrass as a feedstock for bioethanol production can provide a sustainable and renewable energy source while addressing environmental concerns. It is a resource-rich plant that offers several advantages for bioethanol production, including its high cellulose content, rapid growth rates, and abundance in coastal regions. To reduce sugar content and support efficient microbial fermentation, co-fermentation of macroalgae with seagrass (marine biomass) can provide complementary sugars and nutrients to improve process yields and economics. This review comprehensively covers the current status and future potential of fermenting macroalgal biomass and seagrass, as well as possible combinations for maximizing bioethanol production from non-edible energy crops. An overview is provided on the biochemical composition of macroalgae and seagrass, pretreatment methods, hydrolysis, and fermentation processes. Key technical challenges and strategies to achieve balanced co-substrate fermentation are discussed. The feasibility of c</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2022:</w:t>
      </w:r>
      <w:r>
        <w:t xml:space="preserve"> Food Waste to Bioethanol: Opportunities and Challenges — https://doi.org/10.3390/fermentation9010008</w:t>
      </w:r>
    </w:p>
    <w:p>
      <w:pPr/>
      <w:r>
        <w:rPr>
          <w:b/>
        </w:rPr>
        <w:t>Shared claim-specific concepts:</w:t>
      </w:r>
      <w:r>
        <w:t xml:space="preserve"> bioethanol, loss, continuous, potential; EU scope not established. This is a provisional connection, not an outcome finding.</w:t>
      </w:r>
    </w:p>
    <w:p>
      <w:pPr>
        <w:pStyle w:val="SourceNote"/>
      </w:pPr>
      <w:r>
        <w:rPr>
          <w:b/>
        </w:rPr>
        <w:t>Available abstract (not full text):</w:t>
      </w:r>
      <w:r>
        <w:t xml:space="preserve"> The increasing global population will require sustainable means to sustain life and growth. The continuous depletion and increasing wastage of the energy resources will pose a challenge for the survival of the increasing population in the coming years. The bioconversion of waste generated at different stages of the food value chain to ethanol can provide a sustainable solution to the depleting energy resources and a sustainable way to address the growing food waste issue globally. The high carbohydrate and nitrogen content in the food waste can make it an ideal alternative substrate for developing a decentralized bioprocess. Optimizing the process can address the bottleneck issues viz. substrate collection and transport, pretreatment, fermentative organism, and product separation, which is required to make the process economic. The current review focuses on the opportunities and challenges for using the food loss and waste at different stages of the food value chain, its pretreatment, the fermentation process to produce bioethanol, and potential ways to improve the process economics. The impact of substrate, fermentative organisms’ process development, downstream processing, and by-product stream to make the bioethanol production from the waste in the food value chain a commercial success are also discussed.</w:t>
      </w:r>
    </w:p>
    <w:p>
      <w:pPr/>
      <w:r>
        <w:rPr>
          <w:b/>
        </w:rPr>
        <w:t>POSSIBLE 2022:</w:t>
      </w:r>
      <w:r>
        <w:t xml:space="preserve"> Bioethanol and biodiesel blended fuels — Feasibility analysis of biofuel feedstocks in Bangladesh — https://doi.org/10.1016/j.egyr.2022.01.001</w:t>
      </w:r>
    </w:p>
    <w:p>
      <w:pPr/>
      <w:r>
        <w:rPr>
          <w:b/>
        </w:rPr>
        <w:t>Shared claim-specific concepts:</w:t>
      </w:r>
      <w:r>
        <w:t xml:space="preserve"> residue, bioethanol, biofuel, potential; EU scope not established. This is a provisional connection, not an outcome finding.</w:t>
      </w:r>
    </w:p>
    <w:p>
      <w:pPr>
        <w:pStyle w:val="SourceNote"/>
      </w:pPr>
      <w:r>
        <w:rPr>
          <w:b/>
        </w:rPr>
        <w:t>Available abstract (not full text):</w:t>
      </w:r>
      <w:r>
        <w:t xml:space="preserve"> In 2019–2020, Bangladesh imported 5.2 million metric tonnes of petroleum products, worth 2.5 billion USD, and 50% of the imports were consumed by the transportation sector. Having limited natural oil reserves and being heavily dependent on oil imports, the country is vulnerable to shocks in the international oil market, which can jeopardize its consistent economic growth. The Government announced a 5% blending of bioethanol with gasoline in 2017, with broken rice, maize, and molasses as the feedstocks, but sourcing biofuel from food crops can hamper the country’s food security. This study explores second and third generation feedstocks e.g., organic plants, seeds, agricultural residues, and waste animal fat or skin that can be collected and processed for the extraction of biofuels. Technical potential of biofuel from the feedstocks is analysed which shows that Bangladesh has a potential to extract 44.4 million metric tonnes of bioethanol in a year from agricultural residues with rice residue having the highest potential (71%). Ground nut and rubber seeds can be major feedstocks for biodiesel production having a potential of 61,000 and 42,000 metric tonnes per year, respectively. Waste chicken skin can be another promising feedstock for the extraction of biodiesel. Biofuels extracted from these non-edible feedstocks and blended with existing transport fuels can lessen Bangladesh</w:t>
      </w:r>
    </w:p>
    <w:p>
      <w:pPr/>
      <w:r>
        <w:rPr>
          <w:b/>
        </w:rPr>
        <w:t>POSSIBLE 2022:</w:t>
      </w:r>
      <w:r>
        <w:t xml:space="preserve"> Bioconversion of Starch Base Food Waste into Bioethanol — https://doi.org/10.3390/su141811401</w:t>
      </w:r>
    </w:p>
    <w:p>
      <w:pPr/>
      <w:r>
        <w:rPr>
          <w:b/>
        </w:rPr>
        <w:t>Shared claim-specific concepts:</w:t>
      </w:r>
      <w:r>
        <w:t xml:space="preserve"> every, bioethanol, potential; EU scope not established. This is a provisional connection, not an outcome finding.</w:t>
      </w:r>
    </w:p>
    <w:p>
      <w:pPr>
        <w:pStyle w:val="SourceNote"/>
      </w:pPr>
      <w:r>
        <w:rPr>
          <w:b/>
        </w:rPr>
        <w:t>Available abstract (not full text):</w:t>
      </w:r>
      <w:r>
        <w:t xml:space="preserve"> The global demand for fuel keeps increasing daily. The massive depletion of fossil fuels and their influence on the environment as pollution is a severe problem. Meanwhile, food waste disposal is also a complex problem in solid-waste management since one-third of every food consumed is discarded as waste. The standard waste management methods, including food waste incineration and landfilling, are considered hazardous to the environment. Food waste constituents are majorly starch-based and contain various biomolecules, including sugar, lipids, proteins, vitamins, cellulose, etc. These polysaccharides can be hydrolysed into monosaccharides such as glucose, which can then be fermented using microorganisms to produce ethanol through the fermenting of sugars derived from enzymatic hydrolysis treatment of food wastes. The human food system is rich in starch, which can be a potential resource for bioethanol production.</w:t>
      </w:r>
    </w:p>
    <w:p>
      <w:pPr/>
      <w:r>
        <w:rPr>
          <w:b/>
        </w:rPr>
        <w:t>POSSIBLE 2022:</w:t>
      </w:r>
      <w:r>
        <w:t xml:space="preserve"> A Review on Bioethanol Production through the Valorization of Food Waste in Indonesia — https://doi.org/10.54250/ijls.v4i2.139</w:t>
      </w:r>
    </w:p>
    <w:p>
      <w:pPr/>
      <w:r>
        <w:rPr>
          <w:b/>
        </w:rPr>
        <w:t>Shared claim-specific concepts:</w:t>
      </w:r>
      <w:r>
        <w:t xml:space="preserve"> bioethanol, potential; EU scope not established. This is a provisional connection, not an outcome finding.</w:t>
      </w:r>
    </w:p>
    <w:p>
      <w:pPr>
        <w:pStyle w:val="SourceNote"/>
      </w:pPr>
      <w:r>
        <w:rPr>
          <w:b/>
        </w:rPr>
        <w:t>Available abstract (not full text):</w:t>
      </w:r>
      <w:r>
        <w:t xml:space="preserve"> Biofuels are one of the numerous alternatives that are currently being considered to replace fossil fuels as it is more environmentally friendly. Specifically, bioethanol is often thought as a better alternative to gasoline fuel as it is considered cleaner, more renewable, and greener as it is synthesized from renewable feedstock which contributes to the reduction of greenhouse gas emissions to the environment. As bioethanol is produced from carbohydrate and starch rich food crops, food waste (FW) poses a potential source for bioethanol production as it is especially rich in carbohydrates and lipids. Bioethanol production itself consists of several steps which includes food waste selection, pretreatment, saccharification and fermentation, and recovery. Cafeteria FW was reviewed to be the best type of FW for bioethanol production as it has the highest carbohydrate and starch content. Subsequently, acid pretreatment was considered to be the best method due to low cost, high yielding, and time efficient method. Moreover, the non-isothermal simultaneous saccharification and fermentation (NSSF) produces 1.42 g ethanol/L.h with a time of 38 hours. Lastly, the enzyme-assisted extraction technique is most preferred to recover the bioactive compounds as it led to the highest yield of product (94%) compared to other methods.</w:t>
      </w:r>
    </w:p>
    <w:p>
      <w:pPr/>
      <w:r>
        <w:rPr>
          <w:b/>
        </w:rPr>
        <w:t>POSSIBLE 2021:</w:t>
      </w:r>
      <w:r>
        <w:t xml:space="preserve"> Future production of bioethanol from microalgae as a renewable source of energy — https://doi.org/10.1088/1755-1315/922/1/012010</w:t>
      </w:r>
    </w:p>
    <w:p>
      <w:pPr/>
      <w:r>
        <w:rPr>
          <w:b/>
        </w:rPr>
        <w:t>Shared claim-specific concepts:</w:t>
      </w:r>
      <w:r>
        <w:t xml:space="preserve"> converted, bioethanol, potential; EU scope not established. This is a provisional connection, not an outcome finding.</w:t>
      </w:r>
    </w:p>
    <w:p>
      <w:pPr>
        <w:pStyle w:val="SourceNote"/>
      </w:pPr>
      <w:r>
        <w:rPr>
          <w:b/>
        </w:rPr>
        <w:t>Available abstract (not full text):</w:t>
      </w:r>
      <w:r>
        <w:t xml:space="preserve"> Abstract Fossil fuels that mainly supply the current increasing world’s energy demand originated from non-renewable resources. In addition to the depletion of their resources within the next short time, the combustion of fossil fuels to power industries and transportation also negatively impacts humans and the environment due to the release of various gaseous pollutants. To increase the share of renewables in the primary energy mix, the Government of Indonesia is currently struggling to meet a target of 23% by 2025. Therefore, more significant efforts to search for potential renewable energy sources are the only way to overcome this issue. Bioethanol is an eco-friendly renewable energy source since its combustion emits a low concentration of pollutants. Microalgae have gained significant interest in bioethanol production because of rapid biomass growth and relatively easy pre-treatment steps. It is renewable, carbon-neutral, sustainable and can be grown in wastewater coupling as wastewater treatment. This paper reviews bioethanol production, providing knowledge on the characteristics of microalgae potential for producing biomass to be converted into bioethanol, introducing process for bioethanol production, and presenting the potential challenges of bioethanol as a future renewable energy.</w:t>
      </w:r>
    </w:p>
    <w:p>
      <w:pPr/>
      <w:r>
        <w:rPr>
          <w:b/>
        </w:rPr>
        <w:t>POSSIBLE 2020:</w:t>
      </w:r>
      <w:r>
        <w:t xml:space="preserve"> Finger Millet as a Sustainable Feedstock for Bioethanol Production — https://doi.org/10.2174/1874331502014010257</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The current trend in volatile oil prices, global warming and environmental pollution, has encouraged major consumers worldwide to sharply increase their use of “green” fuels. Bioethanol is usually obtained from the conversion of carbon-based feedstock. Bioethanol from biomass sources is the principal fuel used as a fossil fuels’ substitute for road transport vehicles. Bioethanol is predominantly produced by the sugar fermentation process, although it can also be generated by the chemical process of reacting ethylene with steam. Finger millet (Eleusine coracana) is also known as Ragi (India), Kodo (Nepal), Uburo (Rwanda), Kurakkan (Srilanka), Bulo (Uganda), Kambale (Zambia) and Tamba (Nigeria) and can be used as an efficient source for bioethanol production. Despite all its importance, however, finger millet is still grossly undervalued both scientifically and internationally. This review observes current progress in bioethanol production from E. coracana feedstock and the effectiveness of various technological approaches for that. The main aspects of ethanol production from finger millet seeds have been considered. Seeds, which are already used for brewing, are the most obvious variant of feedstock for ethanol production from this crop. The conversion of finger millet straw and agricultural waste into bioethanol has also been reviewed. Practical results of development and testi</w:t>
      </w:r>
    </w:p>
    <w:p>
      <w:pPr>
        <w:pStyle w:val="Heading2"/>
      </w:pPr>
      <w:r>
        <w:t>924.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2021:</w:t>
      </w:r>
      <w:r>
        <w:t xml:space="preserve"> Reduced Sign Representations for Characteristic Points Selection in Images — https://doi.org/10.1134/s1054661821030147</w:t>
      </w:r>
    </w:p>
    <w:p>
      <w:pPr/>
      <w:r>
        <w:rPr>
          <w:b/>
        </w:rPr>
        <w:t>Shared claim-specific concepts:</w:t>
      </w:r>
      <w:r>
        <w:t xml:space="preserve"> need, possible; EU scope not established. This is a provisional connection, not an outcome finding.</w:t>
      </w:r>
    </w:p>
    <w:p>
      <w:pPr>
        <w:pStyle w:val="SourceNote"/>
      </w:pPr>
      <w:r>
        <w:rPr>
          <w:b/>
        </w:rPr>
        <w:t>Available abstract (not full text):</w:t>
      </w:r>
      <w:r>
        <w:t xml:space="preserve"> Abstract The aim of this study is to develop a method for detecting the characteristic points in a digital image that is stable under a certain class of brightness transformations. The need for such a method is due to the need to identify key points of images in video surveillance and face recognition systems, which often work in conditions of variations in illumination. A feature of the proposed method, which distinguishes it from a number of well-known approaches to the problem of identifying characteristic points, is the use of the so-called reduced sign representation of images. In contrast to the usual representation of a digital image by its discrete function of brightness, it represents the image by a directed acyclic graph corresponding to the binary relation of increasing brightness over the set of pixels. Thus, the sign representation defines a set of images, the brightness functions of which are connected by strictly monotonic transformations. It is this property of the sign representation that makes it efficient for achievement the aim mentioned above. The next feature of the method under consideration is its approach to the interpretation of the characteristic points of the image. Note that in the modern theory of image processing this concept is not rigorously defined; we can say that the characteristic point is distinguished by the increased complexity of the str</w:t>
      </w:r>
    </w:p>
    <w:p>
      <w:pPr/>
      <w:r>
        <w:rPr>
          <w:b/>
        </w:rPr>
        <w:t>POSSIBLE 2021:</w:t>
      </w:r>
      <w:r>
        <w:t xml:space="preserve"> Automatic Annotation and Segmentation of Sign Language Videos: Base-level Features and Lexical Signs Classification — https://doi.org/10.5220/0010247104840491</w:t>
      </w:r>
    </w:p>
    <w:p>
      <w:pPr/>
      <w:r>
        <w:rPr>
          <w:b/>
        </w:rPr>
        <w:t>Shared claim-specific concepts:</w:t>
      </w:r>
      <w:r>
        <w:t xml:space="preserve"> reduce, different; EU scope not established. This is a provisional connection, not an outcome finding.</w:t>
      </w:r>
    </w:p>
    <w:p>
      <w:pPr>
        <w:pStyle w:val="SourceNote"/>
      </w:pPr>
      <w:r>
        <w:rPr>
          <w:b/>
        </w:rPr>
        <w:t>Available abstract (not full text):</w:t>
      </w:r>
      <w:r>
        <w:t xml:space="preserve"> The automatic recognition of Sign Languages is the main focus of most of the works in the field, which explains the progressing demand on the annotated data to train the dedicated models. In this paper, we present a semi automatic annotation system for Sign Languages. Such automation will not only help to create training data but it will reduce as well the processing time and the subjectivity of manual annotations done by linguists in order to study the sign language. The system analyses hand shapes, hands speed variations, and face landmarks to annotate base level features and to separate the different signs. In a second stage, signs are classified into two types, whether they are lexical (i.e. present in a dictionary) or iconic (illustrative), using a probabilistic model. The results show that our system is partially capable of annotating automatically the video sequence with a F1 score = 0.68 for lexical sign annotation and an error of 3.8 frames for sign segmentation. An expert validation of the annotations is still needed.</w:t>
      </w:r>
    </w:p>
    <w:p>
      <w:pPr/>
      <w:r>
        <w:rPr>
          <w:b/>
        </w:rPr>
        <w:t>POSSIBLE 2021:</w:t>
      </w:r>
      <w:r>
        <w:t xml:space="preserve"> From Kyoto to Glasgow: is Japan a climate leader? — https://doi.org/10.1080/09512748.2021.2008475</w:t>
      </w:r>
    </w:p>
    <w:p>
      <w:pPr/>
      <w:r>
        <w:rPr>
          <w:b/>
        </w:rPr>
        <w:t>Shared claim-specific concepts:</w:t>
      </w:r>
      <w:r>
        <w:t xml:space="preserve"> kyoto, carbon, emissions, different; EU scope not established. This is a provisional connection, not an outcome finding.</w:t>
      </w:r>
    </w:p>
    <w:p>
      <w:pPr>
        <w:pStyle w:val="SourceNote"/>
      </w:pPr>
      <w:r>
        <w:rPr>
          <w:b/>
        </w:rPr>
        <w:t>Available abstract (not full text):</w:t>
      </w:r>
      <w:r>
        <w:t xml:space="preserve"> The term ‘climate leadership’ became popular in the 1990s, in relation to international negotiations aimed at reducing greenhouse gas emissions and other environmental mitigations. Since that time, international attention – borne out by scientific study and a rapidly changing planetary climate - has shifted from global warming, the ozone layer and greenhouse gas emissions, to energy production, scientific innovation, and, by the 2020s, a strong focus on decarbonisation and securing net zero carbon output by the middle of the century. One important strand of negotiation has been the annual Conferences of the Parties (COP) to the United Nations Framework Convention on Climate Change (UNFCCC), which have witnessed different states playing lead roles at different times. By interrogating the main academic debates about climate leadership, this article examines Japan’s participation in the COP process along a structural-normative axis. In so doing, it charts the path from Japan’s apparent success at Kyoto in 1997 and its growing green reputation, to its subsequent ‘fall from green’ in later years and in the wake of COP26 in 2021.</w:t>
      </w:r>
    </w:p>
    <w:p>
      <w:pPr/>
      <w:r>
        <w:rPr>
          <w:b/>
        </w:rPr>
        <w:t>POSSIBLE 2020:</w:t>
      </w:r>
      <w:r>
        <w:t xml:space="preserve"> Environmental and economic effectiveness of the Kyoto Protocol — https://doi.org/10.1371/journal.pone.0236299</w:t>
      </w:r>
    </w:p>
    <w:p>
      <w:pPr/>
      <w:r>
        <w:rPr>
          <w:b/>
        </w:rPr>
        <w:t>Shared claim-specific concepts:</w:t>
      </w:r>
      <w:r>
        <w:t xml:space="preserve"> kyoto, carbon, emissions; EU scope not established. This is a provisional connection, not an outcome finding.</w:t>
      </w:r>
    </w:p>
    <w:p>
      <w:pPr>
        <w:pStyle w:val="SourceNote"/>
      </w:pPr>
      <w:r>
        <w:rPr>
          <w:b/>
        </w:rPr>
        <w:t>Available abstract (not full text):</w:t>
      </w:r>
      <w:r>
        <w:t xml:space="preserve">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pPr>
        <w:pStyle w:val="Heading2"/>
      </w:pPr>
      <w:r>
        <w:t>925.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Climate Policy Priorities for the Next European Commission — https://openalex.org/W4392885355</w:t>
      </w:r>
    </w:p>
    <w:p>
      <w:pPr/>
      <w:r>
        <w:rPr>
          <w:b/>
        </w:rPr>
        <w:t>Shared claim-specific concepts:</w:t>
      </w:r>
      <w:r>
        <w:t xml:space="preserve"> commission, energy, climate;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Competition effects of vertical integration in container ports: assessing the European Commission decisional practice — https://doi.org/10.1108/mabr-10-2022-0058</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Purpose Container liner shipping companies started expanding their business by investing in container port terminals in the late 1990s. This market entry results in an extensive presence of vertically integrated liners and terminals. This study aims to explore the competition effects of this vertical integration trend based on a regional (European) analysis. In particular, it extracts lessons from the European Commission (EC) cases on the competition effects of vertical integration. The critical analysis of the cases examined at the institutional level intends to reach conclusions on whether liner–terminal vertical integration harmed or advanced competition in the relevant markets and/or the extent that there is a need to revise the current policy practices. Design/methodology/approach This study critically assesses the EC’s decisional practices in port container terminal vertical mergers in the last 25 years (1997–2021). Based on a literature review comparing maritime and competition economists' perspectives, it reviews the types of mergers examined, the methodology followed for relevant market definition and calculation of market shares and the estimated competition effects. The Hamburg–Le Havre area is the port range used as a case study for comparing the decisional practice with actual market developments. These container ports serve the greatest consuming market of final a</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climate, across;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pStyle w:val="Heading2"/>
      </w:pPr>
      <w:r>
        <w:t>926.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r>
        <w:rPr>
          <w:b/>
        </w:rPr>
        <w:t>POSSIBLE 2017:</w:t>
      </w:r>
      <w:r>
        <w:t xml:space="preserve"> Handbook of European Social Policy — https://doi.org/10.4337/9781783476466</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The UK and Ireland are typically paired together as the Anglo-Saxon or liberal welfare states of Europe, however, comparative analysis of both countries' welfare states is rare. The most recent systematic comparative analysis dates to Daly and Yeates’ (2003) analysis of social security. Regarding structural, political and ideological factors they noted a range of ways the two countries diverged and suggested that both countries were transforming, but in significantly different ways, thus questioning whether they could still be feasibly situated within the same welfare model. In the intervening period both countries experienced major upheaval, their common ‘Anglo-liberal’ growth model (Hay 2013) being at the core of the financial crisis in 2008. Consequently we ask whether the Irish and UK welfare states are still as divergent as Daly and Yeates observed or whether recent trends have meant that these two welfare states are moving in a common direction, without necessarily reaching full convergence. We proceed to address these questions by broadly tracking the typical characteristics of liberal welfare regimes in the UK and Irish contexts. We first look at patterns of social expenditure, taxation and related policy reform. We then look at what might be deemed social investment policies and this is followed with an analysis of selected welfare outcomes. We end by analysing the mai</w:t>
      </w:r>
    </w:p>
    <w:p>
      <w:pPr/>
      <w:r>
        <w:rPr>
          <w:b/>
        </w:rPr>
        <w:t>POSSIBLE 2016:</w:t>
      </w:r>
      <w:r>
        <w:t xml:space="preserve"> The economic crisis in Europe: urban and regional consequences — https://doi.org/10.1093/cjres/rsv036</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Beginning in 2007–2008, the European economy experienced the worst economic crisis since the 1930s. The proximate cause was the financial and banking crisis that originated in the overleveraged banks and mortgage institutions in the United States, and which quickly spread through the global financial system to infect much of Europe. This set off a major credit crunch which in its turn triggered a major contraction in economic growth, from which many European countries have struggled to recover. Yet it has been a crisis that has not afflicted all parts of Europe to the same degree, but rather has exposed major disparities in economic weakness, recovery and resilience both between different countries and between different regions within countries. These disparities themselves have posed an historic challenge to the European project, to the stability and viability of the European Union, and especially the Eurozone. For, to succeed, a true monetary union requires that economic shocks do not have highly disparate impacts across the constituent countries or regions of which it composed (see Fingleton et al., 2015 ; Martin, 2001 ); or, in the event of such disparate responses occurring, that there exists a fully functioning union-wide fiscal stabilisation system of automatic transfers to help offset the impact of the shock in the worst-affected areas. The European monetary union has n</w:t>
      </w:r>
    </w:p>
    <w:p>
      <w:pPr>
        <w:pStyle w:val="Heading2"/>
      </w:pPr>
      <w:r>
        <w:t>927.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2023:</w:t>
      </w:r>
      <w:r>
        <w:t xml:space="preserve"> FuXi: a cascade machine learning forecasting system for 15-day global weather forecast — https://doi.org/10.1038/s41612-023-00512-1</w:t>
      </w:r>
    </w:p>
    <w:p>
      <w:pPr/>
      <w:r>
        <w:rPr>
          <w:b/>
        </w:rPr>
        <w:t>Shared claim-specific concepts:</w:t>
      </w:r>
      <w:r>
        <w:t xml:space="preserve"> forecasts, abstract, system, present; EU scope visible. This is a provisional connection, not an outcome finding.</w:t>
      </w:r>
    </w:p>
    <w:p>
      <w:pPr>
        <w:pStyle w:val="SourceNote"/>
      </w:pPr>
      <w:r>
        <w:rPr>
          <w:b/>
        </w:rPr>
        <w:t>Available abstract (not full text):</w:t>
      </w:r>
      <w:r>
        <w:t xml:space="preserve"> Abstract Over the past few years, the rapid development of machine learning (ML) models for weather forecasting has led to state-of-the-art ML models that have superior performance compared to the European Centre for Medium-Range Weather Forecasts (ECMWF)’s high-resolution forecast (HRES), which is widely considered as the world’s best physics-based weather forecasting system. Specifically, ML models have outperformed HRES in 10-day forecasts with a spatial resolution of 0.25 ∘ . However, the challenge remains in mitigating the accumulation of forecast errors for longer effective forecasts, such as achieving comparable performance to the ECMWF ensemble in 15-day forecasts. Despite various efforts to reduce accumulation errors, such as implementing autoregressive multi-time step loss, relying on a single model has been found to be insufficient for achieving optimal performance in both short and long lead times. Therefore, we present FuXi, a cascaded ML weather forecasting system that provides 15-day global forecasts at a temporal resolution of 6 hours and a spatial resolution of 0.25 ∘ . FuXi is developed using 39 years of the ECMWF ERA5 reanalysis dataset. The performance evaluation demonstrates that FuXi has forecast performance comparable to ECMWF ensemble mean (EM) in 15-day forecasts. FuXi surpasses the skillful forecast lead time achieved by ECMWF HRES by extending the lea</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2021:</w:t>
      </w:r>
      <w:r>
        <w:t xml:space="preserve"> Interpretation of point forecasts with unknown directive — https://doi.org/10.1002/jae.2833</w:t>
      </w:r>
    </w:p>
    <w:p>
      <w:pPr/>
      <w:r>
        <w:rPr>
          <w:b/>
        </w:rPr>
        <w:t>Shared claim-specific concepts:</w:t>
      </w:r>
      <w:r>
        <w:t xml:space="preserve"> forecasts, point, abstract; EU scope not established. This is a provisional connection, not an outcome finding.</w:t>
      </w:r>
    </w:p>
    <w:p>
      <w:pPr>
        <w:pStyle w:val="SourceNote"/>
      </w:pPr>
      <w:r>
        <w:rPr>
          <w:b/>
        </w:rPr>
        <w:t>Available abstract (not full text):</w:t>
      </w:r>
      <w:r>
        <w:t xml:space="preserve"> Abstract Point forecasts can be interpreted as functionals (i.e., point summaries) of predictive distributions. We extend methodology for the identification of the functional based on time series of point forecasts and associated realizations. Focusing on state‐dependent quantiles and expectiles, we provide a generalized method of moments estimator for the functional, along with tests of optimality under general joint hypotheses of functional relationships and information bases. Our tests are more flexible, and in simulations better calibrated and more powerful than existing solutions. In empirical examples, economic growth forecasts and model output for precipitation are indicative of overstatement in anticipation of extreme events.</w:t>
      </w:r>
    </w:p>
    <w:p>
      <w:pPr/>
      <w:r>
        <w:rPr>
          <w:b/>
        </w:rPr>
        <w:t>POSSIBLE 2019:</w:t>
      </w:r>
      <w:r>
        <w:t xml:space="preserve"> Argoverse: 3D Tracking and Forecasting With Rich Maps — https://doi.org/10.1109/cvpr.2019.00895</w:t>
      </w:r>
    </w:p>
    <w:p>
      <w:pPr/>
      <w:r>
        <w:rPr>
          <w:b/>
        </w:rPr>
        <w:t>Shared claim-specific concepts:</w:t>
      </w:r>
      <w:r>
        <w:t xml:space="preserve"> point, view, present; EU scope not established. This is a provisional connection, not an outcome finding.</w:t>
      </w:r>
    </w:p>
    <w:p>
      <w:pPr>
        <w:pStyle w:val="SourceNote"/>
      </w:pPr>
      <w:r>
        <w:rPr>
          <w:b/>
        </w:rPr>
        <w:t>Available abstract (not full text):</w:t>
      </w:r>
      <w:r>
        <w:t xml:space="preserve">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pPr/>
      <w:r>
        <w:rPr>
          <w:b/>
        </w:rPr>
        <w:t>POSSIBLE 2019:</w:t>
      </w:r>
      <w:r>
        <w:t xml:space="preserve"> Colour forecasting — https://doi.org/10.1080/00405167.2019.1659564</w:t>
      </w:r>
    </w:p>
    <w:p>
      <w:pPr/>
      <w:r>
        <w:rPr>
          <w:b/>
        </w:rPr>
        <w:t>Shared claim-specific concepts:</w:t>
      </w:r>
      <w:r>
        <w:t xml:space="preserve"> drawing, important, view, system; EU scope not established. This is a provisional connection, not an outcome finding.</w:t>
      </w:r>
    </w:p>
    <w:p>
      <w:pPr>
        <w:pStyle w:val="SourceNote"/>
      </w:pPr>
      <w:r>
        <w:rPr>
          <w:b/>
        </w:rPr>
        <w:t>Available abstract (not full text):</w:t>
      </w:r>
      <w:r>
        <w:t xml:space="preserve">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pPr/>
      <w:r>
        <w:rPr>
          <w:b/>
        </w:rPr>
        <w:t>POSSIBLE 2019:</w:t>
      </w:r>
      <w:r>
        <w:t xml:space="preserve"> Seasonal streamflow forecasts for Europe – Part 2: Sources of skill — https://doi.org/10.5194/hess-23-371-2019</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pPr/>
      <w:r>
        <w:rPr>
          <w:b/>
        </w:rPr>
        <w:t>POSSIBLE 2019:</w:t>
      </w:r>
      <w:r>
        <w:t xml:space="preserve"> The future of forecasting for renewable energy — https://doi.org/10.1002/wene.365</w:t>
      </w:r>
    </w:p>
    <w:p>
      <w:pPr/>
      <w:r>
        <w:rPr>
          <w:b/>
        </w:rPr>
        <w:t>Shared claim-specific concepts:</w:t>
      </w:r>
      <w:r>
        <w:t xml:space="preserve"> forecasts, important, abstract, describe, system, present; EU scope not established. This is a provisional connection, not an outcome finding.</w:t>
      </w:r>
    </w:p>
    <w:p>
      <w:pPr>
        <w:pStyle w:val="SourceNote"/>
      </w:pPr>
      <w:r>
        <w:rPr>
          <w:b/>
        </w:rPr>
        <w:t>Available abstract (not full text):</w:t>
      </w:r>
      <w:r>
        <w:t xml:space="preserve">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pPr>
        <w:pStyle w:val="Heading2"/>
      </w:pPr>
      <w:r>
        <w:t>928.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2023:</w:t>
      </w:r>
      <w:r>
        <w:t xml:space="preserve"> Human capital in Europe, 1830s–1930s: A general survey — https://doi.org/10.1111/joes.12589</w:t>
      </w:r>
    </w:p>
    <w:p>
      <w:pPr/>
      <w:r>
        <w:rPr>
          <w:b/>
        </w:rPr>
        <w:t>Shared claim-specific concepts:</w:t>
      </w:r>
      <w:r>
        <w:t xml:space="preserve"> general, national, finally; EU scope visible. This is a provisional connection, not an outcome finding.</w:t>
      </w:r>
    </w:p>
    <w:p>
      <w:pPr>
        <w:pStyle w:val="SourceNote"/>
      </w:pPr>
      <w:r>
        <w:rPr>
          <w:b/>
        </w:rPr>
        <w:t>Available abstract (not full text):</w:t>
      </w:r>
      <w:r>
        <w:t xml:space="preserve"> Abstract Human capital is now widely acknowledged as one of the key determinants of economic growth. Research on how human skills accumulate and evolve through time has grown rapidly in recent years. This paper surveys it with a specific focus on Europe in the period 1830s–1930s. Our contribution is threefold: First, we find that the lack of fine‐grain spatial and (at the same time) harmonized data is preventing research on some important aspects of rising education. Second, we provide a preliminary taxonomy of European school acts and reforms in the 19th and early‐20th century. Finally, we present the first version of a dataset under construction, which aims at providing spatial data covering gross enrollment rates and literacy across European regions from c. 1830 to 1930. Our preliminary results show that, in c. 1850, educational clusters appear to have often crossed national borders. By contrast, the effect of national institutions and regulations seems to have become an important determinant of schooling (and literacy) rates on the eve of the 20th century.</w:t>
      </w:r>
    </w:p>
    <w:p>
      <w:pPr/>
      <w:r>
        <w:rPr>
          <w:b/>
        </w:rPr>
        <w:t>POSSIBLE 2022:</w:t>
      </w:r>
      <w:r>
        <w:t xml:space="preserve"> Foresight and regulation: anticipatory governance and administrative foresight in times of transition and recovery — https://openalex.org/W7125625500</w:t>
      </w:r>
    </w:p>
    <w:p>
      <w:pPr/>
      <w:r>
        <w:rPr>
          <w:b/>
        </w:rPr>
        <w:t>Shared claim-specific concepts:</w:t>
      </w:r>
      <w:r>
        <w:t xml:space="preserve"> based, general, foresight, exercise, group, external; EU scope visible. This is a provisional connection, not an outcome finding.</w:t>
      </w:r>
    </w:p>
    <w:p>
      <w:pPr>
        <w:pStyle w:val="SourceNote"/>
      </w:pPr>
      <w:r>
        <w:rPr>
          <w:b/>
        </w:rPr>
        <w:t>Available abstract (not full text):</w:t>
      </w:r>
      <w:r>
        <w:t xml:space="preserve">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pPr/>
      <w:r>
        <w:rPr>
          <w:b/>
        </w:rPr>
        <w:t>POSSIBLE 2022:</w:t>
      </w:r>
      <w:r>
        <w:t xml:space="preserve"> ANALYSIS OF SECURITY RISKS BASED ON THE INFORMATION PROVIDED IN THE GENERAL DECLARATION OF ARRIVAL IN THE EUROPEAN UNION — https://doi.org/10.31891/2307-5740-2022-312-6(1)-20</w:t>
      </w:r>
    </w:p>
    <w:p>
      <w:pPr/>
      <w:r>
        <w:rPr>
          <w:b/>
        </w:rPr>
        <w:t>Shared claim-specific concepts:</w:t>
      </w:r>
      <w:r>
        <w:t xml:space="preserve"> based, general, out, submitted; EU scope visible. This is a provisional connection, not an outcome finding.</w:t>
      </w:r>
    </w:p>
    <w:p>
      <w:pPr>
        <w:pStyle w:val="SourceNote"/>
      </w:pPr>
      <w:r>
        <w:rPr>
          <w:b/>
        </w:rPr>
        <w:t>Available abstract (not full text):</w:t>
      </w:r>
      <w:r>
        <w:t xml:space="preserve"> The purpose of the article is to study the experience of European countries regarding the peculiarities of security risk analysis based on the information provided in the general declaration of arrival and to develop proposals for bringing domestic customs legislation closer to the legislation of the European Union. The article analyzes the features of security risk analysis based on the information provided in the general declaration of arrival in the European Union. The regulatory and legal bases for the use of the general declaration of arrival in European countries have been determined. The parties responsible for submitting preliminary data to the customs authorities, the deadlines for submitting the general declaration of arrival and the amount of data that must be submitted to the customs authority, depending on the type of transport on which the goods will be imported into the customs territory of the EU, were found. It was found that the data are specified in the general declaration arrival, the so-called “security notices”, which are submitted to border customs before the import of goods into the customs territory of the European Union, enable customs authorities to carry out a risk analysis, primarily with the aim of determining the degree of security and the appropriate way of conducting customs control. Studied the procedure for assessing security risks based on th</w:t>
      </w:r>
    </w:p>
    <w:p>
      <w:pPr/>
      <w:r>
        <w:rPr>
          <w:b/>
        </w:rPr>
        <w:t>POSSIBLE 2022:</w:t>
      </w:r>
      <w:r>
        <w:t xml:space="preserve"> Prevalence of most common skin diseases in Europe: a population‐based study — https://doi.org/10.1111/jdv.18050</w:t>
      </w:r>
    </w:p>
    <w:p>
      <w:pPr/>
      <w:r>
        <w:rPr>
          <w:b/>
        </w:rPr>
        <w:t>Shared claim-specific concepts:</w:t>
      </w:r>
      <w:r>
        <w:t xml:space="preserve"> based, general, who; EU scope visible. This is a provisional connection, not an outcome finding.</w:t>
      </w:r>
    </w:p>
    <w:p>
      <w:pPr>
        <w:pStyle w:val="SourceNote"/>
      </w:pPr>
      <w:r>
        <w:rPr>
          <w:b/>
        </w:rPr>
        <w:t>Available abstract (not full text):</w:t>
      </w:r>
      <w:r>
        <w:t xml:space="preserve">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pPr/>
      <w:r>
        <w:rPr>
          <w:b/>
        </w:rPr>
        <w:t>POSSIBLE 2022:</w:t>
      </w:r>
      <w:r>
        <w:t xml:space="preserve"> Over the shoulder enforcement in European regulatory networks:the role of arbitrage mitigation mechanisms in the General Data Protection Regulation — https://doi.org/10.1080/13501763.2022.2069845</w:t>
      </w:r>
    </w:p>
    <w:p>
      <w:pPr/>
      <w:r>
        <w:rPr>
          <w:b/>
        </w:rPr>
        <w:t>Shared claim-specific concepts:</w:t>
      </w:r>
      <w:r>
        <w:t xml:space="preserve"> general, out, national; EU scope visible. This is a provisional connection, not an outcome finding.</w:t>
      </w:r>
    </w:p>
    <w:p>
      <w:pPr>
        <w:pStyle w:val="SourceNote"/>
      </w:pPr>
      <w:r>
        <w:rPr>
          <w:b/>
        </w:rPr>
        <w:t>Available abstract (not full text):</w:t>
      </w:r>
      <w:r>
        <w:t xml:space="preserve"> Across many domains, the European Union relies on a system of regulatory network-based enforcement. National agencies work with peers to carry out on-the-ground implementation of supranational law. Network-based enforcement, however, raises concerns including regulatory capture and shirking. We explore how a novel governance tool – arbitrage mitigation mechanisms – may address some of these issues. These mechanisms are formal institutional procedures, which attempt to generate equivalent application of EU law for cross border regulation, and include horizontal checks among regulatory peers as well as vertical checks that allow civil society to voice accountability concerns. To demonstrate the validity of our argument, we examine the General Data Protection Regulation (GDPR) and European privacy enforcement. Our study contributes to the understanding of enforcement and compliance in European regulatory networks and offers a more fine grained understanding of when and how European citizens’ civil liberties will be upheld.</w:t>
      </w:r>
    </w:p>
    <w:p>
      <w:pPr>
        <w:pStyle w:val="Heading2"/>
      </w:pPr>
      <w:r>
        <w:t>929.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2021:</w:t>
      </w:r>
      <w:r>
        <w:t xml:space="preserve"> Evaluation of a new 12 km regional perturbed parameter ensemble over Europe — https://doi.org/10.1007/s00382-021-05941-3</w:t>
      </w:r>
    </w:p>
    <w:p>
      <w:pPr/>
      <w:r>
        <w:rPr>
          <w:b/>
        </w:rPr>
        <w:t>Shared claim-specific concepts:</w:t>
      </w:r>
      <w:r>
        <w:t xml:space="preserve"> present, evaluate, two, impacts; EU scope visible. This is a provisional connection, not an outcome finding.</w:t>
      </w:r>
    </w:p>
    <w:p>
      <w:pPr>
        <w:pStyle w:val="SourceNote"/>
      </w:pPr>
      <w:r>
        <w:rPr>
          <w:b/>
        </w:rPr>
        <w:t>Available abstract (not full text):</w:t>
      </w:r>
      <w:r>
        <w:t xml:space="preserve"> Abstract We evaluate a 12-member perturbed parameter ensemble of regional climate simulations over Europe at 12 km resolution, carried out as part of the UK Climate Projections (UKCP) project. This ensemble is formed by varying uncertain parameters within the model physics, allowing uncertainty in future projections due to climate modelling uncertainty to be explored in a systematic way. We focus on present day performance both compared to observations, and consistency with the driving global ensemble. Daily and seasonal temperature and precipitation are evaluated as two variables commonly used in impacts assessments. For precipitation we find that downscaling, even whilst within the convection-parameterised regime, generally improves daily precipitation, but not everywhere. In summer, the underestimation of dry day frequency is worse in the regional ensemble than in the driving simulations. For temperature we find that the regional ensemble inherits a large wintertime cold bias from the global model, however downscaling reduces this bias. The largest bias reduction is in daily winter cold temperature extremes. In summer the regional ensemble is cooler and wetter than the driving global models, and we examine cloud and radiation diagnostics to understand the causes of the differences. We also use a low-resolution regional simulation to determine whether the differences are a co</w:t>
      </w:r>
    </w:p>
    <w:p>
      <w:pPr/>
      <w:r>
        <w:rPr>
          <w:b/>
        </w:rPr>
        <w:t>POSSIBLE 2021:</w:t>
      </w:r>
      <w:r>
        <w:t xml:space="preserve"> Is-it worth investing in NBS aiming at reducing water risks? Insights from the economic assessment of three European case studies — https://doi.org/10.1016/j.nbsj.2021.100002</w:t>
      </w:r>
    </w:p>
    <w:p>
      <w:pPr/>
      <w:r>
        <w:rPr>
          <w:b/>
        </w:rPr>
        <w:t>Shared claim-specific concepts:</w:t>
      </w:r>
      <w:r>
        <w:t xml:space="preserve"> present, aiming, reducing; EU scope visible. This is a provisional connection, not an outcome finding.</w:t>
      </w:r>
    </w:p>
    <w:p>
      <w:pPr>
        <w:pStyle w:val="SourceNote"/>
      </w:pPr>
      <w:r>
        <w:rPr>
          <w:b/>
        </w:rPr>
        <w:t>Available abstract (not full text):</w:t>
      </w:r>
      <w:r>
        <w:t xml:space="preserve"> Economic narratives are largely put forward as an argument for the promotion of Nature Based Solutions (NBS). However, integrated economic evidence, taking into account direct and opportunity costs, avoided damages and the multiplicity of co-benefits generated by NBS are still needed to support this argument and convince decision makers to invest in these solutions. To address this gap, we develop a methodological framework for the economic assessment of NBS for water related risks and present its application to three European case studies. We find that the cost of implementation and maintenance is lower for NBS strategies than for grey solutions for the same level of risk reduction, thereby confirming the cost-effectiveness advantage of these solutions. Benefits in terms of avoided damages are however generally not sufficient to cover these costs. Co-benefits represent the major share of the monetary value generated by NBS strategies. Finally, the results of the cost-benefit analysis reveal context-specific results on the overall economic efficiency of NBS. These results urge decision makers to tailor funding strategies to the specificity of NBS economic value.</w:t>
      </w:r>
    </w:p>
    <w:p>
      <w:pPr/>
      <w:r>
        <w:rPr>
          <w:b/>
        </w:rPr>
        <w:t>POSSIBLE 2021:</w:t>
      </w:r>
      <w:r>
        <w:t xml:space="preserve"> The potential of insect protein to reduce food-based carbon footprints in Europe: The case of broiler meat production — https://doi.org/10.1016/j.jclepro.2021.128799</w:t>
      </w:r>
    </w:p>
    <w:p>
      <w:pPr/>
      <w:r>
        <w:rPr>
          <w:b/>
        </w:rPr>
        <w:t>Shared claim-specific concepts:</w:t>
      </w:r>
      <w:r>
        <w:t xml:space="preserve"> alternative, two, human, impacts; EU scope visible. This is a provisional connection, not an outcome finding.</w:t>
      </w:r>
    </w:p>
    <w:p>
      <w:pPr>
        <w:pStyle w:val="SourceNote"/>
      </w:pPr>
      <w:r>
        <w:rPr>
          <w:b/>
        </w:rPr>
        <w:t>Available abstract (not full text):</w:t>
      </w:r>
      <w:r>
        <w:t xml:space="preserve"> As part of the current climate change debate, concerns have been raised over the rapid expansion of soybean cultivation as the major protein source to feed animals for human consumption. At the same time, insect-based protein is rapidly emerging as an alternative protein source to animal-based protein, both as a potential substitute for soybean-based protein for the use in animal feed, and for direct human consumption. The assessment of climate impacts and market potentials of novel animal feed and food products related to such insect-based protein requires an assessment of their carbon footprints. This paper explores the extent to which insect protein could help to reduce the Global Warming Potential (GWP) associated with food consumption in Europe. The results from a quantitative review and scenario analyses provide two key insights. First, they support previous research suggesting that insect protein has the greatest potential to reduce the carbon footprints of European consumers, if insects are directly consumed as food. Second, they suggest not only that the use of insects as animal feed can substantially contribute to the sustainability of broiler production systems with regard to lowering GWP, but also that low-value side streams are key for improving this potential.</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2020:</w:t>
      </w:r>
      <w:r>
        <w:t xml:space="preserve"> Evidence for reducing cancer-specific mortality due to screening for breast cancer in Europe: A systematic review — https://doi.org/10.1016/j.ejca.2019.12.010</w:t>
      </w:r>
    </w:p>
    <w:p>
      <w:pPr/>
      <w:r>
        <w:rPr>
          <w:b/>
        </w:rPr>
        <w:t>Shared claim-specific concepts:</w:t>
      </w:r>
      <w:r>
        <w:t xml:space="preserve"> reducing, all, two; EU scope visible. This is a provisional connection, not an outcome finding.</w:t>
      </w:r>
    </w:p>
    <w:p>
      <w:pPr>
        <w:pStyle w:val="SourceNote"/>
      </w:pPr>
      <w:r>
        <w:rPr>
          <w:b/>
        </w:rPr>
        <w:t>Available abstract (not full text):</w:t>
      </w:r>
      <w:r>
        <w:t xml:space="preserve"> BACKGROUND: The aim of this study was to quantify the impact of organised mammography screening on breast cancer mortality across European regions. Therefore, a systematic review was performed including different types of studies from all European regions and stringently used clearly defined quality appraisal to summarise the best evidence. METHODS: Six databases were searched including Embase, Medline and Web of Science from inception to March 2018. To identify all eligible studies which assessed the effect of organised screening on breast cancer mortality, two reviewers independently applied predefined inclusion and exclusion criteria. Original studies in English with a minimum follow-up of five years that were randomised controlled trials (RCTs) or observational studies were included. The Cochrane risk of bias instrument and the Newcastle-Ottawa Scale were used to assess the risk of bias. RESULTS: Of the 5015 references initially retrieved, 60 were included in the final analysis. Those comprised 36 cohort studies, 17 case-control studies and 7 RCTs. None were from Eastern Europe. The quality of the included studies varied: Nineteen of these studies were of very good or good quality. Of those, the reduction in breast cancer mortality in attenders versus non-attenders ranged between 33% and 43% (Northern Europe), 43%-45% (Southern Europe) and 12%-58% (Western Europe). The esti</w:t>
      </w:r>
    </w:p>
    <w:p>
      <w:pPr/>
      <w:r>
        <w:rPr>
          <w:b/>
        </w:rPr>
        <w:t>POSSIBLE 2020:</w:t>
      </w:r>
      <w:r>
        <w:t xml:space="preserve"> Sources of particulate-matter air pollution and its oxidative potential in Europe — https://doi.org/10.1038/s41586-020-2902-8</w:t>
      </w:r>
    </w:p>
    <w:p>
      <w:pPr/>
      <w:r>
        <w:rPr>
          <w:b/>
        </w:rPr>
        <w:t>Shared claim-specific concepts:</w:t>
      </w:r>
      <w:r>
        <w:t xml:space="preserve"> reducing, emissions, anthropogenic, impacts; EU scope visible. This is a provisional connection, not an outcome finding.</w:t>
      </w:r>
    </w:p>
    <w:p>
      <w:pPr>
        <w:pStyle w:val="SourceNote"/>
      </w:pPr>
      <w:r>
        <w:rPr>
          <w:b/>
        </w:rPr>
        <w:t>Available abstract (not full text):</w:t>
      </w:r>
      <w:r>
        <w:t xml:space="preserve">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pPr/>
      <w:r>
        <w:rPr>
          <w:b/>
        </w:rPr>
        <w:t>POSSIBLE 2019:</w:t>
      </w:r>
      <w:r>
        <w:t xml:space="preserve"> Evaluation of data availability on population health indicators at the regional level across the European Union — https://doi.org/10.1186/s12963-019-0188-6</w:t>
      </w:r>
    </w:p>
    <w:p>
      <w:pPr/>
      <w:r>
        <w:rPr>
          <w:b/>
        </w:rPr>
        <w:t>Shared claim-specific concepts:</w:t>
      </w:r>
      <w:r>
        <w:t xml:space="preserve"> evaluate, set, all; EU scope visible. This is a provisional connection, not an outcome finding.</w:t>
      </w:r>
    </w:p>
    <w:p>
      <w:pPr>
        <w:pStyle w:val="SourceNote"/>
      </w:pPr>
      <w:r>
        <w:rPr>
          <w:b/>
        </w:rPr>
        <w:t>Available abstract (not full text):</w:t>
      </w:r>
      <w:r>
        <w:t xml:space="preserve"> BACKGROUND: The ability to measure regional health inequalities across Europe and to build adequate population health indices depends significantly on the availability of reliable and comparable data at the regional level. Within the scope of the EU-funded project EURO-HEALTHY, a Population Health Index (PHI) was built. This model aggregates 39 indicators considered relevant by experts and stakeholders to evaluate and monitor population health on the regional level within the European Union (269 regions). The aim of this research was to assess the data availability for those indicators. As a subsequent aim, an adequate protocol to overcome issues arising from missing data will be presented, as well as key messages for both national and European statistical authorities meant to improve data collection on population health. METHODS: The methodology for the study includes three consecutive phases: (i) assessing the data availability for the respective indicators at the regional level for the last year available (ii) applying a protocol for missing data and completing the database and (iii) developing a scoring system ranging from 0 (no data available; worst) to 1 (all data available; best) to evaluate the availability of data by indicator and EU region. RESULTS: Although the missing data on the set of the PHI indicators was significant, the mean availability score for the EURO-HEA</w:t>
      </w:r>
    </w:p>
    <w:p>
      <w:pPr>
        <w:pStyle w:val="Heading2"/>
      </w:pPr>
      <w:r>
        <w:t>930.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2025:</w:t>
      </w:r>
      <w:r>
        <w:t xml:space="preserve"> Employment effects of the energy transition : renewable energy sources in Europe — https://doi.org/10.60644/9058</w:t>
      </w:r>
    </w:p>
    <w:p>
      <w:pPr/>
      <w:r>
        <w:rPr>
          <w:b/>
        </w:rPr>
        <w:t>Shared claim-specific concepts:</w:t>
      </w:r>
      <w:r>
        <w:t xml:space="preserve"> deployment, renewable, energy, both, local, electricity; EU scope visible. This is a provisional connection, not an outcome finding.</w:t>
      </w:r>
    </w:p>
    <w:p>
      <w:pPr>
        <w:pStyle w:val="SourceNote"/>
      </w:pPr>
      <w:r>
        <w:rPr>
          <w:b/>
        </w:rPr>
        <w:t>Available abstract (not full text):</w:t>
      </w:r>
      <w:r>
        <w:t xml:space="preserve"> The energy transition is a necessary response to climate change and its environmental consequences. In this thesis, I investigate the labour market implications of the energy transition; specifically, I examine how the deployment of renewable energy sources – measured as installed capacity for electricity generation – affects local employment in renewables in the member states of the European Union between 2017 and 2023, including both direct and indirect employment in renewable sources. Although renewables are job creators, an arising concern in switching to renewable energy is that most of the employment increase may not be in the country that installs the renewables. Thus, the purpose of this thesis is to uncover whether such an increase shows up on the country level, using a panel data approach that analyses countries over time, with country and time fixed effects and additional control variables. I compile a new dataset and examine total renewables, along with specific sources such as solar, wind and hydropower. I find that approximately two jobs are created for an additional MW of renewable capacity installed. Thus, my results imply a significantly positive effect of the deployment of renewable energy sources on local employment in renewables. However, to examine the net impact – which includes job losses from fossil fuels – additional research is needed. Overall, this th</w:t>
      </w:r>
    </w:p>
    <w:p>
      <w:pPr/>
      <w:r>
        <w:rPr>
          <w:b/>
        </w:rPr>
        <w:t>POSSIBLE 2025:</w:t>
      </w:r>
      <w:r>
        <w:t xml:space="preserve"> Faster deployment of renewables stabilizes electricity prices in Europe — https://doi.org/10.1038/s41560-025-01715-x</w:t>
      </w:r>
    </w:p>
    <w:p>
      <w:pPr/>
      <w:r>
        <w:rPr>
          <w:b/>
        </w:rPr>
        <w:t>Shared claim-specific concepts:</w:t>
      </w:r>
      <w:r>
        <w:t xml:space="preserve"> deployment, energy, electricity, generation; EU scope visible. This is a provisional connection, not an outcome finding.</w:t>
      </w:r>
    </w:p>
    <w:p>
      <w:pPr>
        <w:pStyle w:val="SourceNote"/>
      </w:pPr>
      <w:r>
        <w:rPr>
          <w:b/>
        </w:rPr>
        <w:t>Available abstract (not full text):</w:t>
      </w:r>
      <w:r>
        <w:t xml:space="preserve"> Increasing solar photovoltaic and wind generation capacity beyond European 2030 targets could make electricity prices more stable, with reductions in sensitivity to fluctuations in the price of natural gas possibly outweighing the increasing influence of weather effects. Energy policies should account for the macroeconomic benefits of more stable energy prices as an important motivation for the deployment of renewables, in addition to their contribution to the mitigation of climate change.</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north, africa, electricity;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Renewable energy, energy efficiency, and economic complexity in the middle East and North Africa: A panel data analysis — https://doi.org/10.1016/j.energy.2024.133300</w:t>
      </w:r>
    </w:p>
    <w:p>
      <w:pPr/>
      <w:r>
        <w:rPr>
          <w:b/>
        </w:rPr>
        <w:t>Shared claim-specific concepts:</w:t>
      </w:r>
      <w:r>
        <w:t xml:space="preserve"> renewable, energy, technologies, north, africa; EU scope not established. This is a provisional connection, not an outcome finding.</w:t>
      </w:r>
    </w:p>
    <w:p>
      <w:pPr>
        <w:pStyle w:val="SourceNote"/>
      </w:pPr>
      <w:r>
        <w:rPr>
          <w:b/>
        </w:rPr>
        <w:t>Available abstract (not full text):</w:t>
      </w:r>
      <w:r>
        <w:t xml:space="preserve"> This paper aims to investigate how economic complexity and structural transformation affect energy security. This study differs from previous research by focusing on energy efficiency and renewable energy transition as indicators of energy security. The employed methods include econometric techniques such as Panel-Corrected Standard Errors, Driscoll and Kraay's Spatial Correlation Consistent (SCC) method, and Generalized Least Squares, covering data from the Middle East and North Africa (MENA) countries between 1990 and 2017. The results show that economic complexity has a negative effect on energy efficiency but a positive impact on renewable energy. However, economic growth positively affects energy efficiency but negatively influences renewable energy. These results imply that economic complexity is energy-intensive but green, whereas economic growth is energy-saving but brown. The comparative analysis reveals that the negative effects of economic complexity and growth are larger than their positive effects, highlighting the necessity of restructuring economic activities and sectors. Accordingly, decision-makers should encourage the utilization of more energy-efficient technologies in economic activities and production, while promoting renewable energy consumption to enhance energy security in the MENA region. • Economic complexity is energy-intensive while promoting renewab</w:t>
      </w:r>
    </w:p>
    <w:p>
      <w:pPr>
        <w:pStyle w:val="Heading2"/>
      </w:pPr>
      <w:r>
        <w:t>931.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r>
        <w:rPr>
          <w:b/>
        </w:rPr>
        <w:t>POSSIBLE 2020:</w:t>
      </w:r>
      <w:r>
        <w:t xml:space="preserve"> Sensitivity Analysis in Probabilistic Structural Design: A Comparison of Selected Techniques — https://doi.org/10.3390/su12114788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pPr>
        <w:pStyle w:val="Heading2"/>
      </w:pPr>
      <w:r>
        <w:t>932.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2024:</w:t>
      </w:r>
      <w:r>
        <w:t xml:space="preserve"> Model predictive control for demand flexibility of a residential building with multiple distributed energy resources — https://doi.org/10.1016/j.enbuild.2023.113884</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r>
        <w:rPr>
          <w:b/>
        </w:rPr>
        <w:t>POSSIBLE 2023:</w:t>
      </w:r>
      <w:r>
        <w:t xml:space="preserve"> Indigenous Technology Empowerment Model: A Community-based Design Framework — https://doi.org/10.1109/ice/itmc58018.2023.10332432</w:t>
      </w:r>
    </w:p>
    <w:p>
      <w:pPr/>
      <w:r>
        <w:rPr>
          <w:b/>
        </w:rPr>
        <w:t>Shared claim-specific concepts:</w:t>
      </w:r>
      <w:r>
        <w:t xml:space="preserve"> shows, indigenous, systems; EU scope not established. This is a provisional connection, not an outcome finding.</w:t>
      </w:r>
    </w:p>
    <w:p>
      <w:pPr>
        <w:pStyle w:val="SourceNote"/>
      </w:pPr>
      <w:r>
        <w:rPr>
          <w:b/>
        </w:rPr>
        <w:t>Available abstract (not full text):</w:t>
      </w:r>
      <w:r>
        <w:t xml:space="preserve"> This paper addresses the lack of social and cultural inclusion in the design of systems and products based on emerging technologies. Through a review of existing design processes, and focusing on Virtual Reality (VR) and Indigenous Peoples as examples, we conclude that existing design approaches for such technologies are not socially and culturally inclusive, don’t consider users as a community with its protocols and knowledge, and are not suitable for marginalized groups such as Indigenous Peoples. Through a collaborative project aiming at a prototype VR gathering place for Indigenous communities, we investigate the needs and concerns of community members and propose a framework consisting of a new information system model and its design process. We refer to this framework as Indigenous Technology Empowerment Model (ITEM), which is implemented using a hierarchical community involvement approach and elements we call Participatory Action Unit (PAU). Our prototype development follows this framework, and a qualitative analysis of community participation shows the initial success of our approach in empowering the communities to play an active role in the design process and identify the important technical features to be worked on. Our research also identifies proper community training as an essential component of a community-based design process.</w:t>
      </w:r>
    </w:p>
    <w:p>
      <w:pPr/>
      <w:r>
        <w:rPr>
          <w:b/>
        </w:rPr>
        <w:t>POSSIBLE 2023:</w:t>
      </w:r>
      <w:r>
        <w:t xml:space="preserve"> Environmental Conservation Policy Model Based on the Protection of Indigenous Peoples in Indonesia — https://doi.org/10.47268/sasi.v29i1.1274</w:t>
      </w:r>
    </w:p>
    <w:p>
      <w:pPr/>
      <w:r>
        <w:rPr>
          <w:b/>
        </w:rPr>
        <w:t>Shared claim-specific concepts:</w:t>
      </w:r>
      <w:r>
        <w:t xml:space="preserve"> indigenous, resources, show, provide, primary; EU scope not established. This is a provisional connection, not an outcome finding.</w:t>
      </w:r>
    </w:p>
    <w:p>
      <w:pPr>
        <w:pStyle w:val="SourceNote"/>
      </w:pPr>
      <w:r>
        <w:rPr>
          <w:b/>
        </w:rPr>
        <w:t>Available abstract (not full text):</w:t>
      </w:r>
      <w:r>
        <w:t xml:space="preserve"> Introduction: Indigenous peoples are an order of society that existed even before the Indonesian nation was born. The Indonesian state recognizes the existence of indigenous peoples and their rights. The legal protection of indigenous peoples is the responsibility of the state as mandated by the constitution and other relevant laws and regulations regarding the management of natural resources. However, there are still conflicts between indigenous peoples, the government, and companies that have received management permits from the government.Purposes of the Research: This study aims to review and provide a policy model formulation regarding the protection of indigenous peoples in the context of environmental conservation.Methods of the Research: Researchers use normative legal research methods that examine through a statutory approach and a case approach. Legal materials are obtained through literature studies, both primary and secondary legal materials that are relevant to the problem under study.Results of the Research: The results show that currently the arrangements that are a form of recognition and protection of indigenous peoples are still scattered in many laws and regulations. Even though it has been regulated, the arrangement is still not enough, so a policy model for the protection of indigenous peoples is needed that also firmly provides protection in the context of</w:t>
      </w:r>
    </w:p>
    <w:p>
      <w:pPr/>
      <w:r>
        <w:rPr>
          <w:b/>
        </w:rPr>
        <w:t>POSSIBLE 2023:</w:t>
      </w:r>
      <w:r>
        <w:t xml:space="preserve"> Required Level of Detail of Optimization Models for the Control of Flexible Energy Resources — https://doi.org/10.1109/smartgridcomm57358.2023.10333938</w:t>
      </w:r>
    </w:p>
    <w:p>
      <w:pPr/>
      <w:r>
        <w:rPr>
          <w:b/>
        </w:rPr>
        <w:t>Shared claim-specific concepts:</w:t>
      </w:r>
      <w:r>
        <w:t xml:space="preserve"> shows, resources, energy, without, systems, resource; EU scope not established. This is a provisional connection, not an outcome finding.</w:t>
      </w:r>
    </w:p>
    <w:p>
      <w:pPr>
        <w:pStyle w:val="SourceNote"/>
      </w:pPr>
      <w:r>
        <w:rPr>
          <w:b/>
        </w:rPr>
        <w:t>Available abstract (not full text):</w:t>
      </w:r>
      <w:r>
        <w:t xml:space="preserve"> In future energy systems, different energy resources must be controlled simultaneously. To determine their optimal operation, these energy resources must be modeled adequately.In most cases, an adequate model requires a trade-off between the time required to solve the corresponding optimization problem and the model’s level of detail. However, optimization models can vary in their level of detail, which affects the modeling effort as well as the computational power and time required to solve. An analysis of modeling approaches shows that there is no consensus in the scientific community regarding the required level of detail of a model to accurately represent the energy resource and its energy flexibility. This paper addresses this gap by comparing models of an energy resource with different levels of detail. The models are applied as optimization models to schedule the operation of energy resources. The qualities of the optimized schedules of the different models are compared and the validity of the optimized schedules is confirmed by a detailed simulation model. The results indicate that accurate results can be obtained without in-depth modeling of the underlying physical processes. Thus, the computational effort can be reduced by using less complex models without compromising the accuracy of the predictive capabilities, especially in use cases where many different energy res</w:t>
      </w:r>
    </w:p>
    <w:p>
      <w:pPr/>
      <w:r>
        <w:rPr>
          <w:b/>
        </w:rPr>
        <w:t>POSSIBLE 2022:</w:t>
      </w:r>
      <w:r>
        <w:t xml:space="preserve"> Remote sensing, snow modelling, survey data and Indigenous Knowledge show how snow and sea-ice conditions affect Peary caribou (Rangifer tarandus pearyi) distribution and inter-island and island–mainland movements — https://doi.org/10.33265/polar.v41.7964</w:t>
      </w:r>
    </w:p>
    <w:p>
      <w:pPr/>
      <w:r>
        <w:rPr>
          <w:b/>
        </w:rPr>
        <w:t>Shared claim-specific concepts:</w:t>
      </w:r>
      <w:r>
        <w:t xml:space="preserve"> shows, indigenous, show; EU scope not established. This is a provisional connection, not an outcome finding.</w:t>
      </w:r>
    </w:p>
    <w:p>
      <w:pPr>
        <w:pStyle w:val="SourceNote"/>
      </w:pPr>
      <w:r>
        <w:rPr>
          <w:b/>
        </w:rPr>
        <w:t>Available abstract (not full text):</w:t>
      </w:r>
      <w:r>
        <w:t xml:space="preserve">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pPr>
        <w:pStyle w:val="Heading2"/>
      </w:pPr>
      <w:r>
        <w:t>933.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2023:</w:t>
      </w:r>
      <w:r>
        <w:t xml:space="preserve"> Firm value determinants: Panel evidence from European listed companies — https://doi.org/10.5937/straman2300052v</w:t>
      </w:r>
    </w:p>
    <w:p>
      <w:pPr/>
      <w:r>
        <w:rPr>
          <w:b/>
        </w:rPr>
        <w:t>Shared claim-specific concepts:</w:t>
      </w:r>
      <w:r>
        <w:t xml:space="preserve"> panel, strategy, level; EU scope visible. This is a provisional connection, not an outcome finding.</w:t>
      </w:r>
    </w:p>
    <w:p>
      <w:pPr>
        <w:pStyle w:val="SourceNote"/>
      </w:pPr>
      <w:r>
        <w:rPr>
          <w:b/>
        </w:rPr>
        <w:t>Available abstract (not full text):</w:t>
      </w:r>
      <w:r>
        <w:t xml:space="preserve"> Background: To manage growth opportunities effectively and to make a significant impact on superior longterm performance, it is necessary to analyze firm value and diagnose its determinants. Increasing profit, providing prosperity to the company's stakeholders, and improving company value are the goals of every company's business. Purpose: The paper aims to build a model of the company's optimal value by assessing company performance based on financial statement analysis of European companies over the period 2015-2020. Study design/methodology/approach: The impact of financial indicators such as financial leverage, profitability, size, liquidity, growth, and asset tangibility on company value was thoroughly considered. The empirical research was founded on a sample of 158 Eastern and Western European companies, generating 948 observations. Panel regression analysis was conducted. Findings/conclusions: The obtained results revealed that debt-to-assets ratio, return on equity, and assets tangibility have a significant adverse effect on company value, whereas the return on assets and firm size have a significant favorable effect. The obtained conclusions should serve as a beneficial tool for the strategy of reaching the targeted market company's value and ensuring the company's future viability by the market. Hence, stakeholders could assess the perspective of the future company's</w:t>
      </w:r>
    </w:p>
    <w:p>
      <w:pPr/>
      <w:r>
        <w:rPr>
          <w:b/>
        </w:rPr>
        <w:t>POSSIBLE 2023:</w:t>
      </w:r>
      <w:r>
        <w:t xml:space="preserve"> EXPECTED CONTRIBUTIONS OF THE EUROPEAN CORPORATE SUSTAINABILITY REPORTING DIRECTIVE (CSRD) TO THE SUSTAINABLE DEVELOPMENT OF THE EUROPEAN UNION — https://doi.org/10.25234/eclic/27463</w:t>
      </w:r>
    </w:p>
    <w:p>
      <w:pPr/>
      <w:r>
        <w:rPr>
          <w:b/>
        </w:rPr>
        <w:t>Shared claim-specific concepts:</w:t>
      </w:r>
      <w:r>
        <w:t xml:space="preserve"> creation, important, political; EU scope visible. This is a provisional connection, not an outcome finding.</w:t>
      </w:r>
    </w:p>
    <w:p>
      <w:pPr>
        <w:pStyle w:val="SourceNote"/>
      </w:pPr>
      <w:r>
        <w:rPr>
          <w:b/>
        </w:rPr>
        <w:t>Available abstract (not full text):</w:t>
      </w:r>
      <w:r>
        <w:t xml:space="preserve"> In January 2023, the European Corporate Sustainability Reporting Directive (CSRD) came into power, and its application from the fiscal year 2024 becomes mandatory for all large European companies with over 500 employees, as well as for medium and small companies, except for micro-enterprises, whose securities are listed for trading on a regulated market in the European Union. The directive also covers non-European trading companies that generate more than EUR 150 million in net income per year in the Union and have at least one daughter company or subsidiary that exceeds this income threshold. The directive adapts the deadlines, areas and standards of application of the new sustainability reporting rules to the capacities and resources of individual categories of companies. Businesses covered by the directive will have to submit publicly available and detailed non-financial reports on a number of aspects of sustainability in their operations, as well as on the impact of external sustainability factors on current operations, market position and development of companies. The directive represents a strengthening of the existing European rules for the creation and publication of sustainability reports introduced by the Non-Financial Reporting Directive (NFRD) from 2014, which are no longer adequate for the realization of the goals of the European Green Plan and the successful trans</w:t>
      </w:r>
    </w:p>
    <w:p>
      <w:pPr/>
      <w:r>
        <w:rPr>
          <w:b/>
        </w:rPr>
        <w:t>POSSIBLE 2023:</w:t>
      </w:r>
      <w:r>
        <w:t xml:space="preserve"> Missionaries as Transmitters of Chinese Classics to Europe — https://doi.org/10.12906/9783865155252_004</w:t>
      </w:r>
    </w:p>
    <w:p>
      <w:pPr/>
      <w:r>
        <w:rPr>
          <w:b/>
        </w:rPr>
        <w:t>Shared claim-specific concepts:</w:t>
      </w:r>
      <w:r>
        <w:t xml:space="preserve"> creation, scientific, important, contribution; EU scope visible. This is a provisional connection, not an outcome finding.</w:t>
      </w:r>
    </w:p>
    <w:p>
      <w:pPr>
        <w:pStyle w:val="SourceNote"/>
      </w:pPr>
      <w:r>
        <w:rPr>
          <w:b/>
        </w:rPr>
        <w:t>Available abstract (not full text):</w:t>
      </w:r>
      <w:r>
        <w:t xml:space="preserve"> The thesis of this article is that the Jesuit missionaries in China made an important contribution to the development of Sinology in Europe, as well as to the Enlightenment, through their translations from the Chinese language. In China, a culture of the book, translations between European and Chinese languages played a paramount role. The "Apostolate of the Book," which included the translation and creation of religious, philosophical, and scientific texts into Chinese, was a distinctive feature of the China mission. Conversely, the classical Confucian books were translated into Latin and published in Europe. These translations of the Sishu 四書 (Four Books) and the Wujing 五經(Five Classics) by Jesuit teams, as well as the Daodejing 道德經 by individual Jesuits in China, contributed both to the European Enlightenment, represented here by Christian Wolff, and to the development of the field of Sinology.</w:t>
      </w:r>
    </w:p>
    <w:p>
      <w:pPr/>
      <w:r>
        <w:rPr>
          <w:b/>
        </w:rPr>
        <w:t>POSSIBLE 2022:</w:t>
      </w:r>
      <w:r>
        <w:t xml:space="preserve"> Short Food Supply Chains in Europe: Scientific Research Directions — https://doi.org/10.3390/su14063602</w:t>
      </w:r>
    </w:p>
    <w:p>
      <w:pPr/>
      <w:r>
        <w:rPr>
          <w:b/>
        </w:rPr>
        <w:t>Shared claim-specific concepts:</w:t>
      </w:r>
      <w:r>
        <w:t xml:space="preserve"> scientific, important, contribution; EU scope visible. This is a provisional connection, not an outcome finding.</w:t>
      </w:r>
    </w:p>
    <w:p>
      <w:pPr>
        <w:pStyle w:val="SourceNote"/>
      </w:pPr>
      <w:r>
        <w:rPr>
          <w:b/>
        </w:rPr>
        <w:t>Available abstract (not full text):</w:t>
      </w:r>
      <w:r>
        <w:t xml:space="preserve">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pPr/>
      <w:r>
        <w:rPr>
          <w:b/>
        </w:rPr>
        <w:t>POSSIBLE 2021:</w:t>
      </w:r>
      <w:r>
        <w:t xml:space="preserve"> Scientific Opinion of the Scientific Panel on Plant Protection Products and their Residues (PPR Panel) on testing and interpretation of comparative in vitro metabolism studies — https://doi.org/10.2903/j.efsa.2021.6970</w:t>
      </w:r>
    </w:p>
    <w:p>
      <w:pPr/>
      <w:r>
        <w:rPr>
          <w:b/>
        </w:rPr>
        <w:t>Shared claim-specific concepts:</w:t>
      </w:r>
      <w:r>
        <w:t xml:space="preserve"> scientific, panel, important, strategy, level; EU scope not established. This is a provisional connection, not an outcome finding.</w:t>
      </w:r>
    </w:p>
    <w:p>
      <w:pPr>
        <w:pStyle w:val="SourceNote"/>
      </w:pPr>
      <w:r>
        <w:rPr>
          <w:b/>
        </w:rPr>
        <w:t>Available abstract (not full text):</w:t>
      </w:r>
      <w:r>
        <w:t xml:space="preserve">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pPr/>
      <w:r>
        <w:rPr>
          <w:b/>
        </w:rPr>
        <w:t>POSSIBLE 2021:</w:t>
      </w:r>
      <w:r>
        <w:t xml:space="preserve"> Collaboration towards value creation for end-of-life solar photovoltaic panel in Ghana — https://doi.org/10.1016/j.jclepro.2021.129969</w:t>
      </w:r>
    </w:p>
    <w:p>
      <w:pPr/>
      <w:r>
        <w:rPr>
          <w:b/>
        </w:rPr>
        <w:t>Shared claim-specific concepts:</w:t>
      </w:r>
      <w:r>
        <w:t xml:space="preserve"> creation, panel, need; EU scope not established. This is a provisional connection, not an outcome finding.</w:t>
      </w:r>
    </w:p>
    <w:p>
      <w:pPr>
        <w:pStyle w:val="SourceNote"/>
      </w:pPr>
      <w:r>
        <w:rPr>
          <w:b/>
        </w:rPr>
        <w:t>Available abstract (not full text):</w:t>
      </w:r>
      <w:r>
        <w:t xml:space="preserve">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pPr>
        <w:pStyle w:val="Heading2"/>
      </w:pPr>
      <w:r>
        <w:t>934.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2022:</w:t>
      </w:r>
      <w:r>
        <w:t xml:space="preserve"> The politics of vaccine hesitancy in Europe — https://doi.org/10.1093/eurpub/ckac041</w:t>
      </w:r>
    </w:p>
    <w:p>
      <w:pPr/>
      <w:r>
        <w:rPr>
          <w:b/>
        </w:rPr>
        <w:t>Shared claim-specific concepts:</w:t>
      </w:r>
      <w:r>
        <w:t xml:space="preserve"> finally, also, but; EU scope visible. This is a provisional connection, not an outcome finding.</w:t>
      </w:r>
    </w:p>
    <w:p>
      <w:pPr>
        <w:pStyle w:val="SourceNote"/>
      </w:pPr>
      <w:r>
        <w:rPr>
          <w:b/>
        </w:rPr>
        <w:t>Available abstract (not full text):</w:t>
      </w:r>
      <w:r>
        <w:t xml:space="preserve"> BACKGROUND: Vaccine hesitancy threatens public health. Some evidence suggests that vaccine hesitancy in Europe may be linked with the success of populist parties, but more systematic analysis is needed. METHODS: We examine the prevalence of individual-level vaccine hesitancy across the European Union (EU) and its association with political orientations. We also analyze whether success of populist parties is linked with vaccine hesitancy and uptake. We draw on individual-level Eurobarometer data from 2019, with a total of 27 524 respondents across the EU. We also rely on national and regional-level populist party vote shares. Finally, for a time-series analysis, we rely on aggregated populist party support as measured in the European Social Survey waves 1-9 (2002-18), and national immunization coverage rates from the WHO from 2002 to 2018. RESULTS: While vaccine hesitancy is confined to a minority of the population, this group is large enough to risk herd immunity. Political orientations on a left-right dimension are not strongly linked to vaccine hesitancy. Instead, vaccine hesitancy is associated with anti-elite world views and culturally closed rather than cosmopolitan positions. CONCLUSIONS: Vaccine hesitancy is not only present in all EU member states but also maps on broader dimensions of cultural conflict. Hesitancy is rooted in a broader worldview, rather than mispercept</w:t>
      </w:r>
    </w:p>
    <w:p>
      <w:pPr/>
      <w:r>
        <w:rPr>
          <w:b/>
        </w:rPr>
        <w:t>POSSIBLE 2022:</w:t>
      </w:r>
      <w:r>
        <w:t xml:space="preserve"> Development of Renewable Energy Sources in the European Union in the Context of Sustainable Development Policy — https://doi.org/10.3390/en15041545</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sources play a key role in decarbonizing the economy of the European Union (EU) and the world. The aim of this research is to present the development of the renewable energy sources (RES) sector in the European Union (EU), with particular emphasis on sustainable development. The EU guidelines, requirements, and directives were analyzed in order to meet the provisions of the energy policy to ensure energy and climate security. The potential of the RES was studied in the EU countries, and the possibility of its use in cogeneration with the use of local renewable resources. The results are presented in tabular, graphic, and descriptive forms. The results are presented based on the extensive literature on the subject and data from Eurostat. The data covered 2004–2019. We used different methods to evaluate the changes in the RES in the EU countries. First, we compiled descriptive statistics; second, we used the Augmented Dickey–Fuller test (ADF test); and, finally, we used the Generalized Autoregressive Conditional Heteroscedasticity model (GARCH model). Our analysis found that the EU increased the share of RES. The biggest share of energy from renewable energy sources was found in 2019 in Iceland (78%), Norway (74%), and Sweden (56%). The biggest increase in the share of RES in 2004–19 was found in Malta (8322%), Great Britain (1126%), and Luxemburg (784%). The res</w:t>
      </w:r>
    </w:p>
    <w:p>
      <w:pPr/>
      <w:r>
        <w:rPr>
          <w:b/>
        </w:rPr>
        <w:t>POSSIBLE 2022:</w:t>
      </w:r>
      <w:r>
        <w:t xml:space="preserve"> The role of energy prices and economic growth in renewable energy capacity expansion – Evidence from OECD Europe — https://doi.org/10.1016/j.renene.2022.03.011</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2021:</w:t>
      </w:r>
      <w:r>
        <w:t xml:space="preserve"> Energy efficiencies of European countries — https://doi.org/10.1080/00036846.2021.1994520</w:t>
      </w:r>
    </w:p>
    <w:p>
      <w:pPr/>
      <w:r>
        <w:rPr>
          <w:b/>
        </w:rPr>
        <w:t>Shared claim-specific concepts:</w:t>
      </w:r>
      <w:r>
        <w:t xml:space="preserve"> finally, energy, efficiency; EU scope visible. This is a provisional connection, not an outcome finding.</w:t>
      </w:r>
    </w:p>
    <w:p>
      <w:pPr>
        <w:pStyle w:val="SourceNote"/>
      </w:pPr>
      <w:r>
        <w:rPr>
          <w:b/>
        </w:rPr>
        <w:t>Available abstract (not full text):</w:t>
      </w:r>
      <w:r>
        <w:t xml:space="preserve">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pPr>
        <w:pStyle w:val="Heading2"/>
      </w:pPr>
      <w:r>
        <w:t>935.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r>
        <w:rPr>
          <w:b/>
        </w:rPr>
        <w:t>POSSIBLE 2023:</w:t>
      </w:r>
      <w:r>
        <w:t xml:space="preserve"> Application of Machine Learning Techniques to Predict Visitors to the Tourist Attractions of the Moche Route in Peru — https://doi.org/10.3390/su15118967</w:t>
      </w:r>
    </w:p>
    <w:p>
      <w:pPr/>
      <w:r>
        <w:rPr>
          <w:b/>
        </w:rPr>
        <w:t>Shared claim-specific concepts:</w:t>
      </w:r>
      <w:r>
        <w:t xml:space="preserve"> used, four, develop, visitors; EU scope not established. This is a provisional connection, not an outcome finding.</w:t>
      </w:r>
    </w:p>
    <w:p>
      <w:pPr>
        <w:pStyle w:val="SourceNote"/>
      </w:pPr>
      <w:r>
        <w:rPr>
          <w:b/>
        </w:rPr>
        <w:t>Available abstract (not full text):</w:t>
      </w:r>
      <w:r>
        <w:t xml:space="preserve"> Due to the COVID-19 pandemic, the tourism sector has been one of the most affected sectors and requires management entities to develop urgent measures to reactivate and achieve digital transformation using emerging disruptive technologies. The objective of this research is to apply machine learning techniques to predict visitors to tourist attractions on the Moche Route in northern Peru, for which a methodology based on four main stages was applied: (1) data collection, (2) model analysis, (3) model development, and (4) model evaluation. Public data from official sources and internet data (TripAdvisor and Google Trends) during the period from January 2011 to May 2022 are used. Four algorithms are evaluated: linear regression, KNN regression, decision tree, and random forest. In conclusion, for both the prediction of national and foreign tourists, the best algorithm is linear regression, and the results allow for taking the necessary actions to achieve the digital transformation to promote the Moche Route and, thus, reactivate tourism and the economy in the north of Peru.</w:t>
      </w:r>
    </w:p>
    <w:p>
      <w:pPr/>
      <w:r>
        <w:rPr>
          <w:b/>
        </w:rPr>
        <w:t>POSSIBLE 2022:</w:t>
      </w:r>
      <w:r>
        <w:t xml:space="preserve"> Sports Marketing as a Tool for Creating an Image of Leading European Football Clubs — https://doi.org/10.15611/2022.29.9.03</w:t>
      </w:r>
    </w:p>
    <w:p>
      <w:pPr/>
      <w:r>
        <w:rPr>
          <w:b/>
        </w:rPr>
        <w:t>Shared claim-specific concepts:</w:t>
      </w:r>
      <w:r>
        <w:t xml:space="preserve"> used, create, four, different; EU scope visible. This is a provisional connection, not an outcome finding.</w:t>
      </w:r>
    </w:p>
    <w:p>
      <w:pPr>
        <w:pStyle w:val="SourceNote"/>
      </w:pPr>
      <w:r>
        <w:rPr>
          <w:b/>
        </w:rPr>
        <w:t>Available abstract (not full text):</w:t>
      </w:r>
      <w:r>
        <w:t xml:space="preserve">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pPr/>
      <w:r>
        <w:rPr>
          <w:b/>
        </w:rPr>
        <w:t>POSSIBLE 2021:</w:t>
      </w:r>
      <w:r>
        <w:t xml:space="preserve"> Creating the European Literary Text Collection (ELTeC): Challenges and Perspectives — https://doi.org/10.3828/mlo.v0i0.364</w:t>
      </w:r>
    </w:p>
    <w:p>
      <w:pPr/>
      <w:r>
        <w:rPr>
          <w:b/>
        </w:rPr>
        <w:t>Shared claim-specific concepts:</w:t>
      </w:r>
      <w:r>
        <w:t xml:space="preserve"> used, four, different, aim; EU scope visible. This is a provisional connection, not an outcome finding.</w:t>
      </w:r>
    </w:p>
    <w:p>
      <w:pPr>
        <w:pStyle w:val="SourceNote"/>
      </w:pPr>
      <w:r>
        <w:rPr>
          <w:b/>
        </w:rPr>
        <w:t>Available abstract (not full text):</w:t>
      </w:r>
      <w:r>
        <w:t xml:space="preserve">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pPr/>
      <w:r>
        <w:rPr>
          <w:b/>
        </w:rPr>
        <w:t>POSSIBLE 2021:</w:t>
      </w:r>
      <w:r>
        <w:t xml:space="preserve"> Towards a visitor taxonomy at (film-induced) heritage attractions — https://doi.org/10.1080/1743873x.2021.2002340</w:t>
      </w:r>
    </w:p>
    <w:p>
      <w:pPr/>
      <w:r>
        <w:rPr>
          <w:b/>
        </w:rPr>
        <w:t>Shared claim-specific concepts:</w:t>
      </w:r>
      <w:r>
        <w:t xml:space="preserve"> four, products, visitors; EU scope not established. This is a provisional connection, not an outcome finding.</w:t>
      </w:r>
    </w:p>
    <w:p>
      <w:pPr>
        <w:pStyle w:val="SourceNote"/>
      </w:pPr>
      <w:r>
        <w:rPr>
          <w:b/>
        </w:rPr>
        <w:t>Available abstract (not full text):</w:t>
      </w:r>
      <w:r>
        <w:t xml:space="preserve"> Film-induced tourism at heritage attractions (HAs) is a growing industry of international relevance. It can influence visitors’ expectations of the site and further their preferences for interpretation to include a degree of reference to the film(s). Drawing upon in-depth interviews with visitors at a UK HA further popularised through book and film, this paper explores visitors’ preferences for heritage interpretation. The paper identifies four visitor taxonomies – vigorous followers, curious investigators, versatile explorers and purposeful avoiders. It ultimately highlights the value of data-driven visitor taxonomies, providing an in-depth insight into heritage tourism in general and film-induced tourism at this heritage site in particular. Thus, this paper contributes to a greater understanding of the popular media products’ influence on visitor preferences for on-site heritage interpretation.</w:t>
      </w:r>
    </w:p>
    <w:p>
      <w:pPr>
        <w:pStyle w:val="Heading2"/>
      </w:pPr>
      <w:r>
        <w:t>936.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r>
        <w:rPr>
          <w:b/>
        </w:rPr>
        <w:t>POSSIBLE 2024:</w:t>
      </w:r>
      <w:r>
        <w:t xml:space="preserve"> Wanted Refugees: The Forming of an Instrument Constituency for Refugee Resettlement in the European Union — https://doi.org/10.1093/rsq/hdae006</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pPr/>
      <w:r>
        <w:rPr>
          <w:b/>
        </w:rPr>
        <w:t>POSSIBLE 2024:</w:t>
      </w:r>
      <w:r>
        <w:t xml:space="preserve"> Children’s Rights and the European Union – Framework — https://doi.org/10.71009/2024.ar.crirhrs_3</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According to the Principle of conferral, the European Union has no competences over family law, including the regulation of children’s rights. Therefore, legally binding documents (Treaty on European Union, Treaty on the Functioning of the European Union, and the Charter of Fundamental Rights of the European Union) refer to (some) children’s rights and the principles of treatment of children at a generic level. This fact does not present a major obstacle because all the European Union Member States are parties to the Convention on the Rights of the Child and many other treaties that regulate children’s rights in greater detail. Non-binding documents appear in a frenzy and show an ambition to resolve many children’s problems typically observed in developed countries of the world, including those of the European Union. As their provisions often overlap and aim to achieve many objectives, the question arises as to the purposefulness of many soft law documents, such as strategies, guidelines, resolutions, communications, recommendations, and agendas. They reflect the significant and specific problems encountered by children in the European Union and indicate the need for children’s rights to be exercised. Moreover, they are a signal to adults, not only parents, to do more for the protection of children and their rights. However, it is unclear to what extent soft law can provide an </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union, achieve, decarbonization;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pStyle w:val="Heading2"/>
      </w:pPr>
      <w:r>
        <w:t>937.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r>
        <w:rPr>
          <w:b/>
        </w:rPr>
        <w:t>POSSIBLE 2020:</w:t>
      </w:r>
      <w:r>
        <w:t xml:space="preserve"> Building ‘implicit partnerships’? Financial long-term care entitlements in Europe — https://openalex.org/W3185178917</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Who is Teleworking and Where from? Exploring the Main Determinants of Telework in Europe — https://doi.org/10.3390/su12218797</w:t>
      </w:r>
    </w:p>
    <w:p>
      <w:pPr/>
      <w:r>
        <w:rPr>
          <w:b/>
        </w:rPr>
        <w:t>Shared claim-specific concepts:</w:t>
      </w:r>
      <w:r>
        <w:t xml:space="preserve"> main, findings, among, highly; EU scope visible. This is a provisional connection, not an outcome finding.</w:t>
      </w:r>
    </w:p>
    <w:p>
      <w:pPr>
        <w:pStyle w:val="SourceNote"/>
      </w:pPr>
      <w:r>
        <w:rPr>
          <w:b/>
        </w:rPr>
        <w:t>Available abstract (not full text):</w:t>
      </w:r>
      <w:r>
        <w:t xml:space="preserve"> Telework and ICT-based mobile work (TICTM) arrangements have emerged in response to technological changes driven by digitalisation, increasing flexibility within the labour market, and globalisation. As telework becomes more widespread, these flexible models of work are rapidly expanding to new categories of employees, changing the factors traditionally found to be important for telework eligibility. The aim of this study is to gain a deeper understanding of new profiles of teleworkers, examining main factors that increase or decrease the likelihood of different TICTM arrangements. We apply multinomial logistic regression models to a sample of more than 20,000 workers from the 6th European Working Conditions Survey. Our findings confirm the heterogeneity in the profiles of teleworkers, particularly distinguishing by TICTM arrangement. Occasional teleworkers are usually male managers or professionals, but a relevant percentage of highly mobile teleworkers are technicians and associate professionals, while clerical support workers amount to a large group of home-based teleworkers. The majority of occasional and highly mobile teleworkers are still men, but this can no longer be said of home-based teleworkers. The correlations between telework and permanent contracts, full-time jobs, and living in urban areas are weak, showing that TICTM is spreading into more precarious, temporary</w:t>
      </w:r>
    </w:p>
    <w:p>
      <w:pPr/>
      <w:r>
        <w:rPr>
          <w:b/>
        </w:rPr>
        <w:t>POSSIBLE 2020:</w:t>
      </w:r>
      <w:r>
        <w:t xml:space="preserve"> Protection gaps and restoration opportunities for primary forests in Europe — https://doi.org/10.1111/ddi.13158</w:t>
      </w:r>
    </w:p>
    <w:p>
      <w:pPr/>
      <w:r>
        <w:rPr>
          <w:b/>
        </w:rPr>
        <w:t>Shared claim-specific concepts:</w:t>
      </w:r>
      <w:r>
        <w:t xml:space="preserve"> they, main, two; EU scope visible. This is a provisional connection, not an outcome finding.</w:t>
      </w:r>
    </w:p>
    <w:p>
      <w:pPr>
        <w:pStyle w:val="SourceNote"/>
      </w:pPr>
      <w:r>
        <w:rPr>
          <w:b/>
        </w:rPr>
        <w:t>Available abstract (not full text):</w:t>
      </w:r>
      <w:r>
        <w:t xml:space="preserve"> Abstract Aims Primary forests are critical for forest biodiversity and provide key ecosystem services. In Europe, these forests are particularly scarce and it is unclear whether they are sufficiently protected. Here we aim to: (a) understand whether extant primary forests are representative of the range of naturally occurring forest types, (b) identify forest types which host enough primary forest under strict protection to meet conservation targets and (c) highlight areas where restoration is needed and feasible. Location Europe. Methods We combined a unique geodatabase of primary forests with maps of forest cover, potential natural vegetation, biogeographic regions and protected areas to quantify the proportion of extant primary forest across Europe's forest types and to identify gaps in protection. Using spatial predictions of primary forest locations to account for underreporting of primary forests, we then highlighted areas where restoration could complement protection. Results We found a substantial bias in primary forest distribution across forest types. Of the 54 forest types we assessed, six had no primary forest at all, and in two‐thirds of forest types, less than 1% of forest was primary. Even if generally protected, only ten forest types had more than half of their primary forests strictly protected. Protecting all documented primary forests requires expanding the p</w:t>
      </w:r>
    </w:p>
    <w:p>
      <w:pPr>
        <w:pStyle w:val="Heading2"/>
      </w:pPr>
      <w:r>
        <w:t>938.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2022:</w:t>
      </w:r>
      <w:r>
        <w:t xml:space="preserve"> Assessment of the impact of Circular Economy competitiveness and innovation on European economic growth — https://doi.org/10.5937/ejae19-39057</w:t>
      </w:r>
    </w:p>
    <w:p>
      <w:pPr/>
      <w:r>
        <w:rPr>
          <w:b/>
        </w:rPr>
        <w:t>Shared claim-specific concepts:</w:t>
      </w:r>
      <w:r>
        <w:t xml:space="preserve"> four, world, economy, aims; EU scope visible. This is a provisional connection, not an outcome finding.</w:t>
      </w:r>
    </w:p>
    <w:p>
      <w:pPr>
        <w:pStyle w:val="SourceNote"/>
      </w:pPr>
      <w:r>
        <w:rPr>
          <w:b/>
        </w:rPr>
        <w:t>Available abstract (not full text):</w:t>
      </w:r>
      <w:r>
        <w:t xml:space="preserve"> The world usage of raw materials is 70% higher than what the Earth can safely renew. Circular Economy represents a new model of economic development relying on the 7Rs (redesign, reduce, reuse, repair, renovate, recycle, and recover) to provide operational and strategic benefits on the micro, meso, and macro levels. This research aims to determine the impact that circular economy competitiveness and innovation have on economic growth within European countries by evaluating the impact of four independent variables selected from the European Commission Circular Economy monitoring framework on the GNI per capita. This paper analyses the competitiveness through Values Added at Factor Cost (VAFC), Gross Investment in Tangible Goods (GITG), and Number of Employees (EMP) in Circular Economy, innovation through the Number of Patents in climate change mitigation technologies related to wastewater treatment or waste management (PAT), while the economic growth was estimated based on the GNI per capita annual growth rate (GNIpc). Correlation and regression methods were applied to the sample of 25 European countries using the log-transformed data. The results show that the correlation between VAFC and GNIpc is moderate and significant but negative, while the correlation between GITG and EMP and GNIpc is not statistically significant.</w:t>
      </w:r>
    </w:p>
    <w:p>
      <w:pPr/>
      <w:r>
        <w:rPr>
          <w:b/>
        </w:rPr>
        <w:t>POSSIBLE 2022:</w:t>
      </w:r>
      <w:r>
        <w:t xml:space="preserve"> How do cancer clinicians perceive real-world data and the evidence derived therefrom? Findings from an international survey of the European Organisation for Research and Treatment of Cancer — https://doi.org/10.3389/fphar.2022.969778</w:t>
      </w:r>
    </w:p>
    <w:p>
      <w:pPr/>
      <w:r>
        <w:rPr>
          <w:b/>
        </w:rPr>
        <w:t>Shared claim-specific concepts:</w:t>
      </w:r>
      <w:r>
        <w:t xml:space="preserve"> derived, international, challenges, influence; EU scope visible. This is a provisional connection, not an outcome finding.</w:t>
      </w:r>
    </w:p>
    <w:p>
      <w:pPr>
        <w:pStyle w:val="SourceNote"/>
      </w:pPr>
      <w:r>
        <w:rPr>
          <w:b/>
        </w:rPr>
        <w:t>Available abstract (not full text):</w:t>
      </w:r>
      <w:r>
        <w:t xml:space="preserve"> Background: The role of real-world evidence (RWE) in the development of anticancer therapies has been gradually growing over time. Regulators, payers and health technology assessment agencies, spurred by the rise of the precision medicine model, are increasingly incorporating RWE into their decision-making regarding the authorization and reimbursement of novel antineoplastic treatments. However, it remains unclear how this trend is viewed by clinicians in the field. This study aimed to investigate the opinions of these stakeholders with respect to RWE and its suitability for informing regulatory, reimbursement-related and clinical decisions in oncology. Methods: An online survey was disseminated to clinicians belonging to the network of the European Organisation for Research and Treatment of Cancer between May and July 2021. Results: In total, 557 clinicians across 30 different countries participated in the survey, representing 13 distinct cancer domains. Despite seeing the methodological challenges associated with its interpretation as difficult to overcome, the respondents mostly (75.0%) perceived RWE positively, and believed such evidence could be relatively strong, depending on the designs and data sources of the studies from which it is produced. Few (4.6%) saw a future expansion of its influence on decision-makers as a negative evolution. Furthermore, nearly all (94.0%) p</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r>
        <w:rPr>
          <w:b/>
        </w:rPr>
        <w:t>POSSIBLE 2021:</w:t>
      </w:r>
      <w:r>
        <w:t xml:space="preserve"> Bioeconomic development in Europe and in the world — https://doi.org/10.1051/e3sconf/202124410061</w:t>
      </w:r>
    </w:p>
    <w:p>
      <w:pPr/>
      <w:r>
        <w:rPr>
          <w:b/>
        </w:rPr>
        <w:t>Shared claim-specific concepts:</w:t>
      </w:r>
      <w:r>
        <w:t xml:space="preserve"> world, international, challenges, present; EU scope visible. This is a provisional connection, not an outcome finding.</w:t>
      </w:r>
    </w:p>
    <w:p>
      <w:pPr>
        <w:pStyle w:val="SourceNote"/>
      </w:pPr>
      <w:r>
        <w:rPr>
          <w:b/>
        </w:rPr>
        <w:t>Available abstract (not full text):</w:t>
      </w:r>
      <w:r>
        <w:t xml:space="preserve"> Bioeconomy is one of the leading science directions at the present time; countries and international organizations around the world pay close attention to it. They are actively working on policies and strategies for the transition to a bioeconomy. Bioeconomy is based on advances in microbiology that can be used in various processes associated with the use of biological resources; it is changing consumer preferences by bringing a new understanding of resource constraints. Despite the fact that a great contribution has already been made to the science of bioeconomy, much in it still refers to promising scientific developments in such areas as biology, biomedicine, engineering, artificial intelligence, technology, chemistry, etc. This paper provides an overview of the current strategies of different countries in the development and implementation of bioeconomy. Purpose of the work: systematization of target indicators and identification of the most significant among them for different economies. The results of the study point to the need for an in-depth analysis of the challenges and opportunities the world faces on the road to bioeconomy. In addition, it is shown the need to develop common global criteria for assessing the bioeconomic development.</w:t>
      </w:r>
    </w:p>
    <w:p>
      <w:pPr/>
      <w:r>
        <w:rPr>
          <w:b/>
        </w:rPr>
        <w:t>POSSIBLE 2021:</w:t>
      </w:r>
      <w:r>
        <w:t xml:space="preserve"> Circular economy: advancement of European Union countries — https://doi.org/10.1186/s12302-021-00549-0</w:t>
      </w:r>
    </w:p>
    <w:p>
      <w:pPr/>
      <w:r>
        <w:rPr>
          <w:b/>
        </w:rPr>
        <w:t>Shared claim-specific concepts:</w:t>
      </w:r>
      <w:r>
        <w:t xml:space="preserve"> economy, challenges, aims;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pStyle w:val="Heading2"/>
      </w:pPr>
      <w:r>
        <w:t>939.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Forest Trade on the Amazon Frontier and Its Interaction with the EUDR — https://doi.org/10.1007/s11196-025-10250-7</w:t>
      </w:r>
    </w:p>
    <w:p>
      <w:pPr/>
      <w:r>
        <w:rPr>
          <w:b/>
        </w:rPr>
        <w:t>Shared claim-specific concepts:</w:t>
      </w:r>
      <w:r>
        <w:t xml:space="preserve"> article, different, perceptions, trade, reveal, union; EU scope visible. This is a provisional connection, not an outcome finding.</w:t>
      </w:r>
    </w:p>
    <w:p>
      <w:pPr>
        <w:pStyle w:val="SourceNote"/>
      </w:pPr>
      <w:r>
        <w:rPr>
          <w:b/>
        </w:rPr>
        <w:t>Available abstract (not full text):</w:t>
      </w:r>
      <w:r>
        <w:t xml:space="preserve"> Abstract This article analyzes how the European Union’s Deforestation-Free Products Regulation (EUDR) could affect the production of forest goods in Mato Grosso (MT), a Brazilian state whose economy depends on commodity exports. The text is divided into five topics: the first discusses the context of forestry products in the Brazilian state; the second analyzes the trade in forestry goods in the EU, its regulation, and the prospects for its application in MT; the third offers a conceptualization of the Brussels Effect and its manifestation in Brazil; the forth one presents the results of field research with actors in the forestry sector in the state, exploring their perceptions about the EU Brussels Effect; and the last one analzyes which Mato Grosso’s municipalities are more exposed to the EUDR in their timber exports. The results obtained through semi-structured interviews highlight the diversity of knowledge of the different groups interviewed about European regulations in the country’s timber forestry industry. State authorities show a clear awareness of the influence of EU regulations, mainly concerning local public policies and international pressure on deforested areas in the Amazon. Stakeholder perceptions reveal a complex intersection between environmental, economic, and social concerns, highlighting the importance of constructive dialogue between different actors to m</w:t>
      </w:r>
    </w:p>
    <w:p>
      <w:pPr/>
      <w:r>
        <w:rPr>
          <w:b/>
        </w:rPr>
        <w:t>POSSIBLE 2024:</w:t>
      </w:r>
      <w:r>
        <w:t xml:space="preserve"> IDENTITY AND SCHOOLING IN MINORITY AND REGIONAL LANGUAGES IN EUROPE AND ASIA — https://doi.org/10.33876/2311-0546/2024-3/135-152</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This article builds upon the research project “Identity and School Policy in the Multicultural World: An Anthropological Analysis of International Experience.” The focus is on the pressing issue of language in youth education within Russia. From the perspective of a social anthropologist, the article examines the possibilities and consequences of various approaches to addressing the needs of diverse ethnic groups in multicultural societies, drawing on examples from several countries. The author explores the lessons Russia can draw from the practices of other nations, emphasizing the relationship between educational policy concepts and the formation of various identities among the population (national, ethnic, regional, local, etc.). To assess the extent to which minority and regional languages (as defined by the European Charter for Regional or Minority Languages) are incorporated into actual educational programs across Europe and Asia, an analysis was conducted of relevant regulatory and administrative decisions at different levels. The project’s primary objective was to strike a balance between the ethno-cultural competencies of individual citizens and the goals of consolidating the population in the interests of a unified state.</w:t>
      </w:r>
    </w:p>
    <w:p>
      <w:pPr>
        <w:pStyle w:val="Heading2"/>
      </w:pPr>
      <w:r>
        <w:t>940.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2025:</w:t>
      </w:r>
      <w:r>
        <w:t xml:space="preserve"> European Options with Monte Carlo Simulation — https://doi.org/10.1007/979-8-8688-1793-9_11</w:t>
      </w:r>
    </w:p>
    <w:p>
      <w:pPr/>
      <w:r>
        <w:rPr>
          <w:b/>
        </w:rPr>
        <w:t>Shared claim-specific concepts:</w:t>
      </w:r>
      <w:r>
        <w:t xml:space="preserve"> monte, carlo, used, between; EU scope visible. This is a provisional connection, not an outcome finding.</w:t>
      </w:r>
    </w:p>
    <w:p>
      <w:pPr>
        <w:pStyle w:val="SourceNote"/>
      </w:pPr>
      <w:r>
        <w:rPr>
          <w:b/>
        </w:rPr>
        <w:t>Available abstract (not full text):</w:t>
      </w:r>
      <w:r>
        <w:t xml:space="preserve"> This chapter moves beyond analytical pricing formulas like the Black–Scholes model and explores how to price European options using Monte Carlo simulation. Monte Carlo methods are powerful numerical techniques widely used in finance when closed-form solutions are difficult or impossible to obtain. They rely on simulating a large number of possible paths for the underlying asset price and then estimating option payoffs statistically. This chapter is a bridge between theory (closed-form Black–Scholes) and practice (numerical methods for complex derivatives). After working through it, you’ll have both the coding skills and quantitative intuition to tackle more advanced derivatives (Asian, barrier, and American options) using Monte Carlo methods.</w:t>
      </w:r>
    </w:p>
    <w:p>
      <w:pPr/>
      <w:r>
        <w:rPr>
          <w:b/>
        </w:rPr>
        <w:t>POSSIBLE 2025:</w:t>
      </w:r>
      <w:r>
        <w:t xml:space="preserve"> Post-measurement quantum Monte Carlo — https://doi.org/10.1103/2tx2-7z18</w:t>
      </w:r>
    </w:p>
    <w:p>
      <w:pPr/>
      <w:r>
        <w:rPr>
          <w:b/>
        </w:rPr>
        <w:t>Shared claim-specific concepts:</w:t>
      </w:r>
      <w:r>
        <w:t xml:space="preserve"> monte, carlo, over; EU scope not established. This is a provisional connection, not an outcome finding.</w:t>
      </w:r>
    </w:p>
    <w:p>
      <w:pPr>
        <w:pStyle w:val="SourceNote"/>
      </w:pPr>
      <w:r>
        <w:rPr>
          <w:b/>
        </w:rPr>
        <w:t>Available abstract (not full text):</w:t>
      </w:r>
      <w:r>
        <w:t xml:space="preserve"> We show how the effects of large numbers of measurements on many-body quantum ground and thermal states can be studied using quantum Monte Carlo (QMC). Density matrices generated by measurement in this setting feature products of many local nonunitary operators, and by expanding these density matrices as sums over operator strings we arrive at a generalized stochastic series expansion (SSE). Our ``post-measurement SSE'' is based on importance sampling of operator strings contributing to a measured thermal density matrix. We demonstrate our algorithm by probing the effects of measurements on the spin-$1/2$ Heisenberg antiferromagnet on the square lattice. Thermal states of this system have $\mathrm{SU}(2)$ symmetry, and at first we preserve this symmetry by measuring $\mathrm{SU}(2)$ symmetric observables. We identify classes of post-measurement states for which correlations can be calculated efficiently, as well as states for which $\mathrm{SU}(2)$ symmetric measurements generate a QMC sign problem when working in any site-local basis. For the first class, we show how deterministic loop updates can be leveraged. Using our algorithm we demonstrate the creation of long-range Bell pairs and symmetry-protected topological order, as well as the measurement-induced enhancement of antiferromagnetic correlations. We then study the effects of measuring the system in a basis where the st</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pStyle w:val="Heading2"/>
      </w:pPr>
      <w:r>
        <w:t>941.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2023:</w:t>
      </w:r>
      <w:r>
        <w:t xml:space="preserve"> The impact of the Russia–Ukraine War on ties between the Vlaams Belang in Belgium and the Putin regime — https://doi.org/10.55271/rp0013</w:t>
      </w:r>
    </w:p>
    <w:p>
      <w:pPr/>
      <w:r>
        <w:rPr>
          <w:b/>
        </w:rPr>
        <w:t>Shared claim-specific concepts:</w:t>
      </w:r>
      <w:r>
        <w:t xml:space="preserve"> rather, putin, regime, russian, moderate; EU scope visible. This is a provisional connection, not an outcome finding.</w:t>
      </w:r>
    </w:p>
    <w:p>
      <w:pPr>
        <w:pStyle w:val="SourceNote"/>
      </w:pPr>
      <w:r>
        <w:rPr>
          <w:b/>
        </w:rPr>
        <w:t>Available abstract (not full text):</w:t>
      </w:r>
      <w:r>
        <w:t xml:space="preserve"> The populist Radical Right party, Vlaams Belang (VB), has consistently proved itself a successful electoral competitor in Belgian politics. Already in 2004, the party obtained 24% of the vote in Flanders, focusing on issues such as immigration, Flemish nationalism, crime and law and order. As of 2007, however, the party faced increasing competition from the Flemish nationalist party Nieuw-Vlaamse Alliantie (N-VA), which has been able to present itself as a democratic alternative to the populist VB. In recent years, the VB has tended to radicalize rather than moderate its tone to differentiate itself from competitors. While foreign policy has not been a salient issue within VB ideology, various party members have developed close ties to the Putin regime since 2010. For example, Filip Dewinter, a prominent member of the VB, has met Russian officials and appeared in Russian media. Following the invasion of Ukraine, the VB was forced to shift its position on Putin’s regime. The current leader, Tom Van Grieken, has admitted he was seriously mistaken about Putin. Even Dewinter has strongly condemned Putin. At the same time, the VB remains sceptical about sanctions against Russia.</w:t>
      </w:r>
    </w:p>
    <w:p>
      <w:pPr/>
      <w:r>
        <w:rPr>
          <w:b/>
        </w:rPr>
        <w:t>POSSIBLE 2022:</w:t>
      </w:r>
      <w:r>
        <w:t xml:space="preserve"> War in Ukraine: Putin and the multi-order world — https://doi.org/10.1080/13523260.2022.2091591</w:t>
      </w:r>
    </w:p>
    <w:p>
      <w:pPr/>
      <w:r>
        <w:rPr>
          <w:b/>
        </w:rPr>
        <w:t>Shared claim-specific concepts:</w:t>
      </w:r>
      <w:r>
        <w:t xml:space="preserve"> rather, putin, russian; EU scope not established. This is a provisional connection, not an outcome finding.</w:t>
      </w:r>
    </w:p>
    <w:p>
      <w:pPr>
        <w:pStyle w:val="SourceNote"/>
      </w:pPr>
      <w:r>
        <w:rPr>
          <w:b/>
        </w:rPr>
        <w:t>Available abstract (not full text):</w:t>
      </w:r>
      <w:r>
        <w:t xml:space="preserve"> The global rules-based order has been in transformation for more than a decade, whilst the liberal international order has been in crisis and new international orders are emerging. Within this context, the Russian invasion of Ukraine marks what the Germans have called a Zeitenwende because the multi-order world is now a reality. The article outlines the main characteristics and implications of a multi-order world and outlines four categories of orders that will populate the multi-order world. The article details Putin’s vision for a Eurasian order and how his plans are received within the Eurasian order. The article offers a perspective on how the global dynamics of the new multi-order world might play out, showing that it is likely to be conflictual rather than a cooperative, and that members of the Eurasian order show little enthusiasm for Putin’s vision, resulting in an order held together by force rather than consent.</w:t>
      </w:r>
    </w:p>
    <w:p>
      <w:pPr/>
      <w:r>
        <w:rPr>
          <w:b/>
        </w:rPr>
        <w:t>POSSIBLE 2022:</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The purpose of this article is to explain the approach of Finland to Russian occupation of Ukraine. Finnish foreign policy implemented between February 24 when Ukraine-Russia War began, and June 30, is analysed by using securitisation theory developed by the Copenhagen School. This study argues that Finland securitised the Putin regime. As a consequence of securitisation analysis, the article reached four results. First, Finnish Prime Minister Sanna Marin and President Sauli Niinistö see Russia under the Putin government as a military threat. Second, Prime Minister Sanna Marin and President Sauli Niinistö want to make Finland a member of NATO to strengthen defence capabilities of the country against Russia. Third, Finland securitised the Putin regime. Fourth, as a member of the European Union, Finland has applied collective EU sanctions on Russia, President Vladimir Putin and his close partners. By applying for NATO membership, Finland abandoned the policy of military neutrality that it has been implementing since the 20th century.</w:t>
      </w:r>
    </w:p>
    <w:p>
      <w:pPr/>
      <w:r>
        <w:rPr>
          <w:b/>
        </w:rPr>
        <w:t>POSSIBLE 2022:</w:t>
      </w:r>
      <w:r>
        <w:t xml:space="preserve"> After Putin – what? — https://doi.org/10.1080/00963402.2022.2132731</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By calling for Putin’s removal from power, Western officials and scholars magnify Russian historic fears of a state collapse. Worse, they magnify them by fueling the Kremlin propaganda machine and reinforcing Russians’ reluctance to turn against their regime. Still, Putin will inevitably have to go someday. When that day arrives, however, it is all but clear what the future for Russia will be. Will Russia after Putin necessarily collapse? Or will Putin’s successor turn to the West with a plea for peace and engage the country in reforms and modernization? History can still go either way. But by creating a huge police force to repel popular discontent, accumulating vast financial reserves to escape sanctions, and modifying the Russian constitution so the ruler can indefinitely remain in power, Putin has already laid the groundwork for whoever happens to be his successor to persevere in the current course of aggression – a course where the aggressor possesses the world’s largest arsenal of nuclear weapons.</w:t>
      </w:r>
    </w:p>
    <w:p>
      <w:pPr/>
      <w:r>
        <w:rPr>
          <w:b/>
        </w:rPr>
        <w:t>POSSIBLE 2021:</w:t>
      </w:r>
      <w:r>
        <w:t xml:space="preserve"> Consolidating the Putin Regime: The 2020 Referendum on Russia’s Constitutional Amendments — https://doi.org/10.30965/24518921-00603004</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Abstract In July 2020, Russian voters gave strong support to a package of constitutional reforms that reconfigured the Russian political system and enshrined social guarantees and conservative identity values, consolidating the regime that has been built over a 20-year period. This was achieved through an alteration that ‘zeroed’ presidential terms that commenced before the constitutional change, potentially allowing President Vladimir Putin to overcome term limits and continue in office beyond 2024. The article explains how such a far-reaching and important change was successfully endorsed by the Russian electorate. The analysis shows that the main explanation rests with variations in voting patterns across the regions, a pattern that has been evident in previous Russian elections and resulted in strong pro-Putin support. The article also evaluates questions raised about the legitimacy of the result, and its long-term significance for the Russian political system.</w:t>
      </w:r>
    </w:p>
    <w:p>
      <w:pPr>
        <w:pStyle w:val="Heading2"/>
      </w:pPr>
      <w:r>
        <w:t>942.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2020:</w:t>
      </w:r>
      <w:r>
        <w:t xml:space="preserve"> Understanding extended information seeking — https://doi.org/10.1108/ajim-08-2019-0213</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mechanisms of extended information seeking, which is the combination of extended information technologies (IT) use behavior and information-seeking behavior. The purpose is to identify the factors that shape extended information seeking from the perspectives of psychological empowerment and attachment. Design/methodology/approach A research model was developed based on prior theory and literature. Survey data were collected, and the partial least squares (PLS) structural equation modeling was used to verify the research model. Findings Psychological empowerment is a well-constructed second-order construct, having a larger positive effect on extended information seeking. Digital libraries attachment has a positive effect on extended information seeking. Practical implications Accessing digital libraries does not mean using digital libraries effectively. Managers of digital libraries should design various specific information activities to help users enhance psychological empowerment. They should provide more available and responsive services for users to enhance digital libraries attachment. Originality/value Drawing on the adaptive structuration theory, this study examines extended information seeking by combining extended use of digital libraries and information seeking, presenting a new lens for digital library and information seeking re</w:t>
      </w:r>
    </w:p>
    <w:p>
      <w:pPr/>
      <w:r>
        <w:rPr>
          <w:b/>
        </w:rPr>
        <w:t>POSSIBLE 2020:</w:t>
      </w:r>
      <w:r>
        <w:t xml:space="preserve"> sbi: A toolkit for simulation-based inference — https://doi.org/10.21105/joss.02505</w:t>
      </w:r>
    </w:p>
    <w:p>
      <w:pPr/>
      <w:r>
        <w:rPr>
          <w:b/>
        </w:rPr>
        <w:t>Shared claim-specific concepts:</w:t>
      </w:r>
      <w:r>
        <w:t xml:space="preserve"> seeks, identify, based; EU scope not established. This is a provisional connection, not an outcome finding.</w:t>
      </w:r>
    </w:p>
    <w:p>
      <w:pPr>
        <w:pStyle w:val="SourceNote"/>
      </w:pPr>
      <w:r>
        <w:rPr>
          <w:b/>
        </w:rPr>
        <w:t>Available abstract (not full text):</w:t>
      </w:r>
      <w:r>
        <w:t xml:space="preserve"> Scientists and engineers employ stochastic numerical simulators to model empirically observed phenomena.In contrast to purely statistical models, simulators express scientific principles that provide powerful inductive biases, improve generalization to new data or scenarios and allow for fewer, more interpretable and domain-relevant parameters.Despite these advantages, tuning a simulator's parameters so that its outputs match data is challenging.Simulation-based inference (SBI) seeks to identify parameter sets that a) are compatible with prior knowledge and b) match empirical observations.Importantly, SBI does not seek to recover a single 'best' data-compatible parameter set, but rather to identify all high probability regions of parameter space that explain observed data, and thereby to quantify parameter uncertainty.In Bayesian terminology, SBI aims to retrieve the posterior distribution over the parameters of interest.In contrast to conventional Bayesian inference, SBI is also applicable when one can run model simulations, but no formula or algorithm exists for evaluating the probability of data given parameters, i.e. the likelihood.We present sbi, a PyTorch-based package that implements SBI algorithms based on neural networks.sbi facilitates inference on black-box simulators for practising scientists and engineers by providing a unified interface to state-of-the-art algorit</w:t>
      </w:r>
    </w:p>
    <w:p>
      <w:pPr/>
      <w:r>
        <w:rPr>
          <w:b/>
        </w:rPr>
        <w:t>POSSIBLE 2017:</w:t>
      </w:r>
      <w:r>
        <w:t xml:space="preserve"> Problematising 'happiness' : a critical explanation of the UK's happiness agenda — https://openalex.org/W2738120925</w:t>
      </w:r>
    </w:p>
    <w:p>
      <w:pPr/>
      <w:r>
        <w:rPr>
          <w:b/>
        </w:rPr>
        <w:t>Shared claim-specific concepts:</w:t>
      </w:r>
      <w:r>
        <w:t xml:space="preserve"> seeks, presenting, context; EU scope not established. This is a provisional connection, not an outcome finding.</w:t>
      </w:r>
    </w:p>
    <w:p>
      <w:pPr>
        <w:pStyle w:val="SourceNote"/>
      </w:pPr>
      <w:r>
        <w:rPr>
          <w:b/>
        </w:rPr>
        <w:t>Available abstract (not full text):</w:t>
      </w:r>
      <w:r>
        <w:t xml:space="preserve"> Issues of ‘wellbeing’ and ‘happiness’ are becoming more and more prevalent in discussions of social policy and in the provision of healthcare services. In recent years, the maximisation of a nation’s ‘happiness’ has emerged as both a key policy objective and as a central focus within social, political and economic research, with public policy makers around the world having demonstrated a growing interest in national accounts of ‘wellbeing’. In the UK context, this growing interest is comprised of a perceived need to ‘know’ ‘happiness’ and ‘wellbeing’ better, so that they might be maximised. Such attitudes and beliefs made possible the introduction of four new questions to the Annual Population Survey that were specifically designed to measure the UK’s “subjective wellbeing” (now referred to as “individual life satisfaction” following revisions in subsequent years). In addition to this, in 2010 a non-profit organisation named Action for Happiness (AfH) was founded which sought to maximise the ‘happiness’ of society by offering individual members help and training towards living a ‘happier’ life - an endeavour which is understood to be necessitated by the stagnation of ‘happiness’ in modern Western societies. This thesis seeks to critically account for the emergence of such social and political practices – or ‘happiness agenda’ - and does so from a poststructuralist, post-Marxist</w:t>
      </w:r>
    </w:p>
    <w:p>
      <w:pPr/>
      <w:r>
        <w:rPr>
          <w:b/>
        </w:rPr>
        <w:t>POSSIBLE 2017:</w:t>
      </w:r>
      <w:r>
        <w:t xml:space="preserve"> Using New and Emerging Technologies to Identify and Respond to Suicidality Among Help-Seeking Young People: A Cross-Sectional Study — https://doi.org/10.2196/jmir.7897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BACKGROUND: Suicidal thoughts are common among young people presenting to face-to-face and online mental health services. The early detection and rapid response to these suicidal thoughts and other suicidal behaviors is a priority for suicide prevention and early intervention efforts internationally. Establishing how best to use new and emerging technologies to facilitate person-centered systematic assessment and early intervention for suicidality is crucial to these efforts. OBJECTIVE: The aim of this study was to examine the use of a suicidality escalation protocol to respond to suicidality among help-seeking young people. METHODS: A total of 232 young people in the age range of 16-25 years were recruited from either a primary mental health care service or online in the community. Each young person used the Synergy Online System and completed an initial clinical assessment online before their face-to-face or online clinical appointment. A suicidality escalation protocol was used to identify and respond to current and previous suicidal thoughts and behaviors. RESULTS: A total of 153 young people (66%, 153/232) reported some degree of suicidality and were provided with a real-time alert online. Further levels of escalation (email or phone contact and clinical review) were initiated for the 35 young people (15%, 35/232) reporting high suicidality. Higher levels of psychological </w:t>
      </w:r>
    </w:p>
    <w:p>
      <w:pPr/>
      <w:r>
        <w:rPr>
          <w:b/>
        </w:rPr>
        <w:t>POSSIBLE 2016:</w:t>
      </w:r>
      <w:r>
        <w:t xml:space="preserve"> Problematising Big Food’s appetite for policymaking the case of childhood obesity — https://openalex.org/W2598651920</w:t>
      </w:r>
    </w:p>
    <w:p>
      <w:pPr/>
      <w:r>
        <w:rPr>
          <w:b/>
        </w:rPr>
        <w:t>Shared claim-specific concepts:</w:t>
      </w:r>
      <w:r>
        <w:t xml:space="preserve"> seeks, perspective, address; EU scope visible. This is a provisional connection, not an outcome finding.</w:t>
      </w:r>
    </w:p>
    <w:p>
      <w:pPr>
        <w:pStyle w:val="SourceNote"/>
      </w:pPr>
      <w:r>
        <w:rPr>
          <w:b/>
        </w:rPr>
        <w:t>Available abstract (not full text):</w:t>
      </w:r>
      <w:r>
        <w:t xml:space="preserve"> Big Food companies, such as Coca-Cola, claim they ‘are helping to develop workable solutions to address obesity – by partnering with government, academia, health societies and other responsible members of civil society’ (Coca-Cola, 2011: 1). Big Food’s reinvention as public health promoter means that government public health policy is increasingly entangled with corporate practices. In 2011, the Broadcasting Authority of Ireland began a process to regulate the advertising of ultra-processed food to children in an attempt to address childhood obesity. This study takes Big Food’s response to this policy proposal and seeks to reveal what type of ‘problem’ childhood obesity is represented to be by Big Food. The focus on Big Food as a single discursive actor reflects the significant role which corporate interests increasingly play in the development of public health policy. Big Food is considered in this study as one of the governing parties in the shaping of discourse of childhood obesity. Employing the Foucauldian concepts of discourse and power/knowledge, this study looks at the deeper conceptual contests which frame how obesity policy is made in Ireland from the perspective of Big Food. The ‘What’s the problem represented to be?’ (WPR) methodology (Bacchi, 2009, 2010, 2012) is employed to examine how Big Food’s discourses of childhood obesity have developed, how they are maintai</w:t>
      </w:r>
    </w:p>
    <w:p>
      <w:pPr>
        <w:pStyle w:val="Heading2"/>
      </w:pPr>
      <w:r>
        <w:t>943.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r>
        <w:rPr>
          <w:b/>
        </w:rPr>
        <w:t>POSSIBLE 2023:</w:t>
      </w:r>
      <w:r>
        <w:t xml:space="preserve"> Addressing Cultural, Ethnic &amp; Religious Diversity Challenges in Europe: A comparative overview of 15 European countries — https://doi.org/10.32920/24290611</w:t>
      </w:r>
    </w:p>
    <w:p>
      <w:pPr/>
      <w:r>
        <w:rPr>
          <w:b/>
        </w:rPr>
        <w:t>Shared claim-specific concepts:</w:t>
      </w:r>
      <w:r>
        <w:t xml:space="preserve"> comparative, overview, different, makers; EU scope visible. This is a provisional connection, not an outcome finding.</w:t>
      </w:r>
    </w:p>
    <w:p>
      <w:pPr>
        <w:pStyle w:val="SourceNote"/>
      </w:pPr>
      <w:r>
        <w:rPr>
          <w:b/>
        </w:rPr>
        <w:t>Available abstract (not full text):</w:t>
      </w:r>
      <w:r>
        <w:t xml:space="preserve"> The aim of this report is to present and discuss the main ethnic, cultural and religious diversity challenges that Europe is facing today. In particular the report surveys 15 European countries, notably 14 member states (Bulgaria, Denmark, France, Germany, Greece, Hungary, Ireland, Italy, the Netherlands, Poland, Romania, Spain, Sweden, and the UK) and one associated country (Turkey) and identifies the minority groups or migrant populations that pose the most important ethnic or religious diversity challenges within them. The report concentrates in particular on challenges that have a currency across several EU countries. It discusses the ways in which different countries have dealt with similar diversity dilemmas and identifies appropriate courses of action for the future. The report is organised into seven parts. In parts 1- 6 we offer working definitions, followed by a comparative review of state formation, conceptions of citizenship and national identity, and minority/immigrant groups in the 15 countries studied. We also discuss comparatively the challenges raised by three main minority populations: ‘black’ people, Muslims and Roma (and the policies addressing with these challenges). The seventh section of this report offers 15 short country profiles outlining the situation in each of the countries studied. The purpose of ACCEPT PLURALISM is twofold: - to create a new theor</w:t>
      </w:r>
    </w:p>
    <w:p>
      <w:pPr/>
      <w:r>
        <w:rPr>
          <w:b/>
        </w:rPr>
        <w:t>POSSIBLE 2023:</w:t>
      </w:r>
      <w:r>
        <w:t xml:space="preserve"> ONE PERSON COMPANY IN ASIA AND EUROPE: A COMPARATIVE STUDY — https://doi.org/10.32890/uumjls2023.14.2.8</w:t>
      </w:r>
    </w:p>
    <w:p>
      <w:pPr/>
      <w:r>
        <w:rPr>
          <w:b/>
        </w:rPr>
        <w:t>Shared claim-specific concepts:</w:t>
      </w:r>
      <w:r>
        <w:t xml:space="preserve"> comparative, used, partners, many; EU scope visible. This is a provisional connection, not an outcome finding.</w:t>
      </w:r>
    </w:p>
    <w:p>
      <w:pPr>
        <w:pStyle w:val="SourceNote"/>
      </w:pPr>
      <w:r>
        <w:rPr>
          <w:b/>
        </w:rPr>
        <w:t>Available abstract (not full text):</w:t>
      </w:r>
      <w:r>
        <w:t xml:space="preserve"> The introduction of One Person Company (OPC) has revolutionized the concept of Company operations around the world. Many countries have witnessed significant growth in their economy and Gross Domestic Products (GDP) as a result of the development of OPC. The concept of OPC received much reception because it allows one person to operate a company that has a corporate personality distinct from him. This paper is a comparative study of OPC practices in Asia and Europe with focus on legal entity, incorporation procedure, minimum share capital, appointment of a nominee and conversion of OPC. By using the doctrinal data gathering approach, the researchers examine the relevant journals, articles, books, papers, and Internet sources with a view to achieve the objective of the study. In choosing the sample States, the article further uses the GDPs as a yardstick for selecting the participating countries. The reason for adopting the GDP as the criterion is because it provides an economic snapshot of a nationwhich is used to calculate the size of an economy and its growth rate. The findings of the research paper reveal that the economies around the world were boosted since the inception of the OPCs. Countries like the United Kingdom, Singapore and China witnessed 3.5 percent growth in their economy since inception of OPCs. Establishing and operating Businesses have become easy because the</w:t>
      </w:r>
    </w:p>
    <w:p>
      <w:pPr/>
      <w:r>
        <w:rPr>
          <w:b/>
        </w:rPr>
        <w:t>POSSIBLE 2023:</w:t>
      </w:r>
      <w:r>
        <w:t xml:space="preserve"> Comparative Analysis of Transport and Storage Information Systems of the European Union and Serbia Using Fuzzy LMAW and MARCOS Methods — https://doi.org/10.47063/ebd.00011</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Information and communication technology is one of the critical factors for the business success of modern transport and storage. Therefore, it is important to research the transport and storage information system from different aspects. In this paper, starting from that, a comparative analysis of the selection and ranking of the information system of transport and storage in the European Union and Serbia is carried out based on the FLMAW - MARCOS method. The obtained empirical results show that the top five countries according to the information system of transport and storage include: Malta, the Netherlands, Lithuania, Spain, and Slovenia. Germany ranked thirteenth, France sixteenth, and Italy eighteenth. Bulgaria (in twenty-fifth place) and Romania (in twenty-sixth place) are in an unenviable position. In the last (twenty-eighth) place is Belgium. Serbia is in twenty-second place and is in a worse position compared to the countries in the region (Slovenia - fifth place and Croatia - fifteenth place). In order to improve the information system in the future, a greater application of information and communication technology in transport and storage is necessary, especially in countries ranked at a lower level. The effects of this are to improve the overall transport and storage performance.</w:t>
      </w:r>
    </w:p>
    <w:p>
      <w:pPr/>
      <w:r>
        <w:rPr>
          <w:b/>
        </w:rPr>
        <w:t>POSSIBLE 2022:</w:t>
      </w:r>
      <w:r>
        <w:t xml:space="preserve"> Patient Safety Culture in European Hospitals: A Comparative Mixed Methods Study — https://doi.org/10.3390/ijerph19020939</w:t>
      </w:r>
    </w:p>
    <w:p>
      <w:pPr/>
      <w:r>
        <w:rPr>
          <w:b/>
        </w:rPr>
        <w:t>Shared claim-specific concepts:</w:t>
      </w:r>
      <w:r>
        <w:t xml:space="preserve"> comparative, methods, used, different, few; EU scope visible. This is a provisional connection, not an outcome finding.</w:t>
      </w:r>
    </w:p>
    <w:p>
      <w:pPr>
        <w:pStyle w:val="SourceNote"/>
      </w:pPr>
      <w:r>
        <w:rPr>
          <w:b/>
        </w:rPr>
        <w:t>Available abstract (not full text):</w:t>
      </w:r>
      <w:r>
        <w:t xml:space="preserve"> BACKGROUND: Poorly organized health systems with inadequate leadership limit the development of the robust safety cultures capable of preventing consequential adverse events. Although safety culture has been studied in hospitals worldwide, the relationship between clinician perceptions about patient safety and their actual clinical practices has received little attention. Despite the need for mixed methods studies to achieve a deeper understanding of safety culture, there are few studies providing comparisons of hospitals in different countries. PURPOSE: This study compared the safety culture of hospitals from the perspective of nurses in four European countries, including Croatia, Hungary, Spain, and Sweden. DESIGN: A comparative mixed methods study with a convergent parallel design. METHODS: = 538) was collected with the Hospital Survey on Patient Safety Culture (HSOPSC) and qualitative date was collected through 24 in-depth interviews and 147 h of non-participant observation. Survey data was analyzed descriptively and inferentially, and content analysis was used to analyze the qualitative data. RESULTS: The overall perception of safety culture for most dimensions was 'adequate' in Sweden and 'adequate' to 'poor' in the other countries with inconsistencies identified between survey and qualitative data. Although teamwork within units was the most positive dimension across cou</w:t>
      </w:r>
    </w:p>
    <w:p>
      <w:pPr/>
      <w:r>
        <w:rPr>
          <w:b/>
        </w:rPr>
        <w:t>POSSIBLE 2022:</w:t>
      </w:r>
      <w:r>
        <w:t xml:space="preserve"> An Overview of Healthcare Associated Infections and Their Detection Methods Caused by Pathogen Bacteria in Romania and Europe — https://doi.org/10.3390/jcm11113204</w:t>
      </w:r>
    </w:p>
    <w:p>
      <w:pPr/>
      <w:r>
        <w:rPr>
          <w:b/>
        </w:rPr>
        <w:t>Shared claim-specific concepts:</w:t>
      </w:r>
      <w:r>
        <w:t xml:space="preserve"> overview, methods, they, used, different, many; EU scope visible. This is a provisional connection, not an outcome finding.</w:t>
      </w:r>
    </w:p>
    <w:p>
      <w:pPr>
        <w:pStyle w:val="SourceNote"/>
      </w:pPr>
      <w:r>
        <w:rPr>
          <w:b/>
        </w:rPr>
        <w:t>Available abstract (not full text):</w:t>
      </w:r>
      <w:r>
        <w:t xml:space="preserve"> Healthcare-associated infections can occur in different care units and can affect both patients and healthcare professionals. Bacteria represent the most common cause of nosocomial infections and, due to the excessive and irrational use of antibiotics, resistant organisms have appeared. The most important healthcare-associated infections are central line-associated bloodstream infections, catheter-associated urinary tract infections, surgical site, soft tissue infections, ventilator-associated pneumonia, hospital acquired pneumonia, and Clostridioides difficile colitis. In Europe, some hospitalized patients develop nosocomial infections that lead to increased costs and prolonged hospitalizations. Healthcare-associated infection prevalence in developed countries is lower than in low-income and middle-income countries such as Romania, an Eastern European country, where several factors contribute to the occurrence of many nosocomial infections, but official data show a low reporting rate. For the rapid identification of bacteria that can cause these infections, fast, sensitive, and specific methods are needed, and they should be cost-effective. Therefore, this review focuses on the current situation regarding healthcare-associated infections in Europe and Romania, with discussions regarding the causes and possible solutions. As a possible weapon in the fight against the healthcare</w:t>
      </w:r>
    </w:p>
    <w:p>
      <w:pPr>
        <w:pStyle w:val="Heading2"/>
      </w:pPr>
      <w:r>
        <w:t>944.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energy, technological, decarbonisation, security;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r>
        <w:rPr>
          <w:b/>
        </w:rPr>
        <w:t>POSSIBLE 2021:</w:t>
      </w:r>
      <w:r>
        <w:t xml:space="preserve"> Integration of raw materials indicators of energy technologies into energy system models — https://doi.org/10.1016/j.apenergy.2021.118150</w:t>
      </w:r>
    </w:p>
    <w:p>
      <w:pPr/>
      <w:r>
        <w:rPr>
          <w:b/>
        </w:rPr>
        <w:t>Shared claim-specific concepts:</w:t>
      </w:r>
      <w:r>
        <w:t xml:space="preserve"> energy, despite; EU scope visible. This is a provisional connection, not an outcome finding.</w:t>
      </w:r>
    </w:p>
    <w:p>
      <w:pPr>
        <w:pStyle w:val="SourceNote"/>
      </w:pPr>
      <w:r>
        <w:rPr>
          <w:b/>
        </w:rPr>
        <w:t>Available abstract (not full text):</w:t>
      </w:r>
      <w:r>
        <w:t xml:space="preserve"> Raw materials and their related environmental impacts will play a key role in the implementation of renewable energy infrastructures for decarbonization. Despite the growing amount of data quantifying raw materials for energy production technologies, few examples of these data sources are being included in current energy system models. Accordingly, this paper introduces possible pathways for integrating material-specific life cycle assessment outputs and material metabolism indicators into energy system models so that raw material requirements, and their associated impacts, can be accounted for. The paper discusses the availability of life cycle inventories, impact assessment methods and important output indicators. The material metabolism indicators most relevant to the current policy debate surrounding the European Green Deal–namely, material supply risk and contribution of recycled materials to total supply–are also discussed alongside the value of adding this information to energy system models. A methodology for using data from both approaches is offered and operationalised using four sub-technologies of both wind turbines and solar photovoltaic panels as case studies. The results show that considerable variation exists between and within the two groups for all indicators. The technologies with the lowest global warming potential, cumulative energy demand and supply risk a</w:t>
      </w:r>
    </w:p>
    <w:p>
      <w:pPr/>
      <w:r>
        <w:rPr>
          <w:b/>
        </w:rPr>
        <w:t>POSSIBLE 2021:</w:t>
      </w:r>
      <w:r>
        <w:t xml:space="preserve"> CO2 emissions and energy technologies in Western Europe — https://doi.org/10.1007/s13209-021-00234-8</w:t>
      </w:r>
    </w:p>
    <w:p>
      <w:pPr/>
      <w:r>
        <w:rPr>
          <w:b/>
        </w:rPr>
        <w:t>Shared claim-specific concepts:</w:t>
      </w:r>
      <w:r>
        <w:t xml:space="preserve"> energy, carbon, focus; EU scope visible. This is a provisional connection, not an outcome finding.</w:t>
      </w:r>
    </w:p>
    <w:p>
      <w:pPr>
        <w:pStyle w:val="SourceNote"/>
      </w:pPr>
      <w:r>
        <w:rPr>
          <w:b/>
        </w:rPr>
        <w:t>Available abstract (not full text):</w:t>
      </w:r>
      <w:r>
        <w:t xml:space="preserve"> In this paper, we investigate the path to the green transition in Europe. In so doing, we implement an empirical model of dynamic panel data on a sample of sixteen Western European countries over the period 1980 to 2019. The model is consistent with various features of neoclassical growth theory incorporating energy use. Our focus is on the short-run determinants of carbon emissions within that set of countries. We provide evidence that the relationship between economic activity and CO2 emissions is strong in economies where economic booms depend on energy-intensive sectors. Also, the mitigating role of renewable energy technologies is key when energy intensity rebounds. These circumstances may constitute a challenge for the climate transition goals targeted in the EU's Recovery Plan, whose main objective at this very moment is to mitigate the economic and social impact of the coronavirus pandemic.</w:t>
      </w:r>
    </w:p>
    <w:p>
      <w:pPr>
        <w:pStyle w:val="Heading2"/>
      </w:pPr>
      <w:r>
        <w:t>945.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2023:</w:t>
      </w:r>
      <w:r>
        <w:t xml:space="preserve"> Study on Control Strategies on NOX Emissions to Meet Real Driving Emissions — https://doi.org/10.1021/acsomega.3c03751</w:t>
      </w:r>
    </w:p>
    <w:p>
      <w:pPr/>
      <w:r>
        <w:rPr>
          <w:b/>
        </w:rPr>
        <w:t>Shared claim-specific concepts:</w:t>
      </w:r>
      <w:r>
        <w:t xml:space="preserve"> order, meet, emissions, reduction; EU scope not established. This is a provisional connection, not an outcome finding.</w:t>
      </w:r>
    </w:p>
    <w:p>
      <w:pPr>
        <w:pStyle w:val="SourceNote"/>
      </w:pPr>
      <w:r>
        <w:rPr>
          <w:b/>
        </w:rPr>
        <w:t>Available abstract (not full text):</w:t>
      </w:r>
      <w:r>
        <w:t xml:space="preserve"> The aim of this study was to fulfill the NOx emissions standards for a light-duty diesel vehicle under real driving emissions (RDE) testing conditions by implementing various control strategies. In this study, RDE tests were performed by adjusting the air mass quantity and postinjection quantity in order to analyze engine-out and tail-pipe nitrogen oxides (NOx) emissions for different phases of RDE. The results showed that reducing in air mass quantity enabled the engine to operate in higher exhaust gas recirculation (EGR) rate regions, resulting in a 32.5% reduction in engine-out NOx emissions and an 80.4% decrease in tail-pipe NOx emissions. Increasing the postinjection quantity primarily enhanced the NOx conversion efficiency for the urban phase by 7.5%, leading to a 22.6% reduction in tail-pipe NOx emissions. By employing both strategies, vehicles can comfortably meet the CN6b emission regulations by a substantial margin.</w:t>
      </w:r>
    </w:p>
    <w:p>
      <w:pPr/>
      <w:r>
        <w:rPr>
          <w:b/>
        </w:rPr>
        <w:t>POSSIBLE 2023:</w:t>
      </w:r>
      <w:r>
        <w:t xml:space="preserve"> Emissions and energy impacts of the Inflation Reduction Act — https://doi.org/10.1126/science.adg3781</w:t>
      </w:r>
    </w:p>
    <w:p>
      <w:pPr/>
      <w:r>
        <w:rPr>
          <w:b/>
        </w:rPr>
        <w:t>Shared claim-specific concepts:</w:t>
      </w:r>
      <w:r>
        <w:t xml:space="preserve"> emissions, reduction, energy; EU scope not established. This is a provisional connection, not an outcome finding.</w:t>
      </w:r>
    </w:p>
    <w:p>
      <w:pPr>
        <w:pStyle w:val="SourceNote"/>
      </w:pPr>
      <w:r>
        <w:rPr>
          <w:b/>
        </w:rPr>
        <w:t>Available abstract (not full text):</w:t>
      </w:r>
      <w:r>
        <w:t xml:space="preserve"> Economy-wide emissions drop 43 to 48% below 2005 levels by 2035 with accelerated clean energy deployment.</w:t>
      </w:r>
    </w:p>
    <w:p>
      <w:pPr/>
      <w:r>
        <w:rPr>
          <w:b/>
        </w:rPr>
        <w:t>POSSIBLE 2023:</w:t>
      </w:r>
      <w:r>
        <w:t xml:space="preserve"> Maximum Permissible Transmission Line Loss to Meet a Target Gain for a Corporate-Fed Uniform Rectangular Array — https://doi.org/10.23919/ursigass57860.2023.10265660</w:t>
      </w:r>
    </w:p>
    <w:p>
      <w:pPr/>
      <w:r>
        <w:rPr>
          <w:b/>
        </w:rPr>
        <w:t>Shared claim-specific concepts:</w:t>
      </w:r>
      <w:r>
        <w:t xml:space="preserve"> order, meet, target, potential; EU scope not established. This is a provisional connection, not an outcome finding.</w:t>
      </w:r>
    </w:p>
    <w:p>
      <w:pPr>
        <w:pStyle w:val="SourceNote"/>
      </w:pPr>
      <w:r>
        <w:rPr>
          <w:b/>
        </w:rPr>
        <w:t>Available abstract (not full text):</w:t>
      </w:r>
      <w:r>
        <w:t xml:space="preserve"> Very low-loss transmission lines are often required at millimetre wavelengths in order to meet performance targets. Using printed circuit board technology, extremely low-loss transmission lines are often more expensive and riskier than standard options. The ability to determine the maximum permissible transmission line loss allows designers to choose potential transmission line structures, thereby helping make this critical design choice. These results establish the maximum permissible transmission line loss in order to meet a target gain of a corporate-fed antenna array for a given the average active element gain and power divider excess loss.</w:t>
      </w:r>
    </w:p>
    <w:p>
      <w:pPr/>
      <w:r>
        <w:rPr>
          <w:b/>
        </w:rPr>
        <w:t>POSSIBLE 2023:</w:t>
      </w:r>
      <w:r>
        <w:t xml:space="preserve"> Decomposition of carbon emission influencing factors and research on emission reduction performance of energy consumption in China — https://doi.org/10.3389/fenvs.2022.1096650</w:t>
      </w:r>
    </w:p>
    <w:p>
      <w:pPr/>
      <w:r>
        <w:rPr>
          <w:b/>
        </w:rPr>
        <w:t>Shared claim-specific concepts:</w:t>
      </w:r>
      <w:r>
        <w:t xml:space="preserve"> order, carbon, emissions, reduction, energy; EU scope not established. This is a provisional connection, not an outcome finding.</w:t>
      </w:r>
    </w:p>
    <w:p>
      <w:pPr>
        <w:pStyle w:val="SourceNote"/>
      </w:pPr>
      <w:r>
        <w:rPr>
          <w:b/>
        </w:rPr>
        <w:t>Available abstract (not full text):</w:t>
      </w:r>
      <w:r>
        <w:t xml:space="preserve"> With the continuous progress of social production, it has brought huge benefits, but also led to an increasingly prominent global warming problem. Therefore, energy conservation and emission reduction has become an important direction of national industrial development. In order to promote the effective promotion of China’s carbon emission reduction action, the study adopted the improved STIRPAT model and Granger test to analyze the factors affecting China’s energy consumption carbon emissions, combined with Johan equation and GFI decomposition to decompose the factors affecting China’s energy consumption carbon emissions, excavated the key influencing conditions of China’s energy consumption carbon emissions, and put forward policy recommendations on energy consumption carbon emissions reduction. The results show that economic growth has the greatest impact on China’s per capita carbon emissions, followed by urbanization, industrial structure and energy structure. At the same time, industrial energy intensity has an inhibitory effect on per capita carbon emissions growth. From 2019 to 2021, Shanghai, Tianjin, Guangdong and other 10 provinces will achieve good emission reduction results. Therefore, in the analysis of energy conservation and emission reduction, it is of great value to understand the influencing factors of carbon emissions, which can provide direction and guidanc</w:t>
      </w:r>
    </w:p>
    <w:p>
      <w:pPr/>
      <w:r>
        <w:rPr>
          <w:b/>
        </w:rPr>
        <w:t>POSSIBLE 2022:</w:t>
      </w:r>
      <w:r>
        <w:t xml:space="preserve"> Designing electric vehicle incentives to meet emission reduction targets — https://doi.org/10.1016/j.trd.2022.103320</w:t>
      </w:r>
    </w:p>
    <w:p>
      <w:pPr/>
      <w:r>
        <w:rPr>
          <w:b/>
        </w:rPr>
        <w:t>Shared claim-specific concepts:</w:t>
      </w:r>
      <w:r>
        <w:t xml:space="preserve"> meet, emissions, reduction; EU scope not established. This is a provisional connection, not an outcome finding.</w:t>
      </w:r>
    </w:p>
    <w:p>
      <w:pPr>
        <w:pStyle w:val="SourceNote"/>
      </w:pPr>
      <w:r>
        <w:rPr>
          <w:b/>
        </w:rPr>
        <w:t>Available abstract (not full text):</w:t>
      </w:r>
      <w:r>
        <w:t xml:space="preserve">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pPr>
        <w:pStyle w:val="Heading2"/>
      </w:pPr>
      <w:r>
        <w:t>946.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2023:</w:t>
      </w:r>
      <w:r>
        <w:t xml:space="preserve"> Evolution of Pneumococcal Vaccine Recommendations and Criteria for Decision Making in 5 Western European Countries and the United States — https://doi.org/10.1177/23814683231174432</w:t>
      </w:r>
    </w:p>
    <w:p>
      <w:pPr/>
      <w:r>
        <w:rPr>
          <w:b/>
        </w:rPr>
        <w:t>Shared claim-specific concepts:</w:t>
      </w:r>
      <w:r>
        <w:t xml:space="preserve"> making, major, including, methods; EU scope visible. This is a provisional connection, not an outcome finding.</w:t>
      </w:r>
    </w:p>
    <w:p>
      <w:pPr>
        <w:pStyle w:val="SourceNote"/>
      </w:pPr>
      <w:r>
        <w:rPr>
          <w:b/>
        </w:rPr>
        <w:t>Available abstract (not full text):</w:t>
      </w:r>
      <w:r>
        <w:t xml:space="preserve"> Objectives: Pneumococcal vaccine recommendations have become increasingly complex. This study aims to understand how national immunization technical advisory groups (NITAGs) and health technology assessment (HTA) agencies of 5 European countries and the United States formed their pneumococcal vaccine recommendations, by providing reviewed evidence and key drivers for new recommendations. Methods: Centers for Disease Control and Prevention, European Centre for Disease Prevention and Control, and National Health Authorities Web sites were screened to capture the evolution of pneumococcal recommendations. A narrative review was conducted on NITAGs and HTA bodies' Web sites. Assessments of pneumococcal vaccines published from 2009 to 2022 were included. Results: Thirty-four records were identified including 21 assessments for risk groups, 17 for elderly, and 12 for children. Burden of disease and vaccine characteristics were almost systematically reviewed during assessments. All 6 countries recommended the use of higher-valent pneumococcal vaccine (PCV; i.e., PCV10 and PCV13) in childhood vaccination programs, given their broader serotype coverage and their comparable profile to PCV7. PCV13 was progressively added to the vaccine schedule (in addition to polysaccharide vaccine) in at least the high-risk group, given the high burden in this population and expected additional benefits</w:t>
      </w:r>
    </w:p>
    <w:p>
      <w:pPr/>
      <w:r>
        <w:rPr>
          <w:b/>
        </w:rPr>
        <w:t>POSSIBLE 2023:</w:t>
      </w:r>
      <w:r>
        <w:t xml:space="preserve"> A Case for Synthetic Data in Regulatory Decision‐Making in Europe — https://doi.org/10.1002/cpt.3001</w:t>
      </w:r>
    </w:p>
    <w:p>
      <w:pPr/>
      <w:r>
        <w:rPr>
          <w:b/>
        </w:rPr>
        <w:t>Shared claim-specific concepts:</w:t>
      </w:r>
      <w:r>
        <w:t xml:space="preserve"> making, including, used, context; EU scope visible. This is a provisional connection, not an outcome finding.</w:t>
      </w:r>
    </w:p>
    <w:p>
      <w:pPr>
        <w:pStyle w:val="SourceNote"/>
      </w:pPr>
      <w:r>
        <w:rPr>
          <w:b/>
        </w:rPr>
        <w:t>Available abstract (not full text):</w:t>
      </w:r>
      <w:r>
        <w:t xml:space="preserve"> Regulators are faced with many challenges surrounding health data usage, including privacy, fragmentation, validity, and generalizability, especially in the European Union, for which synthetic data may provide innovative solutions. Synthetic data, defined as data artificially generated rather than captured in the real world, are increasingly being used for healthcare research purposes as a proxy to real-world data (RWD). Currently, there are barriers particularly challenging in Europe, where sharing patient's data is strictly regulated, costly, and time-consuming, causing delays in evidence generation and regulatory approvals. Recent initiatives are encouraging the use of synthetic data in regulatory decision making and health technology assessment to overcome these challenges, but synthetic data have still to overcome realistic obstacles before their adoption by researchers and regulators in Europe. Thus, the emerging use of RWD and synthetic data by pharmaceutical and medical device industries calls regulatory bodies to provide a framework for proper evidence generation and informed regulatory decision making. As the provision of data becomes more ubiquitous in scientific research, so will innovations in artificial intelligence, machine learning, and generation of synthetic data, making the exploration and intricacies of this topic all the more important and timely. In this r</w:t>
      </w:r>
    </w:p>
    <w:p>
      <w:pPr/>
      <w:r>
        <w:rPr>
          <w:b/>
        </w:rPr>
        <w:t>POSSIBLE 2023:</w:t>
      </w:r>
      <w:r>
        <w:t xml:space="preserve"> Debiasing Strategies for Conversational AI: Improving Privacy and Security Decision-Making — https://doi.org/10.1007/s44206-023-00062-2</w:t>
      </w:r>
    </w:p>
    <w:p>
      <w:pPr/>
      <w:r>
        <w:rPr>
          <w:b/>
        </w:rPr>
        <w:t>Shared claim-specific concepts:</w:t>
      </w:r>
      <w:r>
        <w:t xml:space="preserve"> decisions, security, context; EU scope not established. This is a provisional connection, not an outcome finding.</w:t>
      </w:r>
    </w:p>
    <w:p>
      <w:pPr>
        <w:pStyle w:val="SourceNote"/>
      </w:pPr>
      <w:r>
        <w:rPr>
          <w:b/>
        </w:rPr>
        <w:t>Available abstract (not full text):</w:t>
      </w:r>
      <w:r>
        <w:t xml:space="preserve"> Abstract With numerous conversational AI (CAI) systems being deployed in homes, cars, and public spaces, people are faced with an increasing number of privacy and security decisions. They need to decide which personal information to disclose and how their data can be processed by providers and developers. On the other hand, designers, developers, and integrators of conversational AI systems must consider users’ privacy and security during development and make appropriate choices. However, users as well as other actors in the CAI ecosystem can suffer from cognitive biases and other mental flaws in their decision-making resulting in adverse privacy and security choices. Debiasing strategies can help to mitigate these biases and improve decision-making. In this position paper, we establish a novel framework for categorizing debiasing strategies, show how existing privacy debiasing strategies can be adapted to the context of CAI, and assign them to relevant stakeholders of the CAI ecosystem. We highlight the unique possibilities of CAI to foster debiasing, discuss limitations of the strategies, and identify research challenges.</w:t>
      </w:r>
    </w:p>
    <w:p>
      <w:pPr/>
      <w:r>
        <w:rPr>
          <w:b/>
        </w:rPr>
        <w:t>POSSIBLE 2022:</w:t>
      </w:r>
      <w:r>
        <w:t xml:space="preserve"> Disclosures about algorithmic decision making in the corporate reports of Western European companies — https://doi.org/10.1016/j.accinf.2022.100596</w:t>
      </w:r>
    </w:p>
    <w:p>
      <w:pPr/>
      <w:r>
        <w:rPr>
          <w:b/>
        </w:rPr>
        <w:t>Shared claim-specific concepts:</w:t>
      </w:r>
      <w:r>
        <w:t xml:space="preserve"> making, major, tools; EU scope visible. This is a provisional connection, not an outcome finding.</w:t>
      </w:r>
    </w:p>
    <w:p>
      <w:pPr>
        <w:pStyle w:val="SourceNote"/>
      </w:pPr>
      <w:r>
        <w:rPr>
          <w:b/>
        </w:rPr>
        <w:t>Available abstract (not full text):</w:t>
      </w:r>
      <w:r>
        <w:t xml:space="preserve">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pPr>
        <w:pStyle w:val="Heading2"/>
      </w:pPr>
      <w:r>
        <w:t>947.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The relationship between direct or indirect therapy and language profiles in children with developmental language disorder (DLD) across European countries — https://doi.org/10.1080/08856257.2024.2307281</w:t>
      </w:r>
    </w:p>
    <w:p>
      <w:pPr/>
      <w:r>
        <w:rPr>
          <w:b/>
        </w:rPr>
        <w:t>Shared claim-specific concepts:</w:t>
      </w:r>
      <w:r>
        <w:t xml:space="preserve"> investigate, direct, indirect, aimed; EU scope visible. This is a provisional connection, not an outcome finding.</w:t>
      </w:r>
    </w:p>
    <w:p>
      <w:pPr>
        <w:pStyle w:val="SourceNote"/>
      </w:pPr>
      <w:r>
        <w:rPr>
          <w:b/>
        </w:rPr>
        <w:t>Available abstract (not full text):</w:t>
      </w:r>
      <w:r>
        <w:t xml:space="preserve"> The present study aimed to investigate 1) whether country categories and type of DLD predict the type of therapy (direct, indirect, and mixed) the child receives, and 2) whether there is an association between country categories, type of therapy, and type of DLD (receptive, expressive, and mixed). European countries were categorised based on Sapir’s typology into Continental, AngloSaxon, Nordic and Mediterranean groups. A fifth group i.e. Central European (including Baltic countries) was added. The data to address these questions comes from an online survey, translated and adapted into 30 languages, and is based on reports by 4685 professionals delivering services for children with DLD. This survey was developed by the COST Action IS1406 members and distributed online among practitioners in the year 2017 across European countries. Results indicated that country categories and type of DLD predicted type of therapy. It was suggested that cultural and contextual factors might play a key role in driving clinical practice above and beyond language profiles, patient characteristics and evidence-based practice.</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investigate, direct, indirect, climate, consequences, associated;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An Investigation of Direct and Indirect Learning Strategies in Learning Foreign Languages — https://doi.org/10.6007/ijarbss/v13-i3/16492</w:t>
      </w:r>
    </w:p>
    <w:p>
      <w:pPr/>
      <w:r>
        <w:rPr>
          <w:b/>
        </w:rPr>
        <w:t>Shared claim-specific concepts:</w:t>
      </w:r>
      <w:r>
        <w:t xml:space="preserve"> investigate, direct, indirect, taking; EU scope not established. This is a provisional connection, not an outcome finding.</w:t>
      </w:r>
    </w:p>
    <w:p>
      <w:pPr>
        <w:pStyle w:val="SourceNote"/>
      </w:pPr>
      <w:r>
        <w:rPr>
          <w:b/>
        </w:rPr>
        <w:t>Available abstract (not full text):</w:t>
      </w:r>
      <w:r>
        <w:t xml:space="preserve"> Learning strategies are one of the multiple factors in accomplishing learners' objectives in acquiring a new language. Hence, the aim of this research is to investigate the strategies that language learners use during their language-learning process. The instrument for this quantitative research is a survey. It has three sections. The first section consists of 2 items on demographic profile, while the second section has 19 items on direct learning strategies. The last section has 22 items on indirect learning strategies. The respondents are 132 undergraduate students taking French as a third language at one of the public universities in Malaysia. The data collected from the respondents were then analyzed using SPSS. The findings show that rehearsal has the highest mean (3.8), but critical thinking has the lowest (3.5). The research also reveals that the help-seeking strategy has the highest mean (4.1), whereas the metacognitive self-regulation strategy has the lowest mean (3.5). From the correlation analysis, the research also indicates a significant association between direct and indirect strategies (r=.779**) and (p=.000). In other words, this research proves that there is a strong relationship between direct strategies (which consist of rehearsal, organization, elaboration and critical thinking strategies); and indirect strategies (metacognitive self-regulation and resource </w:t>
      </w:r>
    </w:p>
    <w:p>
      <w:pPr/>
      <w:r>
        <w:rPr>
          <w:b/>
        </w:rPr>
        <w:t>POSSIBLE 2023:</w:t>
      </w:r>
      <w:r>
        <w:t xml:space="preserve"> Changing State of the Climate System — https://doi.org/10.1017/9781009157896.004</w:t>
      </w:r>
    </w:p>
    <w:p>
      <w:pPr/>
      <w:r>
        <w:rPr>
          <w:b/>
        </w:rPr>
        <w:t>Shared claim-specific concepts:</w:t>
      </w:r>
      <w:r>
        <w:t xml:space="preserve"> indirect, climate, focus; EU scope not established. This is a provisional connection, not an outcome finding.</w:t>
      </w:r>
    </w:p>
    <w:p>
      <w:pPr>
        <w:pStyle w:val="SourceNote"/>
      </w:pPr>
      <w:r>
        <w:rPr>
          <w:b/>
        </w:rPr>
        <w:t>Available abstract (not full text):</w:t>
      </w:r>
      <w:r>
        <w:t xml:space="preserve"> Chapter 2 assesses observed large-scale changes in climate system drivers, key climate indicators and principal modes of variability. Chapter 3 considers model performance and detection/attribution, and Chapter 4 covers projections for a subset of these same indicators and modes of variability. Collectively, these chapters provide the basis for later chapters, which focus upon processes and regional changes. \nWithin Chapter 2, changes are assessed from in situ and remotely sensed data and products and from indirect evidence of longer-term changes based upon a diverse range of climate proxies. The time-evolving availability of observations and proxy information dictate the periods that can be assessed. Wherever possible, recent changes are assessed for their significance in a longer-term context, including target proxy periods, both in terms of mean state and rates of change.</w:t>
      </w:r>
    </w:p>
    <w:p>
      <w:pPr/>
      <w:r>
        <w:rPr>
          <w:b/>
        </w:rPr>
        <w:t>POSSIBLE 2023:</w:t>
      </w:r>
      <w:r>
        <w:t xml:space="preserve"> Climate Change Impacts on the Prevalence of Tick-Borne Diseases in Europe — https://doi.org/10.3390/environsciproc2023026018</w:t>
      </w:r>
    </w:p>
    <w:p>
      <w:pPr/>
      <w:r>
        <w:rPr>
          <w:b/>
        </w:rPr>
        <w:t>Shared claim-specific concepts:</w:t>
      </w:r>
      <w:r>
        <w:t xml:space="preserve"> climate, infections, health; EU scope visible. This is a provisional connection, not an outcome finding.</w:t>
      </w:r>
    </w:p>
    <w:p>
      <w:pPr>
        <w:pStyle w:val="SourceNote"/>
      </w:pPr>
      <w:r>
        <w:rPr>
          <w:b/>
        </w:rPr>
        <w:t>Available abstract (not full text):</w:t>
      </w:r>
      <w:r>
        <w:t xml:space="preserve"> Climate change (changes in temperature and weather patterns) plays a significant role in the outbreak of tick-borne diseases such as Lyme borreliosis (LB) disease and tick-borne encephalitis (TBE) in Europe. The prevalence of LB disease has increased lately and TBE, one of the most serious infections of the central nervous system, significantly affects public health. Changes in abiotic factors are the main determinants affecting their vectors. The warmer weather during winter has prolonged the extension of the period in which ticks are most active. Therefore, the increased risk of transmission of tick-borne diseases influenced by the climate conditions could be determined by advanced climate models.</w:t>
      </w:r>
    </w:p>
    <w:p>
      <w:pPr/>
      <w:r>
        <w:rPr>
          <w:b/>
        </w:rPr>
        <w:t>POSSIBLE 2022:</w:t>
      </w:r>
      <w:r>
        <w:t xml:space="preserve"> Direct and indirect effects of universities on European regional productivity — https://doi.org/10.1111/pirs.12698</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pPr>
        <w:pStyle w:val="Heading2"/>
      </w:pPr>
      <w:r>
        <w:t>948.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2024:</w:t>
      </w:r>
      <w:r>
        <w:t xml:space="preserve"> Analysis of healthcare waste and factors affecting the amount of hazardous healthcare waste in a university hospital — https://doi.org/10.1007/s10163-024-01890-1</w:t>
      </w:r>
    </w:p>
    <w:p>
      <w:pPr/>
      <w:r>
        <w:rPr>
          <w:b/>
        </w:rPr>
        <w:t>Shared claim-specific concepts:</w:t>
      </w:r>
      <w:r>
        <w:t xml:space="preserve"> healthcare, amount, over; EU scope not established. This is a provisional connection, not an outcome finding.</w:t>
      </w:r>
    </w:p>
    <w:p>
      <w:pPr>
        <w:pStyle w:val="SourceNote"/>
      </w:pPr>
      <w:r>
        <w:rPr>
          <w:b/>
        </w:rPr>
        <w:t>Available abstract (not full text):</w:t>
      </w:r>
      <w:r>
        <w:t xml:space="preserve"> Abstract The ever-increasing amount of waste produced by the healthcare system is a growing burden worldwide. To effectively reduce waste, it is essential to know exactly what it is and to explore the factors influencing its amount. This study aims to analyze the amount of healthcare waste (HCW) and the change in that amount over time, as well as to explore and quantify the factors that influence hazardous healthcare waste (HHCW) in a university hospital. Descriptive statistical analysis, Spearman’s correlation and robust regression were performed to characterize the data. Our analysis revealed that the amount of HCW has been increased annually by 2.11%, and the generation rate ranges between 2.53 and 2.68 kg/bed/day. The amount of HHCW has increased by 20.19% over the 5-year period studied, with a generation rate varying between 1.13 and 1.31 kg/bed/day. It was found that surgical specialisms, anesthesiology and intensive care, and emergency patient care have higher rates of hazardous waste production. A significant positive correlation was found between the amount of hazardous waste and the incidence of healthcare-associated infections ( r = 0.704), and the number of diapers used by adults and children ( r = 0.555), whose significant predictive role was also confirmed by the robust regression.</w:t>
      </w:r>
    </w:p>
    <w:p>
      <w:pPr/>
      <w:r>
        <w:rPr>
          <w:b/>
        </w:rPr>
        <w:t>POSSIBLE 2024:</w:t>
      </w:r>
      <w:r>
        <w:t xml:space="preserve"> Costs of fracture-related infection: the impact on direct hospital costs and healthcare utilisation — https://doi.org/10.1007/s00068-024-02497-9</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PURPOSE: Fracture-Related Infection (FRI) is associated with high medical costs and prolonged healthcare utilization. However, limited data is available on the financial impact. The purpose of this study was to investigate the impact of FRI on direct hospital costs and healthcare utilization. METHODS: This was a retrospective cohort study in a level-1 trauma centre in the Netherlands. Patients ≥ 18 years, after open reduction and internal fixation of a long bone fracture between January 1st 2016 and November 1st 2021, were included. Exclusion criteria were Injury Severity Score (ISS) ≥ 16, indefinable data on costs or incomplete follow-up. Hospital costs related to fracture treatment were individually calculated based on procedure codes raised with a fixed percentage of overhead expenses, in line with hospital billing policies. RESULTS: In total, 246 patients were included with a median follow-up of 1 year (IQR 0.6-1.8). A total of 45 patients developed FRI, of whom 15 patients had an FRI recurrence. Compared to non-FRI patients, median hospital costs from an FRI patient without and with recurrence, were respectively three (3.1) and seven (7.6) times higher. Compared to non-FRI patients, increased costs in patients with FRI or recurrent FRI are due to respectively a fivefold or even tenfold prolonged length-of-stay, two or seven additional infection-related surgeries, and 21 or</w:t>
      </w:r>
    </w:p>
    <w:p>
      <w:pPr/>
      <w:r>
        <w:rPr>
          <w:b/>
        </w:rPr>
        <w:t>POSSIBLE 2024:</w:t>
      </w:r>
      <w:r>
        <w:t xml:space="preserve"> Differential healthcare direct costs of asthma and chronic rhinosinusitis with nasal polyps in Catalonia (Spain) — https://doi.org/10.4193/rhin24.147</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INTRODUCTION: This study compares the direct healthcare costs associated with asthma and chronic rhinosinusitis with nasal polyps (CRSwNP) from 2013 to 2017 in Catalonia (Spain) with a population control group without these conditions. METHODS: A population administrative database containing healthcare information was used. The database contained information on primary care, hospitalisations, and emergency care from 2013 to 2017 in Catalonia. The unit cost of each healthcare procedure was imputed using a complete list of public prices for primary care services, hospital, and speciality services. Differential costs were estimated using a finite mixture model. RESULTS: Individuals diagnosed with asthma or CRSwNP showed a higher incidence of comorbidities than the control group. Mean annual direct costs per patient were €1,102 for asthma, €1,612 for CRSwNP and €2,197 for those with both conditions. According to our estimations, differential costs were €162 - €274 for patients with asthma and €481 - €1,257 for patients with CRSwNP compared to the reference population. These costs were significantly higher when asthma and CRSwNP coexist and especially in their severe condition. CONCLUSION: This population-based study revealed that asthma and CRSwN are associated with great economic burdens for healthcare systems. These costs were significantly higher when comorbidity was present (as</w:t>
      </w:r>
    </w:p>
    <w:p>
      <w:pPr/>
      <w:r>
        <w:rPr>
          <w:b/>
        </w:rPr>
        <w:t>POSSIBLE 2024:</w:t>
      </w:r>
      <w:r>
        <w:t xml:space="preserve"> Direct healthcare costs of oral cancer: A retrospective study from a tertiary care center — https://doi.org/10.1016/j.jcms.2024.03.002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The aim of this study was to retrospectively evaluate the direct costs of OSCC treatment and postsurgical surveillance in a tertiary hospital in northeast Italy. Sixty-three consecutive patients surgically treated for primitive OSCC at S. Orsola Hospital in Bologna (Italy) between January 2018 and January 2020 were analyzed. Billing records of the Emilia Romagna healthcare system and institutional costs were used to derive specific costs for the following clinical categories: operating theatre costs, intensive and ordinary hospitalization, radiotherapy, chemotherapy, postsurgical complications, visits, and examinations during the follow-up period. The study population comprised 17 OSCC patients classified at stage I, 14 at stage II, eight at stage III, and 24 at stage IV. The estimated mean total direct cost for OSCC treatment and postsurgical surveillance was €26 338.48 per patient (stage I: €10 733, stage II: €19 642.9, stage III: €30 361.4, stage IV: €39 957.2). An advanced diagnosis (stages III and IV), complex surgical procedure, and loco-regional recurrences resulted in variables that were significantly associated with a higher cost of OSCC treatment and postsurgical surveillance. Redirection of funds used for OSCC treatment to screening measures may be an effective strategy to improve overall health outcomes and optimize national health resources.</w:t>
      </w:r>
    </w:p>
    <w:p>
      <w:pPr/>
      <w:r>
        <w:rPr>
          <w:b/>
        </w:rPr>
        <w:t>POSSIBLE 2024:</w:t>
      </w:r>
      <w:r>
        <w:t xml:space="preserve"> European structural funds to finance healthcare in Italian regions — https://doi.org/10.3389/fpubh.2024.1361642</w:t>
      </w:r>
    </w:p>
    <w:p>
      <w:pPr/>
      <w:r>
        <w:rPr>
          <w:b/>
        </w:rPr>
        <w:t>Shared claim-specific concepts:</w:t>
      </w:r>
      <w:r>
        <w:t xml:space="preserve"> healthcare, billion, over; EU scope visible. This is a provisional connection, not an outcome finding.</w:t>
      </w:r>
    </w:p>
    <w:p>
      <w:pPr>
        <w:pStyle w:val="SourceNote"/>
      </w:pPr>
      <w:r>
        <w:rPr>
          <w:b/>
        </w:rPr>
        <w:t>Available abstract (not full text):</w:t>
      </w:r>
      <w:r>
        <w:t xml:space="preserve"> In this work, we explore the extensive utilization of European Union Structural Funds to enhance regional healthcare systems in Italy over the period 2014-2020. These funds serve as vital instruments for financing the construction, renovation, and modernization of healthcare facilities, as well as supporting medical research and technological innovation. They enable the implementation of disease prevention and health promotion programs and provide essential income support to vulnerable families through the European Social Fund. Our analysis found that EU funding allocated to "health-related" projects during the 2014-2020 programming period, amounts to just over 6.19 billion euros [5.1 billion financed by the European Regional Development Fund (ERDF) and just over 1 billion financed by the European Social Fund (ESF)], of which 65.88% is funded by European resources. These funds supported a total of 26,739 projects, with 22,529 funded by the ERDF, primarily focusing on infrastructure projects and the acquisition of new technologies in the healthcare sector. Meanwhile, the 4,210 projects funded by the ESF were dedicated to personnel training and public health policies in the regions. The European co-financing provided by the ERDF exceeded 63%, while for the ESF, the European share was approximately 77%. Notably, some regions have leveraged these funds to pioneer telemedicine and h</w:t>
      </w:r>
    </w:p>
    <w:p>
      <w:pPr/>
      <w:r>
        <w:rPr>
          <w:b/>
        </w:rPr>
        <w:t>POSSIBLE 2023:</w:t>
      </w:r>
      <w:r>
        <w:t xml:space="preserve"> DIRECT HOSPITAL COSTS PER CASE FOR PERIPROSTHETHIC HIP AND KNEE JOINT INFECTION IN EUROPE: A SYSTEMATIC REVIEW — https://doi.org/10.1302/1358-992x.2023.17.052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pPr>
        <w:pStyle w:val="Heading2"/>
      </w:pPr>
      <w:r>
        <w:t>949.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impact of digitalization, geography, and digital mobility on air pollution in Europe &amp; Central Asia: A climate change perspective — https://doi.org/10.1016/j.scitotenv.2025.180507</w:t>
      </w:r>
    </w:p>
    <w:p>
      <w:pPr/>
      <w:r>
        <w:rPr>
          <w:b/>
        </w:rPr>
        <w:t>Shared claim-specific concepts:</w:t>
      </w:r>
      <w:r>
        <w:t xml:space="preserve"> climate, air, pollution; EU scope visible. This is a provisional connection, not an outcome finding.</w:t>
      </w:r>
    </w:p>
    <w:p>
      <w:pPr>
        <w:pStyle w:val="SourceNote"/>
      </w:pPr>
      <w:r>
        <w:rPr>
          <w:b/>
        </w:rPr>
        <w:t>Available abstract (not full text):</w:t>
      </w:r>
      <w:r>
        <w:t xml:space="preserve"> Unavailable</w:t>
      </w:r>
    </w:p>
    <w:p>
      <w:pPr>
        <w:pStyle w:val="Heading2"/>
      </w:pPr>
      <w:r>
        <w:t>950.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2021:</w:t>
      </w:r>
      <w:r>
        <w:t xml:space="preserve"> Tourism Demand Forecasting Using Nonadditive Forecast Combinations — https://doi.org/10.1177/10963480211047857</w:t>
      </w:r>
    </w:p>
    <w:p>
      <w:pPr/>
      <w:r>
        <w:rPr>
          <w:b/>
        </w:rPr>
        <w:t>Shared claim-specific concepts:</w:t>
      </w:r>
      <w:r>
        <w:t xml:space="preserve"> here, significant, developing, forecasts, china; EU scope not established. This is a provisional connection, not an outcome finding.</w:t>
      </w:r>
    </w:p>
    <w:p>
      <w:pPr>
        <w:pStyle w:val="SourceNote"/>
      </w:pPr>
      <w:r>
        <w:rPr>
          <w:b/>
        </w:rPr>
        <w:t>Available abstract (not full text):</w:t>
      </w:r>
      <w:r>
        <w:t xml:space="preserve"> Accurately forecasting the demand for tourism can help governments formulate industrial policies and guide the business sector in investment planning. Combining forecasts can improve the accuracy of forecasting the demand for tourism, but limited work has been devoted to developing such combinations. This article addresses two significant issues in this context. First, the linear combination is the commonly used method of combining tourism forecasts. However, additive techniques unreasonably ignore interactions among the inputs. Second, the available data often do not adhere to specific statistical assumptions. Grey prediction has thus drawn attention because it does not require that the data follow any statistical distribution. This study proposes a nonadditive combination method by using the fuzzy integral to integrate single-model forecasts obtained from individual grey prediction models. Using China and Taiwan tourism demand as empirical cases, the results show that the proposed method outperforms the other combined methods considered here.</w:t>
      </w:r>
    </w:p>
    <w:p>
      <w:pPr/>
      <w:r>
        <w:rPr>
          <w:b/>
        </w:rPr>
        <w:t>POSSIBLE 2021:</w:t>
      </w:r>
      <w:r>
        <w:t xml:space="preserve"> Integrated Network Design and Demand Forecast for On-Demand Urban Air Mobility — https://doi.org/10.1016/j.eng.2020.11.007</w:t>
      </w:r>
    </w:p>
    <w:p>
      <w:pPr/>
      <w:r>
        <w:rPr>
          <w:b/>
        </w:rPr>
        <w:t>Shared claim-specific concepts:</w:t>
      </w:r>
      <w:r>
        <w:t xml:space="preserve"> significant, findings; EU scope not established. This is a provisional connection, not an outcome finding.</w:t>
      </w:r>
    </w:p>
    <w:p>
      <w:pPr>
        <w:pStyle w:val="SourceNote"/>
      </w:pPr>
      <w:r>
        <w:rPr>
          <w:b/>
        </w:rPr>
        <w:t>Available abstract (not full text):</w:t>
      </w:r>
      <w:r>
        <w:t xml:space="preserve"> Urban air mobility (UAM) is an emerging concept proposed in recent years that uses electric vertical take-off and landing vehicles (eVTOLs). UAM is expected to offer an alternative way of transporting passengers and goods in urban areas with significantly improved mobility by making use of low-altitude airspace. In addition to other essential elements, ground infrastructure of vertiports is needed to transition UAM from concept to operation. This study examines the network design of UAM on-demand service, with a particular focus on the use of integer programming and a solution algorithm to determine the optimal locations of vertiports, user allocation to vertiports, and vertiport access- and egress-mode choices while considering the interactions between vertiport locations and potential UAM travel demand. A case study based on simulated disaggregate travel demand data of the Tampa Bay area in Florida, USA was conducted to demonstrate the effectiveness of the proposed model. Candidate vertiport locations were obtained by analyzing a three-dimensional (3D) geographic information system (GIS) map developed from lidar data of Florida and physical and regulation constraints of eVTOL operations at vertiports. Optimal locations of vertiports were determined to achieve the minimal total generalized cost; however, the modeling structure allows each user to select a better mode between g</w:t>
      </w:r>
    </w:p>
    <w:p>
      <w:pPr/>
      <w:r>
        <w:rPr>
          <w:b/>
        </w:rPr>
        <w:t>POSSIBLE 2021:</w:t>
      </w:r>
      <w:r>
        <w:t xml:space="preserve"> A Forecast of Iranian Demand for Agricultural Food Products — https://doi.org/10.26076/bfd2-e9db</w:t>
      </w:r>
    </w:p>
    <w:p>
      <w:pPr/>
      <w:r>
        <w:rPr>
          <w:b/>
        </w:rPr>
        <w:t>Shared claim-specific concepts:</w:t>
      </w:r>
      <w:r>
        <w:t xml:space="preserve"> here, significant, consumption; EU scope not established. This is a provisional connection, not an outcome finding.</w:t>
      </w:r>
    </w:p>
    <w:p>
      <w:pPr>
        <w:pStyle w:val="SourceNote"/>
      </w:pPr>
      <w:r>
        <w:rPr>
          <w:b/>
        </w:rPr>
        <w:t>Available abstract (not full text):</w:t>
      </w:r>
      <w:r>
        <w:t xml:space="preserve"> Domestic demand for Iranian agricultural food commodities was projected for 1970, 1975 and 1980. Demand for particular commodities was projected separately for Tehran (the capital city), urban Iran and rural Iran. Income and population growth Here the most significant explanatory variables in this long term projection. Two cross-sectional family budget surveys, taken six years apart, provided consumption data for Tehran and urban Iran. A series of family budget studies provided Engel curve data for rural Iran. The income effect was estimated for each food item by least squares regression analysis. The resulting income elasticities were found to be significantly different from those published by the Iranian Central Bank. The income elasticities were adjusted for the quality effect and expected changes in the market margin. Demand for a few major products has projected for the forecast years via a disaggregated model developed in this paper and a traditional aggregate model. The disaggregated model projected demand at levels six to twelve percent above the aggregate model. This difference is apparent due to the unequal distribution of income accounted for by the disaggregate model. Demand for all food products was projected by the traditional method. Various conversion factors Here employed to translate results into farmgate demand for basic crop and livestock products.</w:t>
      </w:r>
    </w:p>
    <w:p>
      <w:pPr/>
      <w:r>
        <w:rPr>
          <w:b/>
        </w:rPr>
        <w:t>POSSIBLE 2020:</w:t>
      </w:r>
      <w:r>
        <w:t xml:space="preserve"> Demand for Crop Insurance in Developing Countries: New Evidence from India — https://doi.org/10.1111/1477-9552.12403</w:t>
      </w:r>
    </w:p>
    <w:p>
      <w:pPr/>
      <w:r>
        <w:rPr>
          <w:b/>
        </w:rPr>
        <w:t>Shared claim-specific concepts:</w:t>
      </w:r>
      <w:r>
        <w:t xml:space="preserve"> developing, india; EU scope not established. This is a provisional connection, not an outcome finding.</w:t>
      </w:r>
    </w:p>
    <w:p>
      <w:pPr>
        <w:pStyle w:val="SourceNote"/>
      </w:pPr>
      <w:r>
        <w:rPr>
          <w:b/>
        </w:rPr>
        <w:t>Available abstract (not full text):</w:t>
      </w:r>
      <w:r>
        <w:t xml:space="preserve">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pPr>
        <w:pStyle w:val="Heading2"/>
      </w:pPr>
      <w:r>
        <w:t>951.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r>
        <w:rPr>
          <w:b/>
        </w:rPr>
        <w:t>POSSIBLE 2024:</w:t>
      </w:r>
      <w:r>
        <w:t xml:space="preserve"> A day in the life: psychological impact on emergency responders during the 22 March 2016 terrorist attacks — https://doi.org/10.3389/fpsyt.2024.1353130</w:t>
      </w:r>
    </w:p>
    <w:p>
      <w:pPr/>
      <w:r>
        <w:rPr>
          <w:b/>
        </w:rPr>
        <w:t>Shared claim-specific concepts:</w:t>
      </w:r>
      <w:r>
        <w:t xml:space="preserve"> terrorist, attacks, revealed, approach, lack, long-term; EU scope visible. This is a provisional connection, not an outcome finding.</w:t>
      </w:r>
    </w:p>
    <w:p>
      <w:pPr>
        <w:pStyle w:val="SourceNote"/>
      </w:pPr>
      <w:r>
        <w:rPr>
          <w:b/>
        </w:rPr>
        <w:t>Available abstract (not full text):</w:t>
      </w:r>
      <w:r>
        <w:t xml:space="preserve"> Introduction: Terrorist attacks can cause severe long-term mental health issues that need treatment. However, in the case of emergency responders, research is often vague on the type of stressors that emergency responders encounter. For example, in addition to the threat that they work under, studies have shown that ill-preparation adds to the stress experienced by emergency responders. However, few studies have looked into the experience of emergency responders. In this study, we looked at the experience of emergency responders during the 22 March 2016 terrorist attacks in Belgium. Methods: We used a qualitative design, in which we interviewed different types of emergency responders. Police officers, nurses, soldiers, firefighters, and Red Cross volunteers were included. Interviews were coded by two researchers and analyzed using a thematic approach. Results: Four large themes were developed: constant threat and chaos, frustrations with lack of preparedness and training, ethical decisions, and debriefings. In addition, although emergency responders encountered constant threat, they often felt that they were ill-prepared for such attacks. One specific example was their lack of training in tourniquet usage. Furthermore, in a disaster setting, the emergency responders had to make life-and-death decisions for which they were not always prepared. Finally, debriefings were conducted</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r>
        <w:rPr>
          <w:b/>
        </w:rPr>
        <w:t>POSSIBLE 2023:</w:t>
      </w:r>
      <w:r>
        <w:t xml:space="preserve"> An Epidemiological Analysis of Terrorist Attacks in the Nordic and Baltic Countries from 1970 through 2020 — https://doi.org/10.1017/s1049023x23005794</w:t>
      </w:r>
    </w:p>
    <w:p>
      <w:pPr/>
      <w:r>
        <w:rPr>
          <w:b/>
        </w:rPr>
        <w:t>Shared claim-specific concepts:</w:t>
      </w:r>
      <w:r>
        <w:t xml:space="preserve"> terrorist, attacks, infrastructure; EU scope visible. This is a provisional connection, not an outcome finding.</w:t>
      </w:r>
    </w:p>
    <w:p>
      <w:pPr>
        <w:pStyle w:val="SourceNote"/>
      </w:pPr>
      <w:r>
        <w:rPr>
          <w:b/>
        </w:rPr>
        <w:t>Available abstract (not full text):</w:t>
      </w:r>
      <w:r>
        <w:t xml:space="preserve"> BACKGROUND: Russia's annexation of Crimea in 2014, and the recent Russo-Ukrainian war that started in 2022, were triggers that radically changed the perception of security in the Nordic and Baltic countries. The on-going Russian hybrid war has resulted in a renewed global interest in the safety and security of many countries (eg, the Nordic-Baltic Eight). The prospective North Atlantic Treaty Organization (NATO) membership of Finland and Sweden may drastically change the regional military and political landscape.The objective of this study was to identify and characterize all documented terrorist attacks in this region as reported to the Global Terrorism Database (GTD) from 1970 through 2020. METHODS: The GTD was searched using the internal database functions for all terrorism incidents in the Nordic-Baltic states: Denmark, Estonia, Finland, Iceland, Latvia, Lithuania, Norway, and Sweden.Temporal factors, location, target type, attack and weapon type, perpetrator type, number of casualties, and property value loss were collated. Results were exported into an Excel spreadsheet for analysis. RESULTS: There were 298 terrorism-related incidents from 1970 through 2020. Most attacks occurred in Sweden, followed by Norway and Finland. No entries were recorded for the Baltic states prior to their independency in 1991. The 298 incidents resulted in a total of 113 fatalities and 277 inju</w:t>
      </w:r>
    </w:p>
    <w:p>
      <w:pPr>
        <w:pStyle w:val="Heading2"/>
      </w:pPr>
      <w:r>
        <w:t>952.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Analysis of total nitrogen and chlorophyll a correlations in reservoirs in Ceará/Brazil — https://doi.org/10.1590/s1413-415220230015</w:t>
      </w:r>
    </w:p>
    <w:p>
      <w:pPr/>
      <w:r>
        <w:rPr>
          <w:b/>
        </w:rPr>
        <w:t>Shared claim-specific concepts:</w:t>
      </w:r>
      <w:r>
        <w:t xml:space="preserve"> total, nitrogen; EU scope not established. This is a provisional connection, not an outcome finding.</w:t>
      </w:r>
    </w:p>
    <w:p>
      <w:pPr>
        <w:pStyle w:val="SourceNote"/>
      </w:pPr>
      <w:r>
        <w:rPr>
          <w:b/>
        </w:rPr>
        <w:t>Available abstract (not full text):</w:t>
      </w:r>
      <w:r>
        <w:t xml:space="preserve"> ABSTRACT Chlorophyll a (Chla) concentration is an important indicator to characterize algal biomass, reflecting water quality and the level of eutrophication of aquatic environments. This study analyzed 4315 total nitrogen (TN) and Chla samples in 155 reservoirs in Ceará, Brazil. Relationships were obtained between TN and Chla through simple linear regression and classified according to the statistical performance of the coefficient of determination (R²). The dynamics of these correlations were examined by analyzing the variance between classification groups concerning watershed, reservoir size, coefficient of variability, and trophic state. The concentration of pollutants was influenced by seasonality, which increased significantly from the wet to the dry period in most basins. The coefficients of determination between Chla and TN for the watersheds followed the trends of classic curves in the literature, with satisfactory models (R² &gt; 0.3) in most reservoirs (53.3%). The variance analysis attested that the models’ performance was affected by the basins, the volumetric variation, and the change in the trophic state levels. There was no significant variance of R² between reservoirs of different sizes.</w:t>
      </w:r>
    </w:p>
    <w:p>
      <w:pPr/>
      <w:r>
        <w:rPr>
          <w:b/>
        </w:rPr>
        <w:t>POSSIBLE 2023:</w:t>
      </w:r>
      <w:r>
        <w:t xml:space="preserve"> Ecosystem type drives soil eukaryotic diversity and composition in Europe — https://doi.org/10.1111/gcb.16871</w:t>
      </w:r>
    </w:p>
    <w:p>
      <w:pPr/>
      <w:r>
        <w:rPr>
          <w:b/>
        </w:rPr>
        <w:t>Shared claim-specific concepts:</w:t>
      </w:r>
      <w:r>
        <w:t xml:space="preserve"> total, nitrogen, higher; EU scope visible. This is a provisional connection, not an outcome finding.</w:t>
      </w:r>
    </w:p>
    <w:p>
      <w:pPr>
        <w:pStyle w:val="SourceNote"/>
      </w:pPr>
      <w:r>
        <w:rPr>
          <w:b/>
        </w:rPr>
        <w:t>Available abstract (not full text):</w:t>
      </w:r>
      <w:r>
        <w:t xml:space="preserve"> Soil eukaryotes play a crucial role in maintaining ecosystem functions and services, yet the factors driving their diversity and distribution remain poorly understood. While many studies focus on some eukaryotic groups (mostly fungi), they are limited in their spatial scale. Here, we analyzed an unprecedented amount of observational data of soil eukaryomes at continental scale (787 sites across Europe) to gain further insights into the impact of a wide range of environmental conditions (climatic and edaphic) on their community composition and structure. We found that the diversity of fungi, protists, rotifers, tardigrades, nematodes, arthropods, and annelids was predominantly shaped by ecosystem type (annual and permanent croplands, managed and unmanaged grasslands, coniferous and broadleaved woodlands), and higher diversity of fungi, protists, nematodes, arthropods, and annelids was observed in croplands than in less intensively managed systems, such as coniferous and broadleaved woodlands. Also in croplands, we found more specialized eukaryotes, while the composition between croplands was more homogeneous compared to the composition of other ecosystems. The observed high proportion of overlapping taxa between ecosystems also indicates that DNA has accumulated from previous land uses, hence mimicking the land transformations occurring in Europe in the last decades. This strong</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decrease, area, management, based;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Nitrogen deposition in forests: Statistical modeling of total deposition from throughfall loads — https://doi.org/10.3389/ffgc.2022.1062223</w:t>
      </w:r>
    </w:p>
    <w:p>
      <w:pPr/>
      <w:r>
        <w:rPr>
          <w:b/>
        </w:rPr>
        <w:t>Shared claim-specific concepts:</w:t>
      </w:r>
      <w:r>
        <w:t xml:space="preserve"> total, nitrogen, parts; EU scope visible. This is a provisional connection, not an outcome finding.</w:t>
      </w:r>
    </w:p>
    <w:p>
      <w:pPr>
        <w:pStyle w:val="SourceNote"/>
      </w:pPr>
      <w:r>
        <w:rPr>
          <w:b/>
        </w:rPr>
        <w:t>Available abstract (not full text):</w:t>
      </w:r>
      <w:r>
        <w:t xml:space="preserve"> Introduction Nitrogen (N) gradient studies in some cases use N deposition in throughfall as measure of N deposition to forests. For evaluating critical loads of N, however, information on total N deposition is required, i.e., the sum of estimates of dry, wet and occult deposition. Methods The present paper collects a number of studies in Europe where throughfall and total N deposition were compared in different forest types. From this dataset a function was derived which allows to estimate total N deposition from throughfall N deposition. Results At low throughfall N deposition values, the proportion of canopy uptake is high and thus the underestimation of total deposition by throughfall N needs to be corrected. At throughfall N deposition values &gt; 20 kg N ha–1 yr–1 canopy uptake is getting less important. Conclusion This work shows that throughfall clearly underestimates total deposition of nitrogen. With the present data set covering large parts of Europe it is possible to derive a critical load estimate from gradient studies using throughfall data.</w:t>
      </w:r>
    </w:p>
    <w:p>
      <w:pPr>
        <w:pStyle w:val="Heading2"/>
      </w:pPr>
      <w:r>
        <w:t>953.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2024:</w:t>
      </w:r>
      <w:r>
        <w:t xml:space="preserve"> Trends in Air Pollution in Europe, 2000–2019 — https://doi.org/10.4209/aaqr.230237</w:t>
      </w:r>
    </w:p>
    <w:p>
      <w:pPr/>
      <w:r>
        <w:rPr>
          <w:b/>
        </w:rPr>
        <w:t>Shared claim-specific concepts:</w:t>
      </w:r>
      <w:r>
        <w:t xml:space="preserve"> air, pollution, comprehensive, consistent;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quantify, air, pollution, modelling, factors, climate;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954.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2023:</w:t>
      </w:r>
      <w:r>
        <w:t xml:space="preserve"> Everyday Life Information Seeking — https://doi.org/10.36755/khaldunia.v3i1.80</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Considering the socioeconomic significance of the Indus Basin, the effect of climate the purpose of this paper is to elaborate the everyday information seeking practices of urban teens and the benefits they get from these practices; moreover, demographic details of participants are also elaborated. In Pakistan many studies have been carried out on information need and seeking behavior of diverse groups, but not a single study has been done so far on everyday information seeking of Pakistani urban teens. This research is a humble endeavor to understand their daily practices that may lead to design systems for fulfilling their everyday information needs. For this purpose, a quantitative study was conducted employing a sample of 1000 urban teen participants who responded to the survey. Cluster sampling was done and the Likert scale was used to assess the written questionnaires, which were analyzed on the statistical software SPSS-21. These teens were from public and private schools of Pakistan. This data was collected by using Google forms. The results indicated that an easy access to teen’s preferred sources would play important role in their lives. It would be helpful for academicians to understand the teens’ ELIS behavior and reasons of their preferred information sources. This study will also be helpful for policy makers and for librarians to introduce diverse information serv</w:t>
      </w:r>
    </w:p>
    <w:p>
      <w:pPr/>
      <w:r>
        <w:rPr>
          <w:b/>
        </w:rPr>
        <w:t>POSSIBLE 2022:</w:t>
      </w:r>
      <w:r>
        <w:t xml:space="preserve"> USEFULNESS OF MIXED METHOD RESEARCH DESIGN TO UNDERSTAND HEALTH SEEKING BEHAVIOR — https://doi.org/10.54530/jcmc.1119</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Mixed Methods Research Design (MMRD) has been used as a more potent approach in the research field of social and behavioral science. The purpose of this article is to explore and provide information on mixed methods study design. Secondly, the article discusses different categories and perspectives of health-seeking behavior from multiple angles of real social life. Thirdly, it focuses on the relevance and applicability of mixed-method design in understanding subjective and objective aspects of health-seeking behavior acting at the person, family, and community level, such as bio-social profiles and previous experiences with health care. The article has also briefly summarized the philosophy of mixed methods research design and different perspectives on health-seeking behavior. Mixed methods research, is one of the three major research paradigms (quantitative research, qualitative research, and mixed methods research) that is most appropriate to comprehending complicated subjective and objective facts associated to health-seeking behavior. This article will contribute to understanding the strength of mixed-method research design and its use with more holistic thinking on the issues pertaining to health-seeking behavior and human behavior.</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2021:</w:t>
      </w:r>
      <w:r>
        <w:t xml:space="preserve"> From escape to seeking: understanding drug tourists — https://doi.org/10.1080/14766825.2021.1960853</w:t>
      </w:r>
    </w:p>
    <w:p>
      <w:pPr/>
      <w:r>
        <w:rPr>
          <w:b/>
        </w:rPr>
        <w:t>Shared claim-specific concepts:</w:t>
      </w:r>
      <w:r>
        <w:t xml:space="preserve"> purpose, used, understand, aims, context; EU scope not established. This is a provisional connection, not an outcome finding.</w:t>
      </w:r>
    </w:p>
    <w:p>
      <w:pPr>
        <w:pStyle w:val="SourceNote"/>
      </w:pPr>
      <w:r>
        <w:rPr>
          <w:b/>
        </w:rPr>
        <w:t>Available abstract (not full text):</w:t>
      </w:r>
      <w:r>
        <w:t xml:space="preserve"> Studying the relations between travel, daily life, and drugs will help understand why these tourists use drugs. Hence, the article aims to explore the social behaviors that shape the reasons and causes tourists to use drugs while traveling to a destination. For this purpose, unstructured interview and participant observation techniques were used in the study, applying the ethnography research approach. In this context, data were collected in Thailand, Cambodia, Malaysia, Indonesia, and Turkey as drug destinations between 2016 and 2020. Accordingly, while drug use in daily life is for escaping from daily life and recreational purposes, drug use while traveling occurs within the pursuit of happiness. As a result of their pursuit of happiness, drug tourists (as neo tribes) engage in social behaviors such as building strong social relations, feeling a sense of freedom, being in an entertaining atmosphere, and living the local culture. As a result, drug tourists see travel as a process from escape to seeking.</w:t>
      </w:r>
    </w:p>
    <w:p>
      <w:pPr/>
      <w:r>
        <w:rPr>
          <w:b/>
        </w:rPr>
        <w:t>POSSIBLE 2021:</w:t>
      </w:r>
      <w:r>
        <w:t xml:space="preserve"> Social Media Use for Health Purposes: Systematic Review — https://doi.org/10.2196/17917</w:t>
      </w:r>
    </w:p>
    <w:p>
      <w:pPr/>
      <w:r>
        <w:rPr>
          <w:b/>
        </w:rPr>
        <w:t>Shared claim-specific concepts:</w:t>
      </w:r>
      <w:r>
        <w:t xml:space="preserve"> purpose, used, recent, identified; EU scope not established. This is a provisional connection, not an outcome finding.</w:t>
      </w:r>
    </w:p>
    <w:p>
      <w:pPr>
        <w:pStyle w:val="SourceNote"/>
      </w:pPr>
      <w:r>
        <w:rPr>
          <w:b/>
        </w:rPr>
        <w:t>Available abstract (not full text):</w:t>
      </w:r>
      <w:r>
        <w:t xml:space="preserve"> BACKGROUND: Social media has been widely used for health-related purposes, especially during the COVID-19 pandemic. Previous reviews have summarized social media uses for a specific health purpose such as health interventions, health campaigns, medical education, and disease outbreak surveillance. The most recent comprehensive review of social media uses for health purposes, however, was conducted in 2013. A systematic review that covers various health purposes is needed to reveal the new usages and research gaps that emerge in recent years. OBJECTIVE: This study aimed to provide a systematic review of social media uses for health purposes that have been identified in previous studies. METHODS: The researchers searched for peer-reviewed journal articles published between 2006 and 2020 in 12 databases covering medicine, public health, and social science. After coding the articles in terms of publication year, journal area, country, method, social media platform, and social media use for health purposes, the researchers provided a review of social media use for health purposes identified in these articles. RESULTS: This study summarized 10 social media uses for various health purposes by health institutions, health researchers and practitioners, and the public. CONCLUSIONS: Social media can be used for various health purposes. Several new usages have emerged since 2013 including </w:t>
      </w:r>
    </w:p>
    <w:p>
      <w:pPr>
        <w:pStyle w:val="Heading2"/>
      </w:pPr>
      <w:r>
        <w:t>955.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2023:</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Shared claim-specific concepts:</w:t>
      </w:r>
      <w:r>
        <w:t xml:space="preserve"> drug, experts, four; EU scope visible. This is a provisional connection, not an outcome finding.</w:t>
      </w:r>
    </w:p>
    <w:p>
      <w:pPr>
        <w:pStyle w:val="SourceNote"/>
      </w:pPr>
      <w:r>
        <w:rPr>
          <w:b/>
        </w:rPr>
        <w:t>Available abstract (not full text):</w:t>
      </w:r>
      <w:r>
        <w:t xml:space="preserve"> BACKGROUND: The number of migrants in the European Union (EU) has been growing, including migrants at risk of using drugs. Little information is available on the actual drug use among first-generation migrants who use drugs in the EU, nor on their access to drug dependency services. This study aims to reach consensus among experts in the EU on the current situation regarding vulnerable migrants who use drugs in the EU and to develop a set of actionable recommendations. METHODS: Between April and September 2022, a panel of 57 experts on migration and/or drug use, working in 24 countries, participated in a three-stage Delphi study to develop statements and recommendations about drug use and access to healthcare services for migrants who use drugs in the EU. RESULTS: High levels of agreement were reached on the 20 statements (mean=98.0%) and 15 recommendations (mean=99.7%). The recommendations focus on four main topics; 1) increasing data availability and quality, to inform guidelines; 2) increasing the availability of drug dependency services for migrants, including screening for mental health issues and involving migrants who use drugs in the development of services; 3) eliminating country and service level barriers for accessing these services, as well as providing migrants who use drugs with suitable information, and combating stigma and discrimination; 4) the need for increas</w:t>
      </w:r>
    </w:p>
    <w:p>
      <w:pPr/>
      <w:r>
        <w:rPr>
          <w:b/>
        </w:rPr>
        <w:t>POSSIBLE 2023:</w:t>
      </w:r>
      <w:r>
        <w:t xml:space="preserve"> Participating in innovative medicines initiative funded neurodegenerative disorder projects—An impact analysis conducted as part of the NEURONET project — https://doi.org/10.3389/fneur.2023.1140722</w:t>
      </w:r>
    </w:p>
    <w:p>
      <w:pPr/>
      <w:r>
        <w:rPr>
          <w:b/>
        </w:rPr>
        <w:t>Shared claim-specific concepts:</w:t>
      </w:r>
      <w:r>
        <w:t xml:space="preserve"> project, disorder, initial, scientific, understanding, designed; EU scope visible. This is a provisional connection, not an outcome finding.</w:t>
      </w:r>
    </w:p>
    <w:p>
      <w:pPr>
        <w:pStyle w:val="SourceNote"/>
      </w:pPr>
      <w:r>
        <w:rPr>
          <w:b/>
        </w:rPr>
        <w:t>Available abstract (not full text):</w:t>
      </w:r>
      <w:r>
        <w:t xml:space="preserve"> The European Commission's Innovative Medicines Initiative (IMI) has funded many projects focusing on neurodegenerative disorders (ND) that aimed to improve the diagnosis, prevention, treatment and understanding of NDs. To facilitate collaboration across this project portfolio, the IMI funded the "NEURONET" project between March 2019 and August 2022 with the aim of connecting these projects and promoting synergies, enhancing the visibility of their findings, understanding the impact of the IMI funding and identifying research gaps that warrant more/new funding. The IMI ND portfolio currently includes 20 projects consisting of 270 partner organizations across 25 countries. The NEURONET project conducted an impact analysis to assess the scientific and socio-economic impact of the IMI ND portfolio. This was to better understand the perceived areas of impact from those directly involved in the projects. The impact analysis was conducted in two stages: an initial stage developed the scope of the project, defined the impact indicators and measures to be used. A second stage designed and administered the survey amongst partners from European Federation of Pharmaceutical Industries and Associations (EFPIA) organizations and other partners (hereafter, referred to as "non-EFPIA" organizations). Responses were analyzed according to areas of impact: organizational, economic, capacity buildi</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r>
        <w:rPr>
          <w:b/>
        </w:rPr>
        <w:t>POSSIBLE 2022:</w:t>
      </w:r>
      <w:r>
        <w:t xml:space="preserve"> Invited Commentary: Drug Checking for Novel Insights Into the Unregulated Drug Supply — https://doi.org/10.17615/s217-j120</w:t>
      </w:r>
    </w:p>
    <w:p>
      <w:pPr/>
      <w:r>
        <w:rPr>
          <w:b/>
        </w:rPr>
        <w:t>Shared claim-specific concepts:</w:t>
      </w:r>
      <w:r>
        <w:t xml:space="preserve"> invited, drug, provide, understanding; EU scope not established. This is a provisional connection, not an outcome finding.</w:t>
      </w:r>
    </w:p>
    <w:p>
      <w:pPr>
        <w:pStyle w:val="SourceNote"/>
      </w:pPr>
      <w:r>
        <w:rPr>
          <w:b/>
        </w:rPr>
        <w:t>Available abstract (not full text):</w:t>
      </w:r>
      <w:r>
        <w:t xml:space="preserve"> Tobias et al. (Am J Epidemiol. 2022;191 (2):241-247) present a novel analysis of time trends in fentanyl concentrations in the unregulated drug supply in British Columbia, Canada. The preexisting knowledge about unregulated drugs had come from law-enforcement seizures and postmortem toxicology. As both of these data sources are subject to selection bias, large-scale drug-checking programs are poised to be a crucial component of the public health response to the unrelenting increase in overdose in North America. As programs expand, we offer 2 guiding principles. First, the primary purpose of these programs is to deliver timely results to people who use drugs to mitigate health risks. Second, innovation is needed to go beyond criminal justice paradigms in laboratory analysis for a more nuanced understanding of health concerns. We provide examples of the role adulterants play in our understanding of drug harms. We also describe the applications and limitations of common laboratory assays, with implications for epidemiologic surveillance. While the research and direct service teams in British Columbia have taken groundbreaking steps, there is still a need to establish best practices for communicating results to sample donors in an approachable yet nonalarmist tone.</w:t>
      </w:r>
    </w:p>
    <w:p>
      <w:pPr/>
      <w:r>
        <w:rPr>
          <w:b/>
        </w:rPr>
        <w:t>POSSIBLE 2021:</w:t>
      </w:r>
      <w:r>
        <w:t xml:space="preserve"> Radiographer tips for gaining European research funding-our experience with the SAFE EUROPE project — https://openalex.org/W3202602997</w:t>
      </w:r>
    </w:p>
    <w:p>
      <w:pPr/>
      <w:r>
        <w:rPr>
          <w:b/>
        </w:rPr>
        <w:t>Shared claim-specific concepts:</w:t>
      </w:r>
      <w:r>
        <w:t xml:space="preserve"> project, invited, three, international, over; EU scope visible. This is a provisional connection, not an outcome finding.</w:t>
      </w:r>
    </w:p>
    <w:p>
      <w:pPr>
        <w:pStyle w:val="SourceNote"/>
      </w:pPr>
      <w:r>
        <w:rPr>
          <w:b/>
        </w:rPr>
        <w:t>Available abstract (not full text):</w:t>
      </w:r>
      <w:r>
        <w:t xml:space="preserve">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pPr>
        <w:pStyle w:val="Heading2"/>
      </w:pPr>
      <w:r>
        <w:t>956.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2023:</w:t>
      </w:r>
      <w:r>
        <w:t xml:space="preserve"> Improving Public Action to Mitigate River Flooding in Niamey (Niger) — https://doi.org/10.3390/land12081523</w:t>
      </w:r>
    </w:p>
    <w:p>
      <w:pPr/>
      <w:r>
        <w:rPr>
          <w:b/>
        </w:rPr>
        <w:t>Shared claim-specific concepts:</w:t>
      </w:r>
      <w:r>
        <w:t xml:space="preserve"> purpose, foresight, flooding, flood, qualitative; EU scope not established. This is a provisional connection, not an outcome finding.</w:t>
      </w:r>
    </w:p>
    <w:p>
      <w:pPr>
        <w:pStyle w:val="SourceNote"/>
      </w:pPr>
      <w:r>
        <w:rPr>
          <w:b/>
        </w:rPr>
        <w:t>Available abstract (not full text):</w:t>
      </w:r>
      <w:r>
        <w:t xml:space="preserve"> The purpose of this paper is to analyze the effects of repeated floods in the city of Niamey and the strategies developed by the state in terms of prevention, rehabilitation, and care for victims. Although numerous framework documents have been drafted in the last decade and urbanization in flood zones has been limited, the reality in Niamey shows that urban sprawl is increasing along the riverbank and the population facing vulnerable situations is growing. The inefficiency of state action determines that, on the one hand, it is non-governmental institutions that need to develop improvement plans—with the recovery of the city being dependent on the arrival of their funds and their distribution in those areas that donor countries consider most suitable—and on the other hand, it is the citizens—already vulnerable—who must find their own resilience mechanisms to try to survive the next flood. This study reveals that this diversity of players is involved in flood management through emergency relief, solidarity in rehousing, and providing support for living and non-living flood victims. Despite this mobilization, the actions undertaken are hampered by a number of constraints. Insufficient financial and human resources, a lack of foresight on the part of the authorities, and poorly coordinated actions are the main difficulties limiting the success of public action in the face of floo</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2021:</w:t>
      </w:r>
      <w:r>
        <w:t xml:space="preserve"> Strategic Innovation, Foresight and the Deployment of Project Portfolio Management under Mid-Range Planning Conditions in Medium-Sized Firms — https://doi.org/10.3390/su14010080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purpose of this paper is to examine the ability of a firm to innovate and absorb its innovative developments by borrowing concepts and models from project portfolio management (PPM). Using past research and the existing literature, it evaluates the potential to apply PPM to the medium-term strategic planning efforts of small- and medium-sized firms. The implementation of strategic innovation requires organizations to develop both a dynamic culture and flexible internal systems that yield to major external changes in their industry as well as internal resource changes. Such changes could include supply or value chain adjustments, changes in consumer behavior, re-allocation of internal resources or the responses of competitors. This paper examines the planning and implementation of project portfolio management tools in small- and medium-sized enterprises (SMEs) (50–250 employees) with a mid-range (2–4 years) planning horizon that are required to innovate in a strategic context to remain competitive or to take advantage of new opportunities. It relates strategic foresight to the ability of the firm to adjust tactically, including in the utilization and development of internal tools, processes, systems and culture. This paper contributes to the literature by examining the potential for PPM methodologies and models to support decision making in a strategic context in SMEs, an ar</w:t>
      </w:r>
    </w:p>
    <w:p>
      <w:pPr/>
      <w:r>
        <w:rPr>
          <w:b/>
        </w:rPr>
        <w:t>POSSIBLE 2021:</w:t>
      </w:r>
      <w:r>
        <w:t xml:space="preserve"> Development Of A Regional Foresight Research Methodology — https://doi.org/10.15405/epsbs.2021.04.88</w:t>
      </w:r>
    </w:p>
    <w:p>
      <w:pPr/>
      <w:r>
        <w:rPr>
          <w:b/>
        </w:rPr>
        <w:t>Shared claim-specific concepts:</w:t>
      </w:r>
      <w:r>
        <w:t xml:space="preserve"> purpose, foresight, government; EU scope visible. This is a provisional connection, not an outcome finding.</w:t>
      </w:r>
    </w:p>
    <w:p>
      <w:pPr>
        <w:pStyle w:val="SourceNote"/>
      </w:pPr>
      <w:r>
        <w:rPr>
          <w:b/>
        </w:rPr>
        <w:t>Available abstract (not full text):</w:t>
      </w:r>
      <w:r>
        <w:t xml:space="preserve"> In modern conditions, regional innovation policy should be focused on finding adequate responses to global challenges. It is necessary to study the dynamics of changes in existing markets and understand what technologies will demand the digital economy. Foresight methods are proposed for forecasting and selecting promising technologies taking into account the potential of the territory. According to the authors, foresight is an analytical tool that identifies technological breakthroughs and opportunities for innovative development of the territory. In this regard, the study's purpose is to develop a methodology for conducting regional foresight studies aimed at identifying priorities for innovative development of the territory. The proposed approach allows us to identify the entrepreneurial potential according to the European concept of "smart specialization" used in this study. It is necessary to ensure a constructive dialogue between the government, business, civil society, science and education. The method is based on the author's matrix of priorities for the development of territories. The study's result will be a typical scheme for conducting a regional foresight describing the application of methods at each stage to select priorities for the development of the territory. This method will strengthen the existing theoretical and methodological aspects of the formation of re</w:t>
      </w:r>
    </w:p>
    <w:p>
      <w:pPr>
        <w:pStyle w:val="Heading2"/>
      </w:pPr>
      <w:r>
        <w:t>957.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958.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r>
        <w:rPr>
          <w:b/>
        </w:rPr>
        <w:t>POSSIBLE 2022:</w:t>
      </w:r>
      <w:r>
        <w:t xml:space="preserve"> Clay Tobacco Pipes in Europe from the Late Sixteenth to the First Half of the Nineteenth Century: Geographical and Cultural Contexts — https://doi.org/10.6001/lituanistica.v67i4.4647</w:t>
      </w:r>
    </w:p>
    <w:p>
      <w:pPr/>
      <w:r>
        <w:rPr>
          <w:b/>
        </w:rPr>
        <w:t>Shared claim-specific concepts:</w:t>
      </w:r>
      <w:r>
        <w:t xml:space="preserve"> first, context, different, but, production, consumption; EU scope visible. This is a provisional connection, not an outcome finding.</w:t>
      </w:r>
    </w:p>
    <w:p>
      <w:pPr>
        <w:pStyle w:val="SourceNote"/>
      </w:pPr>
      <w:r>
        <w:rPr>
          <w:b/>
        </w:rPr>
        <w:t>Available abstract (not full text):</w:t>
      </w:r>
      <w:r>
        <w:t xml:space="preserve"> The aim of the article is to present a summary of the history of clay tobacco pipes in Europe and to explore their cultural and geographical context.In post-medieval archaeological sites, clay tobacco pipes are quite common finds. The first evidence of tobacco in Western Europe dates from the late sixteenth century, during the Age of Discovery. The industry of tobacco pipe manufacturing started in the early seventeenth century, and English pipe makers and smokers were the innovators of the new habit and style of smoking. Soon after that, Dutch cities like Amsterdam and Gouda became major centres in producing and selling clay tobacco pipes. Through the Baltic and Mediterranean harbours and then along land routes, tobacco spread across Europe as a product of colonial trade and a new habit of smoking as such. The Thirty Years’ War and Northern Wars played a crucial role in the consumption of tobacco, because soldiers rapidly accepted and spread the new culture of smoking.In the eastern and south-eastern European region, tobacco and pipes appeared in the early seventeenth century. Despite this fact, smoking as an incorrect habit was banned or restricted in Russia and the Ottoman Empire in effect of the rulers’ decisions. Only in the late seventeenth century all the prohibitions of tobacco consumption were lifted. At this time, clay tobacco pipes manufactured by the locals predomina</w:t>
      </w:r>
    </w:p>
    <w:p>
      <w:pPr/>
      <w:r>
        <w:rPr>
          <w:b/>
        </w:rPr>
        <w:t>POSSIBLE 2022:</w:t>
      </w:r>
      <w:r>
        <w:t xml:space="preserve"> ARABIC IN THE EUROPEAN CONTEXT — https://doi.org/10.66766/risr.2022.1.08</w:t>
      </w:r>
    </w:p>
    <w:p>
      <w:pPr/>
      <w:r>
        <w:rPr>
          <w:b/>
        </w:rPr>
        <w:t>Shared claim-specific concepts:</w:t>
      </w:r>
      <w:r>
        <w:t xml:space="preserve"> context, different, but; EU scope visible. This is a provisional connection, not an outcome finding.</w:t>
      </w:r>
    </w:p>
    <w:p>
      <w:pPr>
        <w:pStyle w:val="SourceNote"/>
      </w:pPr>
      <w:r>
        <w:rPr>
          <w:b/>
        </w:rPr>
        <w:t>Available abstract (not full text):</w:t>
      </w:r>
      <w:r>
        <w:t xml:space="preserve"> We are human beings that live in “spheres”. These could be found in a wide variety and could take different forms. They are either narrow, more common to us, or wide, so wide that we could never imagine. However, we tend to be too preoccupied with ourselves, and thus with the narrow spheres. In the end, our field of view gets smaller and smaller and we eventually lose sight of what matters the most: the wide sphere. This story may sound too childish, too insignificant for us to take into consideration, but this is actually the vivid image of the present world. As individuals, we live in specific communities, thus in continuous interaction with other members of society, hence with the Arabs as well. This social phenomenon appeared in ancient times. Their culture has always fascinated us, especially since their influences in various fields have intertwined with the European civilization. But, in order to come to understand and, therefore, accept this culture, it was and still is necessary for the Arabic language to be studied. Thus, this process should become a priority for us as there is the need for removing certain cultural and communication barriers. The purpose of this paper is to raise awareness of the importance of studying Arabic. This goal would not lead to the decrease or elimination of the “spheres" that each one of us lives in, but to their union so as to create stron</w:t>
      </w:r>
    </w:p>
    <w:p>
      <w:pPr/>
      <w:r>
        <w:rPr>
          <w:b/>
        </w:rPr>
        <w:t>POSSIBLE 2022:</w:t>
      </w:r>
      <w:r>
        <w:t xml:space="preserve"> What Makes 21st Century Central and East European Photobooks so Different, so Appealing? — https://doi.org/10.25038/am.v0i28.519</w:t>
      </w:r>
    </w:p>
    <w:p>
      <w:pPr/>
      <w:r>
        <w:rPr>
          <w:b/>
        </w:rPr>
        <w:t>Shared claim-specific concepts:</w:t>
      </w:r>
      <w:r>
        <w:t xml:space="preserve"> first, different, production; EU scope visible. This is a provisional connection, not an outcome finding.</w:t>
      </w:r>
    </w:p>
    <w:p>
      <w:pPr>
        <w:pStyle w:val="SourceNote"/>
      </w:pPr>
      <w:r>
        <w:rPr>
          <w:b/>
        </w:rPr>
        <w:t>Available abstract (not full text):</w:t>
      </w:r>
      <w:r>
        <w:t xml:space="preserve"> If we reflect on the “photobook phenomenon” that has been developing for a quarter of a century, it will lead us to the verification of the research on the subject in Central and Eastern Europe. The following text was directly triggered by the exhibition and catalog: Photobloc: Central Europe in Photobooks opened at the International Cultural Center in Krakow in 2019. The subject of the project was the 20th-century history of Central Europe told in photobooks. However, it seems that in the 21st century, Central and Eastern European photobooks attract the attention of researchers and collectors from all over the world, and subsequent nominations and awards confirm their high-quality artistic production. The shift of attention to the present day forces the verification of cognitive categories that are useful for cataloging and evaluating 20th-century books. The text is an insight into possible chapters, motifs and narratives concerning photobooks, and so the essay is divided into the following parts: the first deals with a new definition of photobook, the second with a cliche of the otherness of the region, the third is a reassumption of topographic photography, the fourth focuses on issues of history in Central and Eastern Europe, while the fifth and final part is about an intense political atmosphere influencing the production of photobooks. All proposed new chapters are suppor</w:t>
      </w:r>
    </w:p>
    <w:p>
      <w:pPr/>
      <w:r>
        <w:rPr>
          <w:b/>
        </w:rPr>
        <w:t>POSSIBLE 2021:</w:t>
      </w:r>
      <w:r>
        <w:t xml:space="preserve"> Who Called Team Europe? The European Union’s Development Policy Response During the First Wave of COVID-19 — https://doi.org/10.1057/s41287-021-00428-7</w:t>
      </w:r>
    </w:p>
    <w:p>
      <w:pPr/>
      <w:r>
        <w:rPr>
          <w:b/>
        </w:rPr>
        <w:t>Shared claim-specific concepts:</w:t>
      </w:r>
      <w:r>
        <w:t xml:space="preserve"> first, context; EU scope visible. This is a provisional connection, not an outcome finding.</w:t>
      </w:r>
    </w:p>
    <w:p>
      <w:pPr>
        <w:pStyle w:val="SourceNote"/>
      </w:pPr>
      <w:r>
        <w:rPr>
          <w:b/>
        </w:rPr>
        <w:t>Available abstract (not full text):</w:t>
      </w:r>
      <w:r>
        <w:t xml:space="preserve">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pPr>
        <w:pStyle w:val="Heading2"/>
      </w:pPr>
      <w:r>
        <w:t>959.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Quo Vadis, Europa? Four paths and their plausibility — https://doi.org/10.1108/itpd-02-2019-001</w:t>
      </w:r>
    </w:p>
    <w:p>
      <w:pPr/>
      <w:r>
        <w:rPr>
          <w:b/>
        </w:rPr>
        <w:t>Shared claim-specific concepts:</w:t>
      </w:r>
      <w:r>
        <w:t xml:space="preserve"> different, identified, plausible; EU scope visible. This is a provisional connection, not an outcome finding.</w:t>
      </w:r>
    </w:p>
    <w:p>
      <w:pPr>
        <w:pStyle w:val="SourceNote"/>
      </w:pPr>
      <w:r>
        <w:rPr>
          <w:b/>
        </w:rPr>
        <w:t>Available abstract (not full text):</w:t>
      </w:r>
      <w:r>
        <w:t xml:space="preserve"> Purpose The purpose of this paper is to assess the plausibility of four different mid-term paths of development of the European Union (EU): first, a political union or a European state; second, a differentiated and flexible integration of the polity; third, a covert and deepening integration of the polity outside of the political arenas; fourth, the disintegration and/or dissolution of the EU through the exit of individual members or a joint decision to terminate the union. Design/methodology/approach The paper uses strategic interaction analysis to identify the plausibility of each of these four possible outcomes. By systematically varying the relevant actors’, i.e. European Council’s and member states’, the European Parliament’s, the Commission’s, preferences over outcomes while holding constant institutional rules of decision making on the one hand, and systematically varying institutional rules on the other while holdings actors’ preferences constant, the paper comes to the conclusion that differentiated and flexible integration and covert integration are the most plausible mid-term paths of development. Findings The paper finds that neither a European state or deep political union nor a disintegration or even dissolution of the EU is the most plausible path of development. Rather, it concludes that flexible and differentiated integration as well as covert integration outsi</w:t>
      </w:r>
    </w:p>
    <w:p>
      <w:pPr/>
      <w:r>
        <w:rPr>
          <w:b/>
        </w:rPr>
        <w:t>POSSIBLE 2017:</w:t>
      </w:r>
      <w:r>
        <w:t xml:space="preserve"> Comparison of four inverse modelling systems applied to the estimation of HFC-125, HFC-134a, and SF 6 emissions over Europe — https://doi.org/10.5194/acp-17-10651-2017</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pPr/>
      <w:r>
        <w:rPr>
          <w:b/>
        </w:rPr>
        <w:t>POSSIBLE 2017:</w:t>
      </w:r>
      <w:r>
        <w:t xml:space="preserve"> BECOMING GENDERED IN EUROPEAN PREHISTORY: WAS NEOLITHIC GENDER FUNDAMENTALLY DIFFERENT? — https://doi.org/10.1017/aaq.2017.54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pPr/>
      <w:r>
        <w:rPr>
          <w:b/>
        </w:rPr>
        <w:t>POSSIBLE 2016:</w:t>
      </w:r>
      <w:r>
        <w:t xml:space="preserve"> Evaluation of European air quality modelled by CAMx including the volatility basis set scheme — https://doi.org/10.5194/acp-16-10313-2016</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pPr>
        <w:pStyle w:val="Heading2"/>
      </w:pPr>
      <w:r>
        <w:t>960.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2023:</w:t>
      </w:r>
      <w:r>
        <w:t xml:space="preserve"> Sustainability in Blockchain: A Systematic Literature Review on Scalability and Power Consumption Issues — https://doi.org/10.3390/en16031510</w:t>
      </w:r>
    </w:p>
    <w:p>
      <w:pPr/>
      <w:r>
        <w:rPr>
          <w:b/>
        </w:rPr>
        <w:t>Shared claim-specific concepts:</w:t>
      </w:r>
      <w:r>
        <w:t xml:space="preserve"> increase, power, consumption; EU scope not established. This is a provisional connection, not an outcome finding.</w:t>
      </w:r>
    </w:p>
    <w:p>
      <w:pPr>
        <w:pStyle w:val="SourceNote"/>
      </w:pPr>
      <w:r>
        <w:rPr>
          <w:b/>
        </w:rPr>
        <w:t>Available abstract (not full text):</w:t>
      </w:r>
      <w:r>
        <w:t xml:space="preserve"> Blockchain is a peer-to-peer trustless network that keeps records of digital assets without any central authority. With the passage of time, the sustainability issue of blockchain is rising. This paper discusses two major sustainability issues of blockchain: power consumption and scalability. It discusses the challenge of power consumption by analyzing various approaches to estimating power consumption in the literature. A case study of bitcoin is presented for this purpose. The study presents a review of the growing energy consumption of bitcoin along with a solution for immersion cooling in blockchain mining. The second challenge addressed in this research is scalability. With the increase in network size, scalability issues are also increasing as the number of transactions per second is decreasing. In other words, blockchain is observing low throughput with its increase in size. The paper discusses research studies and techniques proposed in the literature. The paper then investigates how to scale blockchain for better performance.</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r>
        <w:rPr>
          <w:b/>
        </w:rPr>
        <w:t>POSSIBLE 2022:</w:t>
      </w:r>
      <w:r>
        <w:t xml:space="preserve"> Modeling and Simulation of Household Appliances Power Consumption — https://doi.org/10.3390/app12073689</w:t>
      </w:r>
    </w:p>
    <w:p>
      <w:pPr/>
      <w:r>
        <w:rPr>
          <w:b/>
        </w:rPr>
        <w:t>Shared claim-specific concepts:</w:t>
      </w:r>
      <w:r>
        <w:t xml:space="preserve"> increase, power, consumption, compared, levels, electricity; EU scope not established. This is a provisional connection, not an outcome finding.</w:t>
      </w:r>
    </w:p>
    <w:p>
      <w:pPr>
        <w:pStyle w:val="SourceNote"/>
      </w:pPr>
      <w:r>
        <w:rPr>
          <w:b/>
        </w:rPr>
        <w:t>Available abstract (not full text):</w:t>
      </w:r>
      <w:r>
        <w:t xml:space="preserve"> The consumption of household appliances tends to increase. Therefore, the application of energy efficiency measurements is urgently needed to reduce the levels of power consumption. Over the last years, various methods have been used to predict household electricity consumption. As a novelty, this paper proposed a method of predicting the consumption of household appliances by evaluating statistical distributions (Kolmogorov–Smirnov Test and Pearson’s X2 test). To test the veracity of the evaluations, first, a set of random values was simulated for each hour, and their respective averages were calculated. These were compared with the averages of the real values for each hour. With the exception of HVAC during working days, great results were obtained. For the refrigerator, the maximum error was 3.91%, while for the lighting, it was 4.27%. At the point of consumption, the accuracy was even higher, with an error of 1.17% for the dryer while for the washing machine and dishwasher, their minimum errors were less than 1%. The error results confirm that the applied methodology is perfectly acceptable for modeling household appliance consumption and consequently predicting it. However, these consumptions can be only extrapolated to dwellings with similar surface areas and habitats.</w:t>
      </w:r>
    </w:p>
    <w:p>
      <w:pPr>
        <w:pStyle w:val="Heading2"/>
      </w:pPr>
      <w:r>
        <w:t>961.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r>
        <w:rPr>
          <w:b/>
        </w:rPr>
        <w:t>POSSIBLE 2024:</w:t>
      </w:r>
      <w:r>
        <w:t xml:space="preserve"> Improved large-area forest increment information in Europe through harmonisation of National Forest Inventories — https://doi.org/10.1016/j.foreco.2024.121913</w:t>
      </w:r>
    </w:p>
    <w:p>
      <w:pPr/>
      <w:r>
        <w:rPr>
          <w:b/>
        </w:rPr>
        <w:t>Shared claim-specific concepts:</w:t>
      </w:r>
      <w:r>
        <w:t xml:space="preserve"> biomass, increments, management, forests, increment, wood; EU scope visible. This is a provisional connection, not an outcome finding.</w:t>
      </w:r>
    </w:p>
    <w:p>
      <w:pPr>
        <w:pStyle w:val="SourceNote"/>
      </w:pPr>
      <w:r>
        <w:rPr>
          <w:b/>
        </w:rPr>
        <w:t>Available abstract (not full text):</w:t>
      </w:r>
      <w:r>
        <w:t xml:space="preserve"> Consistent knowledge about the increment in European forests gained amplified importance in European policies and decision processes related to forest-based bioeconomy, carbon sequestration, sustainable forest management and environmental changes. Until now, large-area increment information from European countries was lacking international comparability. In this study we present a harmonisation framework in accordance with the principles and the approach established for the harmonisation of National Forest Inventories (NFIs) in Europe. 11 European NFIs, representing a broad range of increment measurement and estimation methods, developed unified reference definitions and methods that were subsequently implemented to provide harmonised increment estimates by NUTS regions (Nomenclature of territorial units for statistics of the European Union), main forest types and tree species groups, and to rate the impact of harmonisation measures. The main emphasis was on gross annual increment (GAI), however, also annual natural losses (ANL) and net annual increment (NAI) were estimated. The data from the latest available NFI cycles were processed. The participating countries represent a forest area of about 130 million ha, and 82% of the European Unions’ (EU) forest area, respectively. The increments were estimated in terms of volume (m³ year−1, m³ ha−1 year−1) and above-ground biomass (t </w:t>
      </w:r>
    </w:p>
    <w:p>
      <w:pPr/>
      <w:r>
        <w:rPr>
          <w:b/>
        </w:rPr>
        <w:t>POSSIBLE 2024:</w:t>
      </w:r>
      <w:r>
        <w:t xml:space="preserve"> The potential of using chilean biomass to develop insulating biocomposite material — https://doi.org/10.7764/ric.00128.21</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r>
        <w:rPr>
          <w:b/>
        </w:rPr>
        <w:t>POSSIBLE 2024:</w:t>
      </w:r>
      <w:r>
        <w:t xml:space="preserve"> The potential of using chilean biomass to develop insulating biocomposite material — https://openalex.org/W7155586447</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Abstract: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pStyle w:val="Heading2"/>
      </w:pPr>
      <w:r>
        <w:t>962.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pStyle w:val="Heading2"/>
      </w:pPr>
      <w:r>
        <w:t>963.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r>
        <w:rPr>
          <w:b/>
        </w:rPr>
        <w:t>POSSIBLE 2020:</w:t>
      </w:r>
      <w:r>
        <w:t xml:space="preserve"> A Universal Physics-Based Model Describing COVID-19 Dynamics in Europe — https://doi.org/10.3390/ijerph17186525</w:t>
      </w:r>
    </w:p>
    <w:p>
      <w:pPr/>
      <w:r>
        <w:rPr>
          <w:b/>
        </w:rPr>
        <w:t>Shared claim-specific concepts:</w:t>
      </w:r>
      <w:r>
        <w:t xml:space="preserve"> studied, based, four; EU scope visible. This is a provisional connection, not an outcome finding.</w:t>
      </w:r>
    </w:p>
    <w:p>
      <w:pPr>
        <w:pStyle w:val="SourceNote"/>
      </w:pPr>
      <w:r>
        <w:rPr>
          <w:b/>
        </w:rPr>
        <w:t>Available abstract (not full text):</w:t>
      </w:r>
      <w:r>
        <w:t xml:space="preserve"> The self-organizing mechanism is a universal approach that is widely followed in nature. In this work, a novel self-organizing model describing diffusion over a lattice is introduced. Simulation results for the model's active lattice sites demonstrate an evolution curve that is very close to those describing the evolution of infected European populations by COVID-19. The model was further examined against real data regarding the COVID-19 epidemic for seven European countries (with a total population of 290 million) during the periods in which social distancing measures were imposed, namely Italy and Spain, which had an enormous spread of the disease; the successful case of Greece; and four central European countries: France, Belgium, Germany and the Netherlands. The value of the proposed model lies in its simplicity and in the fact that it is based on a universal natural mechanism, which through the presentation of an equivalent dynamical system apparently documents and provides a better understanding of the dynamical process behind viral epidemic spreads in general-even pandemics, such as in the case of COVID-19-further allowing us to come closer to controlling such situations. Finally, this model allowed the study of dynamical characteristics such as the memory effect, through the autocorrelation function, in the studied epidemiological dynamical systems.</w:t>
      </w:r>
    </w:p>
    <w:p>
      <w:pPr/>
      <w:r>
        <w:rPr>
          <w:b/>
        </w:rPr>
        <w:t>POSSIBLE 2019:</w:t>
      </w:r>
      <w:r>
        <w:t xml:space="preserve"> Grand Challenges in Nano-Based Drug Delivery — https://doi.org/10.3389/fmedt.2019.00001</w:t>
      </w:r>
    </w:p>
    <w:p>
      <w:pPr/>
      <w:r>
        <w:rPr>
          <w:b/>
        </w:rPr>
        <w:t>Shared claim-specific concepts:</w:t>
      </w:r>
      <w:r>
        <w:t xml:space="preserve"> challenges, chemical, industry, experts; EU scope visible. This is a provisional connection, not an outcome finding.</w:t>
      </w:r>
    </w:p>
    <w:p>
      <w:pPr>
        <w:pStyle w:val="SourceNote"/>
      </w:pPr>
      <w:r>
        <w:rPr>
          <w:b/>
        </w:rPr>
        <w:t>Available abstract (not full text):</w:t>
      </w:r>
      <w:r>
        <w:t xml:space="preserve"> As its applications continuously expand in many areas of life, nanotechnology has been receiving increasing attention from all directions. Applications of nanotechnology are so diverse and numerous that sometimes it may be difficult to stay updated with their developments. Just to mention a few: in the agriculture industry, there has been talk about new pesticides, targeted genetic engineering, agrochemical delivery, sensors to monitor soil; in the nutrition industry, we are hearing about nutraceuticals, nutrient delivery, mineral and vitamin fortification, drinking water purification; as far as the processing industry is concerned, much has been said about nanoencapsulation of flavours/aromas, gelation and viscosifying agents, nanoemulsions, anti-caking, sanitation of equipment and we could go on and on…. The most basic definition of nanotechnology is: the engineering of functional systems at the molecular level. Undoubtedly one of the most well known and perhaps relevant application for nanotechnology is nanomedicine. The layman’s definition of nanomedicine is quite simply: the application of nanotechnology to diagnose or treat diseases or to repair damaged tissue. Given their complexity and its implications for public health and human life, I think it is important to take a moment to examine how the experts define these terms. The European Medicine Agency (EMA) defined Nanot</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r>
        <w:rPr>
          <w:b/>
        </w:rPr>
        <w:t>POSSIBLE 2017:</w:t>
      </w:r>
      <w:r>
        <w:t xml:space="preserve"> Civil Society in Central and Eastern Europe: Challenges and Opportunities — https://openalex.org/W2884426798</w:t>
      </w:r>
    </w:p>
    <w:p>
      <w:pPr/>
      <w:r>
        <w:rPr>
          <w:b/>
        </w:rPr>
        <w:t>Shared claim-specific concepts:</w:t>
      </w:r>
      <w:r>
        <w:t xml:space="preserve"> challenges, experts, four; EU scope visible. This is a provisional connection, not an outcome finding.</w:t>
      </w:r>
    </w:p>
    <w:p>
      <w:pPr>
        <w:pStyle w:val="SourceNote"/>
      </w:pPr>
      <w:r>
        <w:rPr>
          <w:b/>
        </w:rPr>
        <w:t>Available abstract (not full text):</w:t>
      </w:r>
      <w:r>
        <w:t xml:space="preserve"> Building on the work of 27 authors and a survey of 400 experts, this volume provide a map of civil society in Central and Eastern Europe (CEE). The analysis comprises 16 CEE countries in four distinct country groups: \na) the Visegrád group, which consists of Poland, the Czech Republic, Slovakia, and Hungary, b) Slovenia and Croatia, c) Bulgaria and Romania, and finally, d) the non-EU countries Serbia, Bosnia and Herzegovina, Macedonia, Montenegro, Kosovo, Albania, and Moldova. Austria serves as a reference country for comparing CEE civil society with a traditional Western European civil society. \nFor each country, a chapter provides an overview over recent historical developments, the shapes and forms of civil society, its most important fields and activity, and an assessment of its institutional environment. Chapters also contain an analyisis of trends and future developments in civil society. \nIn addition, the volume contains a synthesis chapter which provides a general investitgation of civil societes across the region. We find that, even though the four groups are very diverse, similarities and shared patterns can be identified, such as the important role of the European Union and the accession process in shaping the institutional framework. Analyses also reveal distinct features of civil society within the four country groups, such as a particularly high level of donor </w:t>
      </w:r>
    </w:p>
    <w:p>
      <w:pPr>
        <w:pStyle w:val="Heading2"/>
      </w:pPr>
      <w:r>
        <w:t>964.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965.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2023:</w:t>
      </w:r>
      <w:r>
        <w:t xml:space="preserve"> Incidence of Lyme Borreliosis in Europe from National Surveillance Systems (2005–2020) — https://doi.org/10.1089/vbz.2022.0071</w:t>
      </w:r>
    </w:p>
    <w:p>
      <w:pPr/>
      <w:r>
        <w:rPr>
          <w:b/>
        </w:rPr>
        <w:t>Shared claim-specific concepts:</w:t>
      </w:r>
      <w:r>
        <w:t xml:space="preserve"> national, poland, within, number; EU scope visible. This is a provisional connection, not an outcome finding.</w:t>
      </w:r>
    </w:p>
    <w:p>
      <w:pPr>
        <w:pStyle w:val="SourceNote"/>
      </w:pPr>
      <w:r>
        <w:rPr>
          <w:b/>
        </w:rPr>
        <w:t>Available abstract (not full text):</w:t>
      </w:r>
      <w:r>
        <w:t xml:space="preserve"> Background: Lyme borreliosis (LB) is the most common tick-borne disease in Europe. To inform European intervention strategies, including vaccines under development, we conducted a systematic review for LB incidence. Methods: We searched publicly available surveillance data reporting LB incidence in Europe from 2005 to 2020. Population-based incidence was calculated as the number of reported LB cases per 100,000 population per year (PPY), and high LB risk areas (incidence &gt;10/100,00 PPY for 3 consecutive years) were estimated. Results: Estimates of LB incidence were available for 25 countries. There was marked heterogeneity in surveillance systems (passive vs. mandatory and sentinel sites vs. national), case definitions (clinical, laboratory, or both), and testing methods, limiting comparison across countries. Twenty-one countries (84%) had passive surveillance; four (Belgium, France, Germany, and Switzerland) used sentinel surveillance systems. Only four countries (Bulgaria, France, Poland, and Romania) used standardized case definitions recommended by European public health institutions. Among all surveillance systems and considering any case definition for the most recently available years, national LB incidences were highest in Estonia, Lithuania, Slovenia, and Switzerland (&gt;100 cases/100,000 PPY), followed by France and Poland (40–80/100,000 PPY), and Finland and Latvia (20</w:t>
      </w:r>
    </w:p>
    <w:p>
      <w:pPr/>
      <w:r>
        <w:rPr>
          <w:b/>
        </w:rPr>
        <w:t>POSSIBLE 2023:</w:t>
      </w:r>
      <w:r>
        <w:t xml:space="preserve"> Opposition Discourse About National Recovery and Resilience Plans. Poland and Hungary Compared — https://doi.org/10.33067/se.1.2023.2</w:t>
      </w:r>
    </w:p>
    <w:p>
      <w:pPr/>
      <w:r>
        <w:rPr>
          <w:b/>
        </w:rPr>
        <w:t>Shared claim-specific concepts:</w:t>
      </w:r>
      <w:r>
        <w:t xml:space="preserve"> national, poland, within, article, polish; EU scope visible. This is a provisional connection, not an outcome finding.</w:t>
      </w:r>
    </w:p>
    <w:p>
      <w:pPr>
        <w:pStyle w:val="SourceNote"/>
      </w:pPr>
      <w:r>
        <w:rPr>
          <w:b/>
        </w:rPr>
        <w:t>Available abstract (not full text):</w:t>
      </w:r>
      <w:r>
        <w:t xml:space="preserve"> Although the governments of Poland and Hungary seem to similarly contest the conditionality mechanism that requires one to respect the rule of law when using EU funds, there are differences between these countries. They become visible in the framing of political communication as regards the opposition parties. This article seeks to identify the grounds of the competition from parliamentary opposition of the governments in relation to the EU Recovery and Resilience Fund. An analysis of 2021’s parliamentary debates on national recovery and resilience plans revealed three communication frameworks: the financial frame (the policy dimension), the quality of governance frame (the politics dimension), and the European integration frame which shaped domestic political rivalry (the polity dimension). Differences within these framings between the narrative of the Polish and Hungarian opposition resulted from different institutional and structural contexts. The study confirms the importance of national opposition parties for the analysis of the process of European integration. The existence of a liberal opposition may promote the salience of the topic of European integration in domestic political debate.</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funded, project, aim;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Building National Open Science Cloud Initiatives (NOSCIs) in Southeast Europe — https://doi.org/10.15291/pubmet.3952</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pPr/>
      <w:r>
        <w:rPr>
          <w:b/>
        </w:rPr>
        <w:t>POSSIBLE 2022:</w:t>
      </w:r>
      <w:r>
        <w:t xml:space="preserve"> Socioeconomic inequalities in cancer mortality between and within countries in Europe: a population-based study — https://doi.org/10.1016/j.lanepe.2022.100551</w:t>
      </w:r>
    </w:p>
    <w:p>
      <w:pPr/>
      <w:r>
        <w:rPr>
          <w:b/>
        </w:rPr>
        <w:t>Shared claim-specific concepts:</w:t>
      </w:r>
      <w:r>
        <w:t xml:space="preserve"> national, within, project, number; EU scope visible. This is a provisional connection, not an outcome finding.</w:t>
      </w:r>
    </w:p>
    <w:p>
      <w:pPr>
        <w:pStyle w:val="SourceNote"/>
      </w:pPr>
      <w:r>
        <w:rPr>
          <w:b/>
        </w:rPr>
        <w:t>Available abstract (not full text):</w:t>
      </w:r>
      <w:r>
        <w:t xml:space="preserve">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r>
        <w:rPr>
          <w:b/>
        </w:rPr>
        <w:t>POSSIBLE 2021:</w:t>
      </w:r>
      <w:r>
        <w:t xml:space="preserve"> Effectiveness of research grants funded by European Research Council and Polish National Science Centre — https://doi.org/10.1016/j.joi.2021.101243</w:t>
      </w:r>
    </w:p>
    <w:p>
      <w:pPr/>
      <w:r>
        <w:rPr>
          <w:b/>
        </w:rPr>
        <w:t>Shared claim-specific concepts:</w:t>
      </w:r>
      <w:r>
        <w:t xml:space="preserve"> funded, national, science, centre, poland, project; EU scope visible. This is a provisional connection, not an outcome finding.</w:t>
      </w:r>
    </w:p>
    <w:p>
      <w:pPr>
        <w:pStyle w:val="SourceNote"/>
      </w:pPr>
      <w:r>
        <w:rPr>
          <w:b/>
        </w:rPr>
        <w:t>Available abstract (not full text):</w:t>
      </w:r>
      <w:r>
        <w:t xml:space="preserve">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pPr/>
      <w:r>
        <w:rPr>
          <w:b/>
        </w:rPr>
        <w:t>POSSIBLE 2021:</w:t>
      </w:r>
      <w:r>
        <w:t xml:space="preserve"> Science funding under an authoritarian regime: Portugal's National Education Board and the European ‘academic landscape’ in the interwar period — https://doi.org/10.1098/rsnr.2021.0037</w:t>
      </w:r>
    </w:p>
    <w:p>
      <w:pPr/>
      <w:r>
        <w:rPr>
          <w:b/>
        </w:rPr>
        <w:t>Shared claim-specific concepts:</w:t>
      </w:r>
      <w:r>
        <w:t xml:space="preserve"> national, science, number, article; EU scope visible. This is a provisional connection, not an outcome finding.</w:t>
      </w:r>
    </w:p>
    <w:p>
      <w:pPr>
        <w:pStyle w:val="SourceNote"/>
      </w:pPr>
      <w:r>
        <w:rPr>
          <w:b/>
        </w:rPr>
        <w:t>Available abstract (not full text):</w:t>
      </w:r>
      <w:r>
        <w:t xml:space="preserve">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pPr>
        <w:pStyle w:val="Heading2"/>
      </w:pPr>
      <w:r>
        <w:t>966.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r>
        <w:rPr>
          <w:b/>
        </w:rPr>
        <w:t>POSSIBLE 2023:</w:t>
      </w:r>
      <w:r>
        <w:t xml:space="preserve"> Measuring policy coherence on global access to clean energy between European countries — https://doi.org/10.1007/s11027-023-10058-5</w:t>
      </w:r>
    </w:p>
    <w:p>
      <w:pPr/>
      <w:r>
        <w:rPr>
          <w:b/>
        </w:rPr>
        <w:t>Shared claim-specific concepts:</w:t>
      </w:r>
      <w:r>
        <w:t xml:space="preserve"> clean, countries, emissions; EU scope visible. This is a provisional connection, not an outcome finding.</w:t>
      </w:r>
    </w:p>
    <w:p>
      <w:pPr>
        <w:pStyle w:val="SourceNote"/>
      </w:pPr>
      <w:r>
        <w:rPr>
          <w:b/>
        </w:rPr>
        <w:t>Available abstract (not full text):</w:t>
      </w:r>
      <w:r>
        <w:t xml:space="preserve"> Abstract Amongst the Sustainable Development Goals (SDGs), ensuring energy access in developing countries while reducing global emissions of greenhouse gases is critical. To achieve such goals, international cooperation combined with investments in research, technology, infrastructures and capacity building are paramount. The Sustainable Development Goal (SDG) 7 on access to affordable and clean energy, includes both targets at the domestic and international stages of energy policy. However, trade-offs are emerging in the monitoring phase of SDG7 and its targets, signalling the need for stronger coherence at all stages. Here, we assess to what extent policy coherence exists, and is or is not maintained, considering internal and external energy policy in Europe. We find that a higher level of coherence exists in internal than external energy policy. This result questions the overall positive contribution and commitment of European countries when it comes to facilitating energy access in developing countries. The results also highlight the positive effect of common policy frameworks and the need to rely more extensively on new means for governing and improving international policy coherence. We identify key trade-offs and co-benefits to be addressed for achieving improved policy coherence and call for a common framework that unifies internal and external energy policy in Europe f</w:t>
      </w:r>
    </w:p>
    <w:p>
      <w:pPr/>
      <w:r>
        <w:rPr>
          <w:b/>
        </w:rPr>
        <w:t>POSSIBLE 2023:</w:t>
      </w:r>
      <w:r>
        <w:t xml:space="preserve"> The justice and policy implications of clean energy transition in Africa — https://doi.org/10.3389/fenvs.2023.1089391</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Despite the low local energy access rates, Africa is considered a key player in the global energy transition due to its large supply of fossil fuels and a large reserve of critical minerals essential for manufacturing renewable energy components in the energy sector and storage devices in the transportation and electronics sectors. But building a sustainable society at all levels across nations would only come when there exists a just and inclusive energy transition based on the idea of “leave no one behind”. While many African countries have embarked on ambitious and transformative transition strategies, and many energy projects classified as “clean” have economic, environmental, and social implications that jeopardize the wellbeing of those already vulnerable to the impacts of climate change. This paper explores the policy implications of the just transition to ensure that efforts to steer Africa towards a lower carbon future are supported by fair, equity, and justice considerations. Our analyses provide valuable evidence for considering a just transition in Africa that will not exacerbate the current socio-economic challenges the region is facing but will support sustained poverty reduction and the achievement of faster economic growth. Our findings show that the African continent’s multiple challenges of energy security, economic growth, and affordable access must feature i</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2022:</w:t>
      </w:r>
      <w:r>
        <w:t xml:space="preserve"> Policy Effect on Clean Coal-Fired Power Development in China — https://doi.org/10.3390/en15030897</w:t>
      </w:r>
    </w:p>
    <w:p>
      <w:pPr/>
      <w:r>
        <w:rPr>
          <w:b/>
        </w:rPr>
        <w:t>Shared claim-specific concepts:</w:t>
      </w:r>
      <w:r>
        <w:t xml:space="preserve"> clean; EU scope not established. This is a provisional connection, not an outcome finding.</w:t>
      </w:r>
    </w:p>
    <w:p>
      <w:pPr>
        <w:pStyle w:val="SourceNote"/>
      </w:pPr>
      <w:r>
        <w:rPr>
          <w:b/>
        </w:rPr>
        <w:t>Available abstract (not full text):</w:t>
      </w:r>
      <w:r>
        <w:t xml:space="preserve"> The coal power policy has been influencing the development of China’s coal power industry from the aspects of quantity control, technological progress, and market-oriented reform. Meanwhile, the strategic coal power policy of the mid- and long-term future is yet to be well-designed under the carbon peak and neutrality targets. Therefore, it is necessary to have a comprehensive overview of the coal power policy during the past and give targeted prospects for policy-makers. This paper discusses the policy effect on the development and technological progress of the coal power industry by giving an overview of the policy and reform processes of the coal power industry in China in the past 20 years. The results indicate that China’s coal power policy has promoted the progress of coal power generation technology, optimized the coal power structure, accelerated the diversified investment in the power industry, and alleviated the overcapacity problem of coal power generation. After discussion, we conclude that: (1) It is necessary to gradually reduce the average generation hours of coal-fired power units while retaining high-quality coal-fired power units. (2) The renewable energy enterprises that adopt the support services of coal power enterprises should provide reasonable capacity compensation costs to create favorable conditions and achieve sustainable development for China’s coal </w:t>
      </w:r>
    </w:p>
    <w:p>
      <w:pPr/>
      <w:r>
        <w:rPr>
          <w:b/>
        </w:rPr>
        <w:t>POSSIBLE 2022:</w:t>
      </w:r>
      <w:r>
        <w:t xml:space="preserve"> Sustainable Development and Environmental Policy of the European Union — https://doi.org/10.18662/lumproc/gidtp2022/16</w:t>
      </w:r>
    </w:p>
    <w:p>
      <w:pPr/>
      <w:r>
        <w:rPr>
          <w:b/>
        </w:rPr>
        <w:t>Shared claim-specific concepts:</w:t>
      </w:r>
      <w:r>
        <w:t xml:space="preserve"> there, countries; EU scope visible. This is a provisional connection, not an outcome finding.</w:t>
      </w:r>
    </w:p>
    <w:p>
      <w:pPr>
        <w:pStyle w:val="SourceNote"/>
      </w:pPr>
      <w:r>
        <w:rPr>
          <w:b/>
        </w:rPr>
        <w:t>Available abstract (not full text):</w:t>
      </w:r>
      <w:r>
        <w:t xml:space="preserve"> Sustainable development approaches the concept of quality of life in all its complexity, from an economic, social and environmental point of view, promoting the idea of ​​the balance between economic development, social equity, efficient use and conservation of the environment. By its very nature, sustainable development represents the need for responsibility and education for environmental protection, and this aspect is reflected in the evolution of community policy in recent years, a policy marked by the transition from an approach based on constraint and sanction, to a more flexible, based one on incentives. Thus, it is acting in the direction of a voluntary approach, in order to promote this environmental responsibility and to encourage the use of environmental management systems. The environmental policy does not act independently, but reflects the interest of civil society in this direction, manifested by the creation of numerous environmental movements and organizations. Moreover, in some countries the creation and development of "green" political parties has been achieved, with real success in the political arena. However, resistance - or, more properly, the restraint and inertia that manifests itself, should not be forgotten, when environmental objectives seem to limit industrial competitiveness and economic growth; but this aspect only emphasizes once again the need f</w:t>
      </w:r>
    </w:p>
    <w:p>
      <w:pPr/>
      <w:r>
        <w:rPr>
          <w:b/>
        </w:rPr>
        <w:t>POSSIBLE 2021:</w:t>
      </w:r>
      <w:r>
        <w:t xml:space="preserve"> Green bonds, sustainable development and environmental policy in the European Union carbon market — https://doi.org/10.1002/bse.2733</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Abstract This study assesses the non‐linear effects of green bonds, conventional bonds and energy commodities on the behaviour of the cap‐and‐trade European Union carbon market (European Union Emissions Trading System [EU‐ETS]). By estimating four models, using Markov‐switching (MS) econometric methodology, non‐linearities are confirmed in dynamic behaviours, observing in the global calculation a positive effect of green bonds (S&amp;P GreenandSol Green) on the carbon market, in regimes of both high and low volatility, whereas conventional bonds (S&amp;P Agg) and energy commodities (DJCI En) contribute to a decrease in the carbon market in regimes of high volatility. The relevance of green bonds is underlined in determining the behaviour of the carbon market, besides observing greater persistence of the low volatility regime. These results allow both investors and fund managers to implement strategies in different volatility or economic activity contexts through a diversified portfolio and green/climate structure.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r>
        <w:rPr>
          <w:b/>
        </w:rPr>
        <w:t>POSSIBLE 2020:</w:t>
      </w:r>
      <w:r>
        <w:t xml:space="preserve"> The demographic challenge of Eastern Europe and potential policy options — https://doi.org/10.4337/9781839109508.00028</w:t>
      </w:r>
    </w:p>
    <w:p>
      <w:pPr/>
      <w:r>
        <w:rPr>
          <w:b/>
        </w:rPr>
        <w:t>Shared claim-specific concepts:</w:t>
      </w:r>
      <w:r>
        <w:t xml:space="preserve"> include, countries; EU scope visible. This is a provisional connection, not an outcome finding.</w:t>
      </w:r>
    </w:p>
    <w:p>
      <w:pPr>
        <w:pStyle w:val="SourceNote"/>
      </w:pPr>
      <w:r>
        <w:rPr>
          <w:b/>
        </w:rPr>
        <w:t>Available abstract (not full text):</w:t>
      </w:r>
      <w:r>
        <w:t xml:space="preserve">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pPr/>
      <w:r>
        <w:rPr>
          <w:b/>
        </w:rPr>
        <w:t>POSSIBLE 2020:</w:t>
      </w:r>
      <w:r>
        <w:t xml:space="preserve"> Reforestation policy has constrained options for managing risks on public forests — https://doi.org/10.1139/cjfr-2019-0422</w:t>
      </w:r>
    </w:p>
    <w:p>
      <w:pPr/>
      <w:r>
        <w:rPr>
          <w:b/>
        </w:rPr>
        <w:t>Shared claim-specific concepts:</w:t>
      </w:r>
      <w:r>
        <w:t xml:space="preserve"> include, sense; EU scope visible. This is a provisional connection, not an outcome finding.</w:t>
      </w:r>
    </w:p>
    <w:p>
      <w:pPr>
        <w:pStyle w:val="SourceNote"/>
      </w:pPr>
      <w:r>
        <w:rPr>
          <w:b/>
        </w:rPr>
        <w:t>Available abstract (not full text):</w:t>
      </w:r>
      <w:r>
        <w:t xml:space="preserve"> Strict forest renewal policies in western Canada focus on replicating the stand type that was cut and projecting the growth of young stands forward using simple models based upon past growing conditions. These policies arose from European principles of sustained yield and now limit options for adaptive management at the time of investment in forest renewal of public lands. We assert that such simple and restrictive policies, combined with long-term yield predictions, give a false sense of sustainability in times of increased drought, fires, and insect and disease attacks that accompany climate change. We must undertake comprehensive changes in forest policy that incorporate disturbance in our forest management planning. This is a large task! Options include (i) zoning public forests to vary intensities of management and minimize risk; (ii) changing stand- and forest-level models to increase the diversity of forests regenerated; (iii) widening the sphere of scientific experts that can influence forest policy and risk management; and (iv) reallocating expenditures on forest renewal, protection, and management to minimize negative impacts of disturbance. Such a comprehensive overhaul of forest management will be necessary as the current assumptions of forest sustainability come under further scrutiny by the public and investors.</w:t>
      </w:r>
    </w:p>
    <w:p>
      <w:pPr>
        <w:pStyle w:val="Heading2"/>
      </w:pPr>
      <w:r>
        <w:t>967.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2022:</w:t>
      </w:r>
      <w:r>
        <w:t xml:space="preserve"> Europe Can Have Sustainable Gas Supplies from Mediterranian Gas Reserves — https://doi.org/10.4236/oalib.1109498</w:t>
      </w:r>
    </w:p>
    <w:p>
      <w:pPr/>
      <w:r>
        <w:rPr>
          <w:b/>
        </w:rPr>
        <w:t>Shared claim-specific concepts:</w:t>
      </w:r>
      <w:r>
        <w:t xml:space="preserve"> current, import, gas, already, there, concern; EU scope visible. This is a provisional connection, not an outcome finding.</w:t>
      </w:r>
    </w:p>
    <w:p>
      <w:pPr>
        <w:pStyle w:val="SourceNote"/>
      </w:pPr>
      <w:r>
        <w:rPr>
          <w:b/>
        </w:rPr>
        <w:t>Available abstract (not full text):</w:t>
      </w:r>
      <w:r>
        <w:t xml:space="preserve"> The Russia-Ukraine military conflict is unfolding social and economic consequences far beyond the central Asian or Eurasian borders.European nations found themselves paying the highest gas price in history to meet their energy requirements.Options available for Europe to deal with this situation are: 1) Increased European Gas Production; 2) Increased LNG Imports from US and Asia; 3) Increased Gas Imports via Pipelines from Neighbouring Areas.Given the recent exponential rise in LNG prices, Europe needs to seriously look for some viable and sustainable gas supply sources based on suppliers' Current R-to-P ratio, Proximity to Europe (Transportation Cost for European Consumers), Economic Sustainability, Political (including geo-political and Security) Factors and Techno-Economic Viability of Gas Import Projects.Egypt, with significant recent gas discoveries and two operational LNG Export Terminals, is surrounded by significant gas reserves potential of Eastern Mediterranean region standing out as a more prospective option as compared to LNG Imports and Central Asian Gas Supplies.Coincidently, Turkey is already established as a recognized energy hub between European consumers and energy producers in the east and southeast of Turkey.There have been past European efforts, through the creation of the EMGF (Eastern Mediterranian Gas Forum) grouping, to undermine Turkish interests.Now i</w:t>
      </w:r>
    </w:p>
    <w:p>
      <w:pPr/>
      <w:r>
        <w:rPr>
          <w:b/>
        </w:rPr>
        <w:t>POSSIBLE 2020:</w:t>
      </w:r>
      <w:r>
        <w:t xml:space="preserve"> Methane emissions from natural gas and LNG imports: An increasingly urgent issue for the future of gas in Europe — https://openalex.org/W3129629820</w:t>
      </w:r>
    </w:p>
    <w:p>
      <w:pPr/>
      <w:r>
        <w:rPr>
          <w:b/>
        </w:rPr>
        <w:t>Shared claim-specific concepts:</w:t>
      </w:r>
      <w:r>
        <w:t xml:space="preserve"> import, gas, already, there, countries; EU scope visible. This is a provisional connection, not an outcome finding.</w:t>
      </w:r>
    </w:p>
    <w:p>
      <w:pPr>
        <w:pStyle w:val="SourceNote"/>
      </w:pPr>
      <w:r>
        <w:rPr>
          <w:b/>
        </w:rPr>
        <w:t>Available abstract (not full text):</w:t>
      </w:r>
      <w:r>
        <w:t xml:space="preserve"> Pressure is mounting on the natural gas and LNG community to reduce methane emissions and this is most urgent in EU countries following the adoption of much tougher greenhouse gas reduction targets of 2030 and the publication of the European Commission's Methane Strategy. With rapidly declining indigenous EU production and therefore rising import dependence, there are increasing calls for emissions from imported pipeline gas and LNG to be quantified and based on actual measurements, as opposed to standard emission factors. The Methane Strategy promises to be a significant milestone in that process. Companies which are supplying (or intending to supply) natural gas to the EU - the largest global import market for pipeline gas and a very significant market for LNG - would be well advised to pay close attention to how the regulation of methane emissions is unfolding, and to make an immediate and positive response. Failure to do so could accelerate the demise of natural gas in European energy balances faster than would otherwise have been the case, and shorten the time available for transition to decarbonised gases - specifically hydrogen - using existing natural gas infrastructure. This EU initiative will (and arguably already has) attracted attention from non-EU governments and companies involved in global gas and LNG trade. We have already seen deliveries of 'carbon neutral' LNG</w:t>
      </w:r>
    </w:p>
    <w:p>
      <w:pPr/>
      <w:r>
        <w:rPr>
          <w:b/>
        </w:rPr>
        <w:t>POSSIBLE 2020:</w:t>
      </w:r>
      <w:r>
        <w:t xml:space="preserve"> The dilemma of gas importing and exporting countries — https://doi.org/10.26889/9781784671624</w:t>
      </w:r>
    </w:p>
    <w:p>
      <w:pPr/>
      <w:r>
        <w:rPr>
          <w:b/>
        </w:rPr>
        <w:t>Shared claim-specific concepts:</w:t>
      </w:r>
      <w:r>
        <w:t xml:space="preserve"> gas, there, especially, countries; EU scope not established. This is a provisional connection, not an outcome finding.</w:t>
      </w:r>
    </w:p>
    <w:p>
      <w:pPr>
        <w:pStyle w:val="SourceNote"/>
      </w:pPr>
      <w:r>
        <w:rPr>
          <w:b/>
        </w:rPr>
        <w:t>Available abstract (not full text):</w:t>
      </w:r>
      <w:r>
        <w:t xml:space="preserve"> At a time of low prices and an apparent surplus of supply in the global gas market it is important to try and identify new sources of demand, especially for LNG. In this respect, one interesting theme is how some countries are switching from their traditional role as LNG exporters to becoming importers of gas as their indigenous demand grows. Ieda Gomes explores this concept using the case studies of Malaysia and Indonesia, and she attempts to identify the key drivers behind the shifts in the gas economies of both countries. Significantly, though, there are also a few countries where gas has an existing role in the domestic energy economy, and which have historically imported gas, which have now found new gas resources and are starting to export. A prime example of this is Argentina, where the discovery of large shale gas resources has led to a gas surplus and the opportunity to generate export revenues. This paper analyses this example as a contrast to the first two and examines whether it is a sustainable situation. Overall, we believe that this paper can provide some important insights into the factors which can influence the position of gas in a country’s energy balance, especially if the prevalence of hydrocarbons has created a dependency via subsidies prices or other politically-driven strategies. There are a number of other examples around the world where the demands of </w:t>
      </w:r>
    </w:p>
    <w:p>
      <w:pPr/>
      <w:r>
        <w:rPr>
          <w:b/>
        </w:rPr>
        <w:t>POSSIBLE 2020:</w:t>
      </w:r>
      <w:r>
        <w:t xml:space="preserve"> The role of gases in the European energy transition — https://doi.org/10.32609/j.ruje.6.55105</w:t>
      </w:r>
    </w:p>
    <w:p>
      <w:pPr/>
      <w:r>
        <w:rPr>
          <w:b/>
        </w:rPr>
        <w:t>Shared claim-specific concepts:</w:t>
      </w:r>
      <w:r>
        <w:t xml:space="preserve"> current, need, gas; EU scope visible. This is a provisional connection, not an outcome finding.</w:t>
      </w:r>
    </w:p>
    <w:p>
      <w:pPr>
        <w:pStyle w:val="SourceNote"/>
      </w:pPr>
      <w:r>
        <w:rPr>
          <w:b/>
        </w:rPr>
        <w:t>Available abstract (not full text):</w:t>
      </w:r>
      <w:r>
        <w:t xml:space="preserve"> The role of gases in the energy transition is a different, and much more immediate, issue in the EU, compared with other global regions.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 Therefore, large scale hydrogen production from reforming methane with carbon capture and storage (CCS), or pyrolysis, will be needed to maintain anything close to current demand levels. Costs of biomethane and hydrogen options are several times higher than prices of natural gas in 2019–2020. Significant financial support for decarbonization technologies — from governments and regulators — will therefore be needed in the 2020s, if they are to be available on a large scale in the 2030s and 2040s. If the EU gas community fails to advance convincing decarbonized narratives backed by investments which allow for commercialization of renewable gas and methane decarbonization technologies; and/or governments fail to create the necessary legal/fiscal and regulatory frameworks to support these technologies, then energy markets will progressively move a</w:t>
      </w:r>
    </w:p>
    <w:p>
      <w:pPr/>
      <w:r>
        <w:rPr>
          <w:b/>
        </w:rPr>
        <w:t>POSSIBLE 2019:</w:t>
      </w:r>
      <w:r>
        <w:t xml:space="preserve"> Assessment of IMERG Precipitation Estimates over Europe — https://doi.org/10.3390/rs11212470</w:t>
      </w:r>
    </w:p>
    <w:p>
      <w:pPr/>
      <w:r>
        <w:rPr>
          <w:b/>
        </w:rPr>
        <w:t>Shared claim-specific concepts:</w:t>
      </w:r>
      <w:r>
        <w:t xml:space="preserve"> estimates, there, eastern; EU scope visible. This is a provisional connection, not an outcome finding.</w:t>
      </w:r>
    </w:p>
    <w:p>
      <w:pPr>
        <w:pStyle w:val="SourceNote"/>
      </w:pPr>
      <w:r>
        <w:rPr>
          <w:b/>
        </w:rPr>
        <w:t>Available abstract (not full text):</w:t>
      </w:r>
      <w:r>
        <w:t xml:space="preserve">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pPr/>
      <w:r>
        <w:rPr>
          <w:b/>
        </w:rPr>
        <w:t>POSSIBLE 2019:</w:t>
      </w:r>
      <w:r>
        <w:t xml:space="preserve"> Trends and Risks in the Natural Gas Supply of the Republic of Moldova — https://doi.org/10.5281/zenodo.3242740</w:t>
      </w:r>
    </w:p>
    <w:p>
      <w:pPr/>
      <w:r>
        <w:rPr>
          <w:b/>
        </w:rPr>
        <w:t>Shared claim-specific concepts:</w:t>
      </w:r>
      <w:r>
        <w:t xml:space="preserve"> need, import, gas, about; EU scope visible. This is a provisional connection, not an outcome finding.</w:t>
      </w:r>
    </w:p>
    <w:p>
      <w:pPr>
        <w:pStyle w:val="SourceNote"/>
      </w:pPr>
      <w:r>
        <w:rPr>
          <w:b/>
        </w:rPr>
        <w:t>Available abstract (not full text):</w:t>
      </w:r>
      <w:r>
        <w:t xml:space="preserve"> Sustainable economic development is also determined by the availability of primary energy supply. Geographical incoherence of energy production and consumption areas leads to new challenges in providing consumers with energy. The purpose of this work is to analyze and assess trends and problems related to the provision of energy resources, mainly of the natural gas for Republic of Moldova in the context of new challenges in the natural gas market and rhe changes in their transport infrastructure. The investigative methodology is based on the analysis of time series of production, consumption and import of energy resources at global and regional level in 1990-2017. It is proposed to using the linear approximation functions. The coefficients and the its signs of these functions ("plus" or "minus") and the value of and the determination coefficient are used for the quantitative analysis of the production, consumption and import trends of primary energy and natural gas. Europe and Asia ensure their energy balance by massive energy imports. The Southeast European region, including the Republic of Moldova, imports large sums of primary energy resources. The need to import natural gas in the Romania-Moldova-Ukraine sub-zone is currently estimated at about 12 million tons of oil equivalent. The new energy corridors for the transportation of natural gas will lead to new challenges regar</w:t>
      </w:r>
    </w:p>
    <w:p>
      <w:pPr>
        <w:pStyle w:val="Heading2"/>
      </w:pPr>
      <w:r>
        <w:t>968.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foresight, projects, used, companies, together, specific;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Climate change adaptation measures in the context of health promotion using participatory foresight — https://doi.org/10.1093/eurpub/ckae144.477</w:t>
      </w:r>
    </w:p>
    <w:p>
      <w:pPr/>
      <w:r>
        <w:rPr>
          <w:b/>
        </w:rPr>
        <w:t>Shared claim-specific concepts:</w:t>
      </w:r>
      <w:r>
        <w:t xml:space="preserve"> foresight, across, process, regional; EU scope visible. This is a provisional connection, not an outcome finding.</w:t>
      </w:r>
    </w:p>
    <w:p>
      <w:pPr>
        <w:pStyle w:val="SourceNote"/>
      </w:pPr>
      <w:r>
        <w:rPr>
          <w:b/>
        </w:rPr>
        <w:t>Available abstract (not full text):</w:t>
      </w:r>
      <w:r>
        <w:t xml:space="preserve"> Abstract Issue/problem Climate change is regarded as a big threat to human health (WHO 2023), requiring action to prepare our health systems. Using participatory foresight approach has the potential to increase capacities of communities and to sustain future health. The process is easily transferable to other regions or countries across Europe. The work is part of the Austrian “Climate-Resilience-Check Health for regions and municipalities”. Description of the problem We present an innovative qualitative method to contribute to a climate change and health vulnerability and adaptation assessment following WHO’s guidelines. Questions answered by the project were: • What measures can be taken to shape the regions’ potential for a health-promoting lifestyle and to increase climate resilience? • Does participatory foresight represent a well-suited method to develop climate adaptation measures which address local needs? Taking place between 10/23 to 12/23, the participatory foresight process consisted of (1) a foresight-workshop facilitating development of adaptation measures through the creation of personas and (2) intervention boards, which gave the broader population the opportunity to vote for measures developed in the workshop. The aim of the approach was to identify measures that receive approval within the population. Results The participatory foresight process highlighted the</w:t>
      </w:r>
    </w:p>
    <w:p>
      <w:pPr/>
      <w:r>
        <w:rPr>
          <w:b/>
        </w:rPr>
        <w:t>POSSIBLE 2024:</w:t>
      </w:r>
      <w:r>
        <w:t xml:space="preserve"> IMPLEMENTATION OF FORESIGHT PROJECTS IN THE STRATEGY OF ECONOMIC DEVELOPMENT ON THE NATIONAL AND REGIONAL LEVELS — https://doi.org/10.31732/2663-2209-2024-75-73-84</w:t>
      </w:r>
    </w:p>
    <w:p>
      <w:pPr/>
      <w:r>
        <w:rPr>
          <w:b/>
        </w:rPr>
        <w:t>Shared claim-specific concepts:</w:t>
      </w:r>
      <w:r>
        <w:t xml:space="preserve"> foresight, projects, regional; EU scope not established. This is a provisional connection, not an outcome finding.</w:t>
      </w:r>
    </w:p>
    <w:p>
      <w:pPr>
        <w:pStyle w:val="SourceNote"/>
      </w:pPr>
      <w:r>
        <w:rPr>
          <w:b/>
        </w:rPr>
        <w:t>Available abstract (not full text):</w:t>
      </w:r>
      <w:r>
        <w:t xml:space="preserve"> Анотація.В статті розглянуто можливості стратегування економічного розвитку країни в умовах невизначеності, спричинених викликами глобального характеру, загрозами суспільних трансформації та особливостями дестабілізації розвитку національної економіки.Метою дослідження є теоретикиметодологічного та концептуальне підґрунтя ідентифікації специфіки форсайту в стратегуванні економічного розвитку на основі компаративного аналізу закордонного досвіду реалізації форсайт-проєктів на національному та регіональному рівнях для визначення перспектив його імплементації в Україні в контексті євроінтеграційних процесів.Предмет авторського дослідження базується на детерміновані таких наукових категорій як економічний розвиток, стратегування, форсайт, дослідження яких доцільно здійснювати в контексті їх взаємозв'язку та взаємозалежності, оскільки вони наразі об'єктивно постають нерозривними.Комплексним інструментарієм проведеного дослідження є система загальнонаукових підходів і методів: монографічний; діалектичний; системний, компаративний аналіз; структурно-функціональний; абстрактно-логічний; узагальнення.Систематизовано теоретико-методологічні основи та сформовано концептуальне підґрунтя ідентифікації специфіки інструментарію форсайту в стратегуванні економічного розвитку держави.Здійснено компаративний аналіз закордонного досвіду реалізації форсайт-проєктів для виявлення стратегічних ініці</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pStyle w:val="Heading2"/>
      </w:pPr>
      <w:r>
        <w:t>969.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2024:</w:t>
      </w:r>
      <w:r>
        <w:t xml:space="preserve"> Project coordination success factors in European Union-funded research, development and innovation projects under the Horizon 2020 and Horizon Europe programmes — https://doi.org/10.1186/s13731-024-00363-x</w:t>
      </w:r>
    </w:p>
    <w:p>
      <w:pPr/>
      <w:r>
        <w:rPr>
          <w:b/>
        </w:rPr>
        <w:t>Shared claim-specific concepts:</w:t>
      </w:r>
      <w:r>
        <w:t xml:space="preserve"> focus, project, further, framework, environment; EU scope visible. This is a provisional connection, not an outcome finding.</w:t>
      </w:r>
    </w:p>
    <w:p>
      <w:pPr>
        <w:pStyle w:val="SourceNote"/>
      </w:pPr>
      <w:r>
        <w:rPr>
          <w:b/>
        </w:rPr>
        <w:t>Available abstract (not full text):</w:t>
      </w:r>
      <w:r>
        <w:t xml:space="preserve"> Abstract Success factors for managing European Union-funded research, development and innovation projects is rather uncharted territory and scarce publications exist, even though considering that the H2020 funding was nearly €80 billion, and Horizon Europe is €95,5 billion. Managing these types of projects has been referred to as ‘managing the unmanageable’, which indicates importance of our study. The aim of this study was to gather input via survey from both project coordinators and partners by assessing factors in five categories of good practices, skills, characteristics and tools of project management, and coordination for successful project implementation. A total of 118 persons replied to the survey who have experience from Horizon 2020 or Horizon Europe funded project(s). Over 80 factors were assessed and rated by the participants. Via standard statistical analysis, a top three lists were created for the different categories from both project partners and coordinators perspectives. A combination of 15 top success factors was formed. Furthermore, to emphasise the practicality of the results, an overarching framework was formed where we propose three prioritised key success factors that research, development, and innovation project management of should focus on. The three key success factors are communication, trust, and collaboration. Communication and trust are further </w:t>
      </w:r>
    </w:p>
    <w:p>
      <w:pPr/>
      <w:r>
        <w:rPr>
          <w:b/>
        </w:rPr>
        <w:t>POSSIBLE 2024:</w:t>
      </w:r>
      <w:r>
        <w:t xml:space="preserve"> The European Union's Approach to Security Through the Lens of IR Paradigms — https://doi.org/10.4335/2024.3.3</w:t>
      </w:r>
    </w:p>
    <w:p>
      <w:pPr/>
      <w:r>
        <w:rPr>
          <w:b/>
        </w:rPr>
        <w:t>Shared claim-specific concepts:</w:t>
      </w:r>
      <w:r>
        <w:t xml:space="preserve"> focus, security, framework, environment; EU scope visible. This is a provisional connection, not an outcome finding.</w:t>
      </w:r>
    </w:p>
    <w:p>
      <w:pPr>
        <w:pStyle w:val="SourceNote"/>
      </w:pPr>
      <w:r>
        <w:rPr>
          <w:b/>
        </w:rPr>
        <w:t>Available abstract (not full text):</w:t>
      </w:r>
      <w:r>
        <w:t xml:space="preserve"> The chapter examines the evolution of the EU's understanding of security in the post-Cold War era, which has presented various opportunities and challenges for the EU's position on the global (security) stage. The EU's understanding of security is examined at the institutional, policy, and normative levels, with a particular focus on the main security innovations. The analysis is conducted within the framework of main International Relations (IR) paradigms that helps us comprehend the complex and multi-faceted evolution of the EU' approach to security. The EU’s approach reflects strengths but also weaknesses to respond effectively to turbulent and rapidly evolving security environment.</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pStyle w:val="Heading2"/>
      </w:pPr>
      <w:r>
        <w:t>970.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2024:</w:t>
      </w:r>
      <w:r>
        <w:t xml:space="preserve"> Studies of Colletotrichum species causing cowpea anthracnose in Nigeria reveal two first-time reports globally — https://doi.org/10.1007/s42161-024-01804-y</w:t>
      </w:r>
    </w:p>
    <w:p>
      <w:pPr/>
      <w:r>
        <w:rPr>
          <w:b/>
        </w:rPr>
        <w:t>Shared claim-specific concepts:</w:t>
      </w:r>
      <w:r>
        <w:t xml:space="preserve"> reveal, first, time, species, across; EU scope not established. This is a provisional connection, not an outcome finding.</w:t>
      </w:r>
    </w:p>
    <w:p>
      <w:pPr>
        <w:pStyle w:val="SourceNote"/>
      </w:pPr>
      <w:r>
        <w:rPr>
          <w:b/>
        </w:rPr>
        <w:t>Available abstract (not full text):</w:t>
      </w:r>
      <w:r>
        <w:t xml:space="preserve"> Abstract Cowpea (Vigna unguiculata (L.) Walp.) is an important multipurpose crop in various countries in sub-Saharan Africa. However, cowpea production is affected by cowpea anthracnose disease (CAD). In Nigeria, Colletotrichum lindemuthianum and C. destructivum have been described as causal agents of CAD based on morphological features. Such characterization is unreliable because many similarities among and within Colletotrichum spp. exist. In the current study, Colletotrichum spp. were isolated from leaves showing CAD symptoms collected in farmers’ fields across four states in Nigeria. Isolates were characterized using morphological keys, severity scores in detached leaf assays, and sequencing of the ITS, ACT, GADPH, TUB, ApMat, and CAL genes. Two species, C. chrysophilum and C. siamense, were identified after comparing multigene sequences. Morphological characteristics and disease symptoms were very similar for both species. However, severity scores varied among and within species. Both C. chrysophilum and C. siamense are reported for the first time as causal agents of CAD across the globe. The accurate diagnosis of organisms causing CAD in the studied region will allow developing effective management strategies.</w:t>
      </w:r>
    </w:p>
    <w:p>
      <w:pPr/>
      <w:r>
        <w:rPr>
          <w:b/>
        </w:rPr>
        <w:t>POSSIBLE 2024:</w:t>
      </w:r>
      <w:r>
        <w:t xml:space="preserve"> The impact of our warming climate on global groundwater temperatures — https://doi.org/10.5194/egusphere-egu24-4000</w:t>
      </w:r>
    </w:p>
    <w:p>
      <w:pPr/>
      <w:r>
        <w:rPr>
          <w:b/>
        </w:rPr>
        <w:t>Shared claim-specific concepts:</w:t>
      </w:r>
      <w:r>
        <w:t xml:space="preserve"> first, warming, across, influence; EU scope visible. This is a provisional connection, not an outcome finding.</w:t>
      </w:r>
    </w:p>
    <w:p>
      <w:pPr>
        <w:pStyle w:val="SourceNote"/>
      </w:pPr>
      <w:r>
        <w:rPr>
          <w:b/>
        </w:rPr>
        <w:t>Available abstract (not full text):</w:t>
      </w:r>
      <w:r>
        <w:t xml:space="preserve"> Groundwater, the largest reservoir of unfrozen freshwater on Earth, plays a crucial role in supporting life and ecosystems. Its thermal regimes influence various environmental processes, impacting groundwater-dependent ecosystems, geothermal potential, and groundwater quality. Despite its significance, little is known about how groundwater responds to surface warming across spatial and temporal scales. Here we present a comprehensive analysis of global groundwater temperature patterns, utilizing the latest CMIP6 scenarios.In this study we developed the first global model of groundwater temperature patterns, combining analytical solutions to conductive heat transport with high-resolution maps of ground thermal diffusivity and geothermal gradient. This model, validated with over 8,000 groundwater temperature measurements, allows users to estimate present and future temperature depth profiles globally. Past trends show a median global groundwater temperature increase of 0.3 °C over the last two decades. When simulating projected groundwater temperatures globally, our model reveals an average warming of 2.2°C (SSP 245) to 3.8°C (SSP 585) between 2000 and 2100 at the depth of the water table. Regional variations are substantial due to climate change and water table depth variability, with mountainous regions exhibiting the lowest warming rates. These distinct regional variations emp</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2023:</w:t>
      </w:r>
      <w:r>
        <w:t xml:space="preserve"> First passage time analysis of spatial mutation patterns reveals sub-clonal evolutionary dynamics in colorectal cancer — https://doi.org/10.1371/journal.pcbi.1010952</w:t>
      </w:r>
    </w:p>
    <w:p>
      <w:pPr/>
      <w:r>
        <w:rPr>
          <w:b/>
        </w:rPr>
        <w:t>Shared claim-specific concepts:</w:t>
      </w:r>
      <w:r>
        <w:t xml:space="preserve"> first, time, consistent, across; EU scope not established. This is a provisional connection, not an outcome finding.</w:t>
      </w:r>
    </w:p>
    <w:p>
      <w:pPr>
        <w:pStyle w:val="SourceNote"/>
      </w:pPr>
      <w:r>
        <w:rPr>
          <w:b/>
        </w:rPr>
        <w:t>Available abstract (not full text):</w:t>
      </w:r>
      <w:r>
        <w:t xml:space="preserve"> The signature of early cancer dynamics on the spatial arrangement of tumour cells is poorly understood, and yet could encode information about how sub-clones grew within the expanding tumour. Novel methods of quantifying spatial tumour data at the cellular scale are required to link evolutionary dynamics to the resulting spatial architecture of the tumour. Here, we propose a framework using first passage times of random walks to quantify the complex spatial patterns of tumour cell population mixing. First, using a simple model of cell mixing we demonstrate how first passage time statistics can distinguish between different pattern structures. We then apply our method to simulated patterns of mutated and non-mutated tumour cell population mixing, generated using an agent-based model of expanding tumours, to explore how first passage times reflect mutant cell replicative advantage, time of emergence and strength of cell pushing. Finally, we explore applications to experimentally measured human colorectal cancer, and estimate parameters of early sub-clonal dynamics using our spatial computational model. We infer a wide range of sub-clonal dynamics, with mutant cell division rates varying between 1 and 4 times the rate of non-mutated cells across our sample set. Some mutated sub-clones emerged after as few as 100 non-mutant cell divisions, and others only after 50,000 divisions. Th</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r>
        <w:rPr>
          <w:b/>
        </w:rPr>
        <w:t>POSSIBLE 2022:</w:t>
      </w:r>
      <w:r>
        <w:t xml:space="preserve"> Reflections from graduate student instructors on their first time teaching reveal structural and individual challenges — https://doi.org/10.56230/osotl.44</w:t>
      </w:r>
    </w:p>
    <w:p>
      <w:pPr/>
      <w:r>
        <w:rPr>
          <w:b/>
        </w:rPr>
        <w:t>Shared claim-specific concepts:</w:t>
      </w:r>
      <w:r>
        <w:t xml:space="preserve"> reveal, first, time, consistent; EU scope not established. This is a provisional connection, not an outcome finding.</w:t>
      </w:r>
    </w:p>
    <w:p>
      <w:pPr>
        <w:pStyle w:val="SourceNote"/>
      </w:pPr>
      <w:r>
        <w:rPr>
          <w:b/>
        </w:rPr>
        <w:t>Available abstract (not full text):</w:t>
      </w:r>
      <w:r>
        <w:t xml:space="preserve">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pPr/>
      <w:r>
        <w:rPr>
          <w:b/>
        </w:rPr>
        <w:t>POSSIBLE 2022:</w:t>
      </w:r>
      <w:r>
        <w:t xml:space="preserve"> Impacts of Global Climate Warming on Meteorological and Hydrological Droughts and Their Propagations — https://doi.org/10.1029/2021ef002542</w:t>
      </w:r>
    </w:p>
    <w:p>
      <w:pPr/>
      <w:r>
        <w:rPr>
          <w:b/>
        </w:rPr>
        <w:t>Shared claim-specific concepts:</w:t>
      </w:r>
      <w:r>
        <w:t xml:space="preserve"> first, impacts, warming; EU scope not established. This is a provisional connection, not an outcome finding.</w:t>
      </w:r>
    </w:p>
    <w:p>
      <w:pPr>
        <w:pStyle w:val="SourceNote"/>
      </w:pPr>
      <w:r>
        <w:rPr>
          <w:b/>
        </w:rPr>
        <w:t>Available abstract (not full text):</w:t>
      </w:r>
      <w:r>
        <w:t xml:space="preserve">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pPr/>
      <w:r>
        <w:rPr>
          <w:b/>
        </w:rPr>
        <w:t>POSSIBLE 2022:</w:t>
      </w:r>
      <w:r>
        <w:t xml:space="preserve"> Target‐enrichment sequencing reveals for the first time a well‐resolved phylogeny of the core Bromelioideae (family Bromeliaceae) — https://doi.org/10.1002/tax.12831</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Abstract A phylogenomic analysis of the so far phylogenetically unresolved subfamily Bromelioideae (Bromeliaceae) was performed to infer species relationships as the basis for future taxonomic treatment, stabilization of generic concept, and further analyses of evolution and biogeography of the subfamily. A target‐enrichment approach was chosen, using the Angiosperms353 v.4 kit RNA‐baits and including 86 Bromelioideae species representing previously identified major evolutionary lineages. Phylogenetic analyses were based on 125 target nuclear loci, assembled off‐target plastome as well as mitogenome reads. A Bromelioideae phylogeny with a mostly well‐resolved backbone is provided based on nuclear (194 kbp), plastome (109 kbp), and mitogenome data (34 kbp). For the nuclear markers, a coalescent‐based analysis of single‐locus gene trees was performed as well as a supermatrix analysis of concatenated gene alignments. Nuclear and plastome datasets provide well‐resolved trees, which showed only minor topological incongruences. The mitogenome tree is not sufficiently resolved. A total of 26 well‐supported clades were identified. The genera Aechmea, Canistrum, Hohenbergia, Neoregelia, and Quesnelia were revealed polyphyletic. In core Bromelioideae, Acanthostachys is sister to the remainder. Among the 26 recognized clades, 12 correspond with currently employed taxonomic concepts. Hence</w:t>
      </w:r>
    </w:p>
    <w:p>
      <w:pPr>
        <w:pStyle w:val="Heading2"/>
      </w:pPr>
      <w:r>
        <w:t>971.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pStyle w:val="Heading2"/>
      </w:pPr>
      <w:r>
        <w:t>972.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Income inequality in Europe: Reality, perceptions, and hopes — https://doi.org/10.1016/j.resglo.2023.100118</w:t>
      </w:r>
    </w:p>
    <w:p>
      <w:pPr/>
      <w:r>
        <w:rPr>
          <w:b/>
        </w:rPr>
        <w:t>Shared claim-specific concepts:</w:t>
      </w:r>
      <w:r>
        <w:t xml:space="preserve"> perception, all, policies, perceived; EU scope visible. This is a provisional connection, not an outcome finding.</w:t>
      </w:r>
    </w:p>
    <w:p>
      <w:pPr>
        <w:pStyle w:val="SourceNote"/>
      </w:pPr>
      <w:r>
        <w:rPr>
          <w:b/>
        </w:rPr>
        <w:t>Available abstract (not full text):</w:t>
      </w:r>
      <w:r>
        <w:t xml:space="preserve"> Is actual income inequality accurately translated into people’s perceptions, and what are the genuine hopes of citizens? Our contribution offers insights into how the reality and two subjective dimensions of income inequality, namely perceptions, and desires, interact. Using data from the Eurobarometer, we study the main patterns of different ‘types’ of inequality (measured by S80/S20 ratio) in the regions of the EU Member States. Considering the role of attitudes and beliefs, the residents of the same region are typically found to hold a similar perception of how unequal their society is. Moreover, and somewhat surprisingly, the reality is contrary to people’s perception since low (high) actual income inequality in the region is often reflected in its overestimated (underestimated) perception. We also show that perceived, and desired inequality are distinct metrics as commonly applied determinants of perceptions are rather weakly associated with desired inequality, probably due to the normative nature of the latter. The evidence presented here implies that objective measures of income inequality should be used in conjunction with subjective ones to gain a complete picture of the phenomenon. Our findings may assist policy-makers and other interested stakeholders in designing dedicated policies to counteract inequality in all its forms.</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2022:</w:t>
      </w:r>
      <w:r>
        <w:t xml:space="preserve"> The Ghetto in European Perception: From Cities to Bodies — https://doi.org/10.1162/pajj_a_00601</w:t>
      </w:r>
    </w:p>
    <w:p>
      <w:pPr/>
      <w:r>
        <w:rPr>
          <w:b/>
        </w:rPr>
        <w:t>Shared claim-specific concepts:</w:t>
      </w:r>
      <w:r>
        <w:t xml:space="preserve"> perception, policies, one; EU scope visible. This is a provisional connection, not an outcome finding.</w:t>
      </w:r>
    </w:p>
    <w:p>
      <w:pPr>
        <w:pStyle w:val="SourceNote"/>
      </w:pPr>
      <w:r>
        <w:rPr>
          <w:b/>
        </w:rPr>
        <w:t>Available abstract (not full text):</w:t>
      </w:r>
      <w:r>
        <w:t xml:space="preserve"> Between 2010 and 2015, the political pressure on European countries reached its peak during the so-called "migrant crisis."At that time, migration was already a highly debated issue due to the permanent population flows from Africa and the Middle East, as well as the silent exodus from the East, due to the collapse of communism and the enlargement of the European Union.Yet it became a more pressing matter following the Arab Spring in 2011.Refugees asking for asylum reached their highest numbers since World War II, and new regulatory frameworks among EU member states became a ground for political negotiations.In the meantime, the world witnessed a number of unprecedented tragedies.In October 2013, three hundred and eighty-six people lost their lives on a boat a few miles from the Lampedusa shore.In April 2015, seven hundred shipwrecked victims were counted in the Sicilian Strait.Further, landed migrants came to face new barriers.Following the first attempts at government aid, some were repatriated, most were temporarily confined in camps, while heated discussions revolved about the shared responsibility of Northern countries concerning the distribution of migrants among member states.The sea interventions, containment strategies, and the strengthening of external borders (alongside the emergence of new internal ones) dominated the transnational debate, impacting a number of nati</w:t>
      </w:r>
    </w:p>
    <w:p>
      <w:pPr/>
      <w:r>
        <w:rPr>
          <w:b/>
        </w:rPr>
        <w:t>POSSIBLE 2021:</w:t>
      </w:r>
      <w:r>
        <w:t xml:space="preserve"> Towards peace in Europe: on legal linguistics, prosperity and European identity – the European Reference Language System for the European Union — https://doi.org/10.1515/ijld-2021-2044</w:t>
      </w:r>
    </w:p>
    <w:p>
      <w:pPr/>
      <w:r>
        <w:rPr>
          <w:b/>
        </w:rPr>
        <w:t>Shared claim-specific concepts:</w:t>
      </w:r>
      <w:r>
        <w:t xml:space="preserve"> reference, all, not, way; EU scope visible. This is a provisional connection, not an outcome finding.</w:t>
      </w:r>
    </w:p>
    <w:p>
      <w:pPr>
        <w:pStyle w:val="SourceNote"/>
      </w:pPr>
      <w:r>
        <w:rPr>
          <w:b/>
        </w:rPr>
        <w:t>Available abstract (not full text):</w:t>
      </w:r>
      <w:r>
        <w:t xml:space="preserve">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pPr/>
      <w:r>
        <w:rPr>
          <w:b/>
        </w:rPr>
        <w:t>POSSIBLE 2021:</w:t>
      </w:r>
      <w:r>
        <w:t xml:space="preserve"> Common European Framework of Reference (CEFR): A Review on Teachers’ Perception &amp; Plurilingualism — https://doi.org/10.4236/ce.2021.124051</w:t>
      </w:r>
    </w:p>
    <w:p>
      <w:pPr/>
      <w:r>
        <w:rPr>
          <w:b/>
        </w:rPr>
        <w:t>Shared claim-specific concepts:</w:t>
      </w:r>
      <w:r>
        <w:t xml:space="preserve"> reference, there, perception, second; EU scope visible. This is a provisional connection, not an outcome finding.</w:t>
      </w:r>
    </w:p>
    <w:p>
      <w:pPr>
        <w:pStyle w:val="SourceNote"/>
      </w:pPr>
      <w:r>
        <w:rPr>
          <w:b/>
        </w:rPr>
        <w:t>Available abstract (not full text):</w:t>
      </w:r>
      <w:r>
        <w:t xml:space="preserve">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pPr>
        <w:pStyle w:val="Heading2"/>
      </w:pPr>
      <w:r>
        <w:t>973.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2020:</w:t>
      </w:r>
      <w:r>
        <w:t xml:space="preserve"> Climate Change Adaptation Options for Coastal Communities and Local Governments — https://doi.org/10.3390/cli8010007</w:t>
      </w:r>
    </w:p>
    <w:p>
      <w:pPr/>
      <w:r>
        <w:rPr>
          <w:b/>
        </w:rPr>
        <w:t>Shared claim-specific concepts:</w:t>
      </w:r>
      <w:r>
        <w:t xml:space="preserve"> therefore, likely, adaptation, measures, protect, climate; EU scope not established. This is a provisional connection, not an outcome finding.</w:t>
      </w:r>
    </w:p>
    <w:p>
      <w:pPr>
        <w:pStyle w:val="SourceNote"/>
      </w:pPr>
      <w:r>
        <w:rPr>
          <w:b/>
        </w:rPr>
        <w:t>Available abstract (not full text):</w:t>
      </w:r>
      <w:r>
        <w:t xml:space="preserve"> Extreme weather events and failure to adapt to the likely impacts of climate change are two of the most significant threats to humanity. Therefore, many local communities are preparing adaptation plans. Even so, much of what was done has not been published in the peer-reviewed literature. This means that consideration of adaptation options for local communities is limited. With the objective of assisting in the development of adaptation plans, we present 80 adaptation options suitable for coastal communities that can be applied by local governments. They are a catena of options from defend to co-exist and finally, retreat that progresses as impacts become less manageable. Options are organized according to their capacity to protect local properties and infrastructure, natural systems, food production, availability of fresh and drinking water and well-being of the local population, as these are likely to be affected by climate change. To respond to multiple threats, ‘soft’ options, such as awareness raising, planning, political articulation and financial incentives, insurance and professional skills enhancement, can be encouraged immediately at relatively low cost and are reversible. For specific threats, options emphasize change in management practices as pre-emptive measures. Key audiences for this work are communities and local governments starting to consider priority action</w:t>
      </w:r>
    </w:p>
    <w:p>
      <w:pPr/>
      <w:r>
        <w:rPr>
          <w:b/>
        </w:rPr>
        <w:t>POSSIBLE 2020:</w:t>
      </w:r>
      <w:r>
        <w:t xml:space="preserve"> Adoption by adaptation: moving from Conservation Agriculture to conservation practices — https://doi.org/10.1080/14735903.2020.1785734</w:t>
      </w:r>
    </w:p>
    <w:p>
      <w:pPr/>
      <w:r>
        <w:rPr>
          <w:b/>
        </w:rPr>
        <w:t>Shared claim-specific concepts:</w:t>
      </w:r>
      <w:r>
        <w:t xml:space="preserve"> therefore, adaptation, trade-offs, soils, conditions; EU scope not established. This is a provisional connection, not an outcome finding.</w:t>
      </w:r>
    </w:p>
    <w:p>
      <w:pPr>
        <w:pStyle w:val="SourceNote"/>
      </w:pPr>
      <w:r>
        <w:rPr>
          <w:b/>
        </w:rPr>
        <w:t>Available abstract (not full text):</w:t>
      </w:r>
      <w:r>
        <w:t xml:space="preserve"> Conservation Agriculture (CA) is a Sustainable Agricultural Intensification strategy based on minimum soil disturbance, permanent soil coverage by living or dead biomass, and diversification of crop rotations. We reviewed the literature on benefits, trade-offs, adoption and adaptation of CA in sub-Saharan Africa (SSA). While CA can improve soils and sustain crop yields, benefits are inconsistent and there are trade-offs with crop residue use, weeds and insect pests, labour demands and short-term yield penalties. Adoption rates by smallholders in sub-Saharan Africa are generally low. We hypothesize that underlying adoption constraints are 1) the magnitude of transformation of management practices required from farmers moving to CA, 2) the multiple inherent trade-offs associated with CA practices and 3) the incompatibility of CA practices to local conditions. We suggest CA adoption in SSA could be improved by focusing the promotion of CA to environments where it best fits, or by facilitating smallholders’ adaptation of the practices of CA to respond to their conditions and constraints. We, therefore, propose to move from Conservation Agriculture to Conservation Practices by: (A) identifying and overcoming locally important CA trade-offs through adaptations and complementary practices, and (B) finding farm-specific optimal combinations of practices in terms of feasibility and bene</w:t>
      </w:r>
    </w:p>
    <w:p>
      <w:pPr/>
      <w:r>
        <w:rPr>
          <w:b/>
        </w:rPr>
        <w:t>POSSIBLE 2020:</w:t>
      </w:r>
      <w:r>
        <w:t xml:space="preserve"> Major Climate risks and Adaptation Strategies of Smallholder Farmers in Coastal Bangladesh — https://doi.org/10.1007/s00267-020-01291-8</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Rural households in South Asia's coastal deltas face numerous livelihood challenges, including risks posed by climatic variability and extreme weather events. This study examines major climate risks, farmers' adaptation strategies, and the factors affecting the choice of those strategies using data collected from 630 households in southwestern coastal Bangladesh. Farmers identified cyclones, excessive rain and flooding, and salinity as direct climate risks. Increased crop diseases/pests and livestock diseases were perceived as indirect risks resulting from climatic variability. Farmers used multiple adaptation strategies against those risks such as modifications in farm management, use of savings and borrowing funds from family and neighbors, and periodically reducing household food consumption. Off-farm employment and seeking assistance from governmental as well as non-governmental organizations (NGOs) were also common adaptation strategies. The results show that male-headed households are more likely to change farming practices and reduce consumption compared with female-headed households that conversely tended to take assistance from NGOs as an adaptation strategy. Ownership of land and livestock, as well as farmers' prior exposure to climate change and educational training, also had a significant effect on the choice of adaptation strategy. Therefore, development interventi</w:t>
      </w:r>
    </w:p>
    <w:p>
      <w:pPr/>
      <w:r>
        <w:rPr>
          <w:b/>
        </w:rPr>
        <w:t>POSSIBLE 2020:</w:t>
      </w:r>
      <w:r>
        <w:t xml:space="preserve"> Warming-level dependent adaptation requirements and consequent limits to adaptation — https://doi.org/10.5194/egusphere-egu2020-10527</w:t>
      </w:r>
    </w:p>
    <w:p>
      <w:pPr/>
      <w:r>
        <w:rPr>
          <w:b/>
        </w:rPr>
        <w:t>Shared claim-specific concepts:</w:t>
      </w:r>
      <w:r>
        <w:t xml:space="preserve"> therefore, likely, adaptation, measures, implemented, conditions; EU scope not established. This is a provisional connection, not an outcome finding.</w:t>
      </w:r>
    </w:p>
    <w:p>
      <w:pPr>
        <w:pStyle w:val="SourceNote"/>
      </w:pPr>
      <w:r>
        <w:rPr>
          <w:b/>
        </w:rPr>
        <w:t>Available abstract (not full text):</w:t>
      </w:r>
      <w:r>
        <w:t xml:space="preserve"> The level of detail to understand the impacts associated with different levels of global temperature increase across space and time is increasing with and since the publication of the IPCC Special Report on Global Warming of 1.5°C (SR1.5). However, current adaptation assessments are limited in picking up this information to understand what the implications of different impact pathways are for adaptation. Yet, the intensity, frequency and timing of impacts are critical determinants of the feasibility of different adaptation options and their associated costs. There is increasing awareness that limits to adaptation are likely to be approached or crossed with higher levels of warming, however differential analyses of adaptation needs as a consequence of different warming pathways are so far limited. While case study based assessment of warming- and scenario-depend adaptation responses are emerging, so far an aggregated regional to global assessment is lacking. Adaptation is often seen as a process that can draw on existing approaches that have been successfully implemented elsewhere, assuming that a linear increase of impacts would allow impacted regions to scale existing approaches to deal with hazards. However, climate impacts are unlikely to increase in a linear fashion across space and time and we are likely to enter new regimes of impacts in terms of intensity and frequency, </w:t>
      </w:r>
    </w:p>
    <w:p>
      <w:pPr>
        <w:pStyle w:val="Heading2"/>
      </w:pPr>
      <w:r>
        <w:t>974.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A Hermeneutic Exercise of the Convergence between National Features and the Modernity of the European Spirit — https://doi.org/10.54481/intertext.2021.1.02</w:t>
      </w:r>
    </w:p>
    <w:p>
      <w:pPr/>
      <w:r>
        <w:rPr>
          <w:b/>
        </w:rPr>
        <w:t>Shared claim-specific concepts:</w:t>
      </w:r>
      <w:r>
        <w:t xml:space="preserve"> however, exercise, carried, out, present; EU scope visible. This is a provisional connection, not an outcome finding.</w:t>
      </w:r>
    </w:p>
    <w:p>
      <w:pPr>
        <w:pStyle w:val="SourceNote"/>
      </w:pPr>
      <w:r>
        <w:rPr>
          <w:b/>
        </w:rPr>
        <w:t>Available abstract (not full text):</w:t>
      </w:r>
      <w:r>
        <w:t xml:space="preserve"> However ungrateful the situation of Romanian writers who express themselves by means of a language with a limited circulation – the Romanian language – may remain, quite a few of them are European writers. This is reflected in the role they play in their national literature, the modern contents and artistic expressivity of their works and, last but not least, their commitment to the active conscience of human community. The present article is aimed at undertaking a hermeneutical exercise of a centuries-old, fruitful history of cultural and literary Franco-Romanian relations from the beginning until the second half of the 19th century. We will mainly address the topic of Vasile Alecsandri and his generation, who struggled with all responsibility for the development of these relations. This study proves how the Romanian writer, truly European by character, knew that the convergence between national specificity and the modernity of the European spirit is the basis for literary success, the longevity of his works and the cultural relations between his nation and France. Literature has always meant a value of human equilibrium, civilization and humanization. Taking into account all that has been mentioned above, we believe that dwelling at some length upon the exemplary demonstration of the Romanian Europeanism carried out by Vasile Alecsandri in his human and artistic essence, cann</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important, present, especially, used;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Reasons Why Older Adults Engage in Physical Exercise. Comparative Study Eastern Europe Versus Southern Europe — https://doi.org/10.1123/japa.2019-0450</w:t>
      </w:r>
    </w:p>
    <w:p>
      <w:pPr/>
      <w:r>
        <w:rPr>
          <w:b/>
        </w:rPr>
        <w:t>Shared claim-specific concepts:</w:t>
      </w:r>
      <w:r>
        <w:t xml:space="preserve"> exercise, carried, out; EU scope visible. This is a provisional connection, not an outcome finding.</w:t>
      </w:r>
    </w:p>
    <w:p>
      <w:pPr>
        <w:pStyle w:val="SourceNote"/>
      </w:pPr>
      <w:r>
        <w:rPr>
          <w:b/>
        </w:rPr>
        <w:t>Available abstract (not full text):</w:t>
      </w:r>
      <w:r>
        <w:t xml:space="preserve"> INTRODUCTION: Research on variables that encourage older adults to exercise is limited. This study was carried out to identify the participation motives of older Europeans involved in regular exercise. METHODS: The 418 (170 men, 248 women) who participated in the survey are participants of the Erasmus Plus European Project In Common Sports. The participants were divided into two groups. Italy, Portugal, and Spain formed the Southern Europe group, and Bulgaria and Hungary the Eastern European group. All participants completed the Participation Motivation Questionnaire: Older Adults. RESULTS: The most highly reported motives for participation were to have fun, stay in shape, keep healthy, and an enjoyment of exercise. Principal-components analysis of the questionnaire revealed six factors: social, fitness, recognition, challenge/benefits, medical, and involvement. CONCLUSIONS: The reasons why the residents of Southern European practice exercise are more related to medical reasons, while for Eastern Europe these reasons are more related to recognition.</w:t>
      </w:r>
    </w:p>
    <w:p>
      <w:pPr/>
      <w:r>
        <w:rPr>
          <w:b/>
        </w:rPr>
        <w:t>POSSIBLE 2019:</w:t>
      </w:r>
      <w:r>
        <w:t xml:space="preserve"> Social enterprises and their ecosystems in Europe — https://doi.org/10.2767/330252</w:t>
      </w:r>
    </w:p>
    <w:p>
      <w:pPr/>
      <w:r>
        <w:rPr>
          <w:b/>
        </w:rPr>
        <w:t>Shared claim-specific concepts:</w:t>
      </w:r>
      <w:r>
        <w:t xml:space="preserve"> however, way, present; EU scope visible. This is a provisional connection, not an outcome finding.</w:t>
      </w:r>
    </w:p>
    <w:p>
      <w:pPr>
        <w:pStyle w:val="SourceNote"/>
      </w:pPr>
      <w:r>
        <w:rPr>
          <w:b/>
        </w:rPr>
        <w:t>Available abstract (not full text):</w:t>
      </w:r>
      <w:r>
        <w:t xml:space="preserve">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pPr/>
      <w:r>
        <w:rPr>
          <w:b/>
        </w:rPr>
        <w:t>POSSIBLE 2019:</w:t>
      </w:r>
      <w:r>
        <w:t xml:space="preserve"> Social Innovation in Community Energy in Europe: A Review of the Evidence — https://doi.org/10.3389/fenrg.2019.00031</w:t>
      </w:r>
    </w:p>
    <w:p>
      <w:pPr/>
      <w:r>
        <w:rPr>
          <w:b/>
        </w:rPr>
        <w:t>Shared claim-specific concepts:</w:t>
      </w:r>
      <w:r>
        <w:t xml:space="preserve"> important, however, out; EU scope visible. This is a provisional connection, not an outcome finding.</w:t>
      </w:r>
    </w:p>
    <w:p>
      <w:pPr>
        <w:pStyle w:val="SourceNote"/>
      </w:pPr>
      <w:r>
        <w:rPr>
          <w:b/>
        </w:rPr>
        <w:t>Available abstract (not full text):</w:t>
      </w:r>
      <w:r>
        <w:t xml:space="preserve">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pStyle w:val="Heading2"/>
      </w:pPr>
      <w:r>
        <w:t>975.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2023:</w:t>
      </w:r>
      <w:r>
        <w:t xml:space="preserve"> Hybrid Deep Learning and S2S Model for Improved Sub-Seasonal Surface and Root-Zone Soil Moisture Forecasting — https://doi.org/10.3390/rs15133410</w:t>
      </w:r>
    </w:p>
    <w:p>
      <w:pPr/>
      <w:r>
        <w:rPr>
          <w:b/>
        </w:rPr>
        <w:t>Shared claim-specific concepts:</w:t>
      </w:r>
      <w:r>
        <w:t xml:space="preserve"> vegetation, forest, areas; EU scope visible. This is a provisional connection, not an outcome finding.</w:t>
      </w:r>
    </w:p>
    <w:p>
      <w:pPr>
        <w:pStyle w:val="SourceNote"/>
      </w:pPr>
      <w:r>
        <w:rPr>
          <w:b/>
        </w:rPr>
        <w:t>Available abstract (not full text):</w:t>
      </w:r>
      <w:r>
        <w:t xml:space="preserve"> Surface soil moisture (SSM) and root-zone soil moisture (RZSM) are key hydrological variables for the agricultural water cycle and vegetation growth. Accurate SSM and RZSM forecasting at sub-seasonal scales would be valuable for agricultural water management and preparations. Currently, weather model-based soil moisture predictions are subject to large uncertainties due to inaccurate initial conditions and empirical parameterization schemes, while the data-driven machine learning methods have limitations in modeling long-term temporal dependences of SSM and RZSM because of the lack of considerations in the soil water process. Thus, here, we innovatively integrate the model-based soil moisture predictions from a sub-seasonal-to-seasonal (S2S) model into a data-driven stacked deep learning model to construct a hybrid SSM and RZSM forecasting framework. The hybrid forecasting model is evaluated over the Yangtze River Basin and parts of Europe from 1- to 46-day lead times and is compared with four baseline methods, including the support vector regression (SVR), random forest (RF), convolutional long short-term memory (ConvLSTM) and the S2S model. The results indicate substantial skill improvements in the hybrid model relative to baseline models over the two study areas spatiotemporally, in terms of the correlation coefficient, unbiased root mean square error (ubRMSE) and RMSE. The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pStyle w:val="Heading2"/>
      </w:pPr>
      <w:r>
        <w:t>976.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2025:</w:t>
      </w:r>
      <w:r>
        <w:t xml:space="preserve"> Religion and the economy in Europe — https://doi.org/10.4324/9781003152675-18</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Despite having initially constituted one of the key issues for the founding fathers of sociology, the relations between religion and the economy have been evacuated by the most restrictive approaches to secularization and modernization in Europe. In contrast, this chapter argues that religion keeps on playing a relevant role within economic behavior in the European context. The interactions between religion and the economy have taken on different forms and can be observed at various scales: micro, meso, and macro. The chapter discusses the merits and limits of these approaches in three steps. It first proposes a critical reading of the approaches to the impact of macroeconomics on religion and vice-versa, particularly when they are applied to the European context. The chapter then turns to meso approaches of religion and the economy by focusing on the role played by religious institutions in economic life: religion and entrepreneurship, religion and the social economy, religious institutions and local welfare, and religion and the economics of immigration. The concluding section endeavors to frame a research agenda on religion and economy in contemporary Europe, by focusing on the interactions between individuals, religious institutions, economic (for- and not-for-profit) actors, and the state.</w:t>
      </w:r>
    </w:p>
    <w:p>
      <w:pPr/>
      <w:r>
        <w:rPr>
          <w:b/>
        </w:rPr>
        <w:t>POSSIBLE 2025:</w:t>
      </w:r>
      <w:r>
        <w:t xml:space="preserve"> Assessing the success of a horizon scanning approach in predicting invasive non-native species arrival — https://openalex.org/W7126126521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 2025 The Author(s). Journal of Applied Ecology published by John Wiley &amp; Sons Ltd on behalf of British Ecological Society.Despite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w:t>
      </w:r>
    </w:p>
    <w:p>
      <w:pPr>
        <w:pStyle w:val="Heading2"/>
      </w:pPr>
      <w:r>
        <w:t>977.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The border effect in European air transport — https://doi.org/10.18757/ejtir.2022.22.2.5773</w:t>
      </w:r>
    </w:p>
    <w:p>
      <w:pPr/>
      <w:r>
        <w:rPr>
          <w:b/>
        </w:rPr>
        <w:t>Shared claim-specific concepts:</w:t>
      </w:r>
      <w:r>
        <w:t xml:space="preserve"> air, measures, but; EU scope visible. This is a provisional connection, not an outcome finding.</w:t>
      </w:r>
    </w:p>
    <w:p>
      <w:pPr>
        <w:pStyle w:val="SourceNote"/>
      </w:pPr>
      <w:r>
        <w:rPr>
          <w:b/>
        </w:rPr>
        <w:t>Available abstract (not full text):</w:t>
      </w:r>
      <w:r>
        <w:t xml:space="preserve"> This article deals with the analysis of the border effect in European air transport. The border effect measures how trade or transport flows are diminished when they cross a national border. This topic has attracted a great deal of attention within trade, but it is still little studied within transport. Existing studies have estimated that the border effect diminished air passenger transport flows by a factor of five to six. However, there have been many changes in the European economy and transport since those studies. Our estimate based on a new data set suggested the existence of a border effect in European passenger air traffic flows, albeit with a lower value of around two. A possible reason for the lower value is the growing integration of the European economy and the development of low-cost carriers in Europe between 2000 and 2019. Our econometric analysis also found differences in border effects among European countries. No significant border effect was detected for France, but we did find high and significant effects for Germany, Spain, and Poland. These differences can be attributed to different intensities of intermodal competition on domestic routes.</w:t>
      </w:r>
    </w:p>
    <w:p>
      <w:pPr/>
      <w:r>
        <w:rPr>
          <w:b/>
        </w:rPr>
        <w:t>POSSIBLE 2021:</w:t>
      </w:r>
      <w:r>
        <w:t xml:space="preserve"> COVID-19 and Air Pollution: Measuring Pandemic Impact to Air Quality in Five European Countries — https://doi.org/10.3390/atmos12030290</w:t>
      </w:r>
    </w:p>
    <w:p>
      <w:pPr/>
      <w:r>
        <w:rPr>
          <w:b/>
        </w:rPr>
        <w:t>Shared claim-specific concepts:</w:t>
      </w:r>
      <w:r>
        <w:t xml:space="preserve"> air, pollution, improvement, quality; EU scope visible. This is a provisional connection, not an outcome finding.</w:t>
      </w:r>
    </w:p>
    <w:p>
      <w:pPr>
        <w:pStyle w:val="SourceNote"/>
      </w:pPr>
      <w:r>
        <w:rPr>
          <w:b/>
        </w:rPr>
        <w:t>Available abstract (not full text):</w:t>
      </w:r>
      <w:r>
        <w:t xml:space="preserve">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r>
        <w:rPr>
          <w:b/>
        </w:rPr>
        <w:t>POSSIBLE 2021:</w:t>
      </w:r>
      <w:r>
        <w:t xml:space="preserve"> Premature mortality due to air pollution in European cities: a health impact assessment — https://doi.org/10.1016/s2542-5196(20)30272-2</w:t>
      </w:r>
    </w:p>
    <w:p>
      <w:pPr/>
      <w:r>
        <w:rPr>
          <w:b/>
        </w:rPr>
        <w:t>Shared claim-specific concepts:</w:t>
      </w:r>
      <w:r>
        <w:t xml:space="preserve"> air, pollution, but; EU scope visible. This is a provisional connection, not an outcome finding.</w:t>
      </w:r>
    </w:p>
    <w:p>
      <w:pPr>
        <w:pStyle w:val="SourceNote"/>
      </w:pPr>
      <w:r>
        <w:rPr>
          <w:b/>
        </w:rPr>
        <w:t>Available abstract (not full text):</w:t>
      </w:r>
      <w:r>
        <w:t xml:space="preserve">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pPr/>
      <w:r>
        <w:rPr>
          <w:b/>
        </w:rPr>
        <w:t>POSSIBLE 2021:</w:t>
      </w:r>
      <w:r>
        <w:t xml:space="preserve"> Running in polluted air is a two-edged sword — physical exercise in low air pollution areas is cardioprotective but detrimental for the heart in high air pollution areas — https://doi.org/10.1093/eurheartj/ehab227</w:t>
      </w:r>
    </w:p>
    <w:p>
      <w:pPr/>
      <w:r>
        <w:rPr>
          <w:b/>
        </w:rPr>
        <w:t>Shared claim-specific concepts:</w:t>
      </w:r>
      <w:r>
        <w:t xml:space="preserve"> air, pollution, mitigation, present, both, factors; EU scope visible. This is a provisional connection, not an outcome finding.</w:t>
      </w:r>
    </w:p>
    <w:p>
      <w:pPr>
        <w:pStyle w:val="SourceNote"/>
      </w:pPr>
      <w:r>
        <w:rPr>
          <w:b/>
        </w:rPr>
        <w:t>Available abstract (not full text):</w:t>
      </w:r>
      <w:r>
        <w:t xml:space="preserve"> This editorial refers to ‘Association of the combined effects of air pollution and changes in physical activity with cardiovascular disease in young adults’, by S.R. Kim et al., doi: 10.1093/eurheartj/ehab139. Hypothetical framework of investigations that combine technological innovation in biometric data with personalized exposure information in real-time to study interactive effects of environmental risk factors on cardiovascular endpoints. ABP, ambulant blood pressure monitoring; BC, black carbon; PM, particulate matter. With permission from Münzel et al.18 Hypothetical framework of investigations that combine technological innovation in biometric data with personalized exposure information in real-time to study interactive effects of environmental risk factors on cardiovascular endpoints. ABP, ambulant blood pressure monitoring; BC, black carbon; PM, particulate matter. With permission from Münzel et al.18 In 2015, the Lancet Commission on Pollution and Health concluded that ‘Pollution is the largest environmental cause of disease and premature death in the world today. Diseases caused by pollution were responsible for an estimated 9 million premature deaths in 2015—16% of all deaths worldwide’.1 Also the World Health Organization (WHO) calculates that 12.6 million premature deaths per year are attributable to an unhealthy environment, 8.2 million of which are due to non-co</w:t>
      </w:r>
    </w:p>
    <w:p>
      <w:pPr/>
      <w:r>
        <w:rPr>
          <w:b/>
        </w:rPr>
        <w:t>POSSIBLE 2020:</w:t>
      </w:r>
      <w:r>
        <w:t xml:space="preserve"> Alkaline air: changing perspectives on nitrogen and air pollution in an ammonia-rich world — https://doi.org/10.1098/rsta.2019.0315</w:t>
      </w:r>
    </w:p>
    <w:p>
      <w:pPr/>
      <w:r>
        <w:rPr>
          <w:b/>
        </w:rPr>
        <w:t>Shared claim-specific concepts:</w:t>
      </w:r>
      <w:r>
        <w:t xml:space="preserve"> air, pollution, present, leading, quality; EU scope visible. This is a provisional connection, not an outcome finding.</w:t>
      </w:r>
    </w:p>
    <w:p>
      <w:pPr>
        <w:pStyle w:val="SourceNote"/>
      </w:pPr>
      <w:r>
        <w:rPr>
          <w:b/>
        </w:rPr>
        <w:t>Available abstract (not full text):</w:t>
      </w:r>
      <w:r>
        <w:t xml:space="preserve">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pPr>
        <w:pStyle w:val="Heading2"/>
      </w:pPr>
      <w:r>
        <w:t>978.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r>
        <w:rPr>
          <w:b/>
        </w:rPr>
        <w:t>POSSIBLE 2020:</w:t>
      </w:r>
      <w:r>
        <w:t xml:space="preserve"> The Role of Social Support in Machismo and Acceptance of Violence Among Adolescents in Europe: Lights4Violence Baseline Results — https://doi.org/10.1016/j.jadohealth.2020.09.007</w:t>
      </w:r>
    </w:p>
    <w:p>
      <w:pPr/>
      <w:r>
        <w:rPr>
          <w:b/>
        </w:rPr>
        <w:t>Shared claim-specific concepts:</w:t>
      </w:r>
      <w:r>
        <w:t xml:space="preserve"> baseline, spain, portugal; EU scope visible. This is a provisional connection, not an outcome finding.</w:t>
      </w:r>
    </w:p>
    <w:p>
      <w:pPr>
        <w:pStyle w:val="SourceNote"/>
      </w:pPr>
      <w:r>
        <w:rPr>
          <w:b/>
        </w:rPr>
        <w:t>Available abstract (not full text):</w:t>
      </w:r>
      <w:r>
        <w:t xml:space="preserve">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pPr/>
      <w:r>
        <w:rPr>
          <w:b/>
        </w:rPr>
        <w:t>POSSIBLE 2020:</w:t>
      </w:r>
      <w:r>
        <w:t xml:space="preserve"> Comparing interannual variability in three regional single-model initial-condition large ensembles (SMILEs) over Europe — https://doi.org/10.5194/esd-11-1013-2020</w:t>
      </w:r>
    </w:p>
    <w:p>
      <w:pPr/>
      <w:r>
        <w:rPr>
          <w:b/>
        </w:rPr>
        <w:t>Shared claim-specific concepts:</w:t>
      </w:r>
      <w:r>
        <w:t xml:space="preserve"> comparing, periods, increases, france, climate; EU scope visible. This is a provisional connection, not an outcome finding.</w:t>
      </w:r>
    </w:p>
    <w:p>
      <w:pPr>
        <w:pStyle w:val="SourceNote"/>
      </w:pPr>
      <w:r>
        <w:rPr>
          <w:b/>
        </w:rPr>
        <w:t>Available abstract (not full text):</w:t>
      </w:r>
      <w:r>
        <w:t xml:space="preserve">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pPr/>
      <w:r>
        <w:rPr>
          <w:b/>
        </w:rPr>
        <w:t>POSSIBLE 2020:</w:t>
      </w:r>
      <w:r>
        <w:t xml:space="preserve"> Machine learning for large-scale crop yield forecasting — https://doi.org/10.1016/j.agsy.2020.103016</w:t>
      </w:r>
    </w:p>
    <w:p>
      <w:pPr/>
      <w:r>
        <w:rPr>
          <w:b/>
        </w:rPr>
        <w:t>Shared claim-specific concepts:</w:t>
      </w:r>
      <w:r>
        <w:t xml:space="preserve"> baseline, much, france; EU scope visible. This is a provisional connection, not an outcome finding.</w:t>
      </w:r>
    </w:p>
    <w:p>
      <w:pPr>
        <w:pStyle w:val="SourceNote"/>
      </w:pPr>
      <w:r>
        <w:rPr>
          <w:b/>
        </w:rPr>
        <w:t>Available abstract (not full text):</w:t>
      </w:r>
      <w:r>
        <w:t xml:space="preserve">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pPr/>
      <w:r>
        <w:rPr>
          <w:b/>
        </w:rPr>
        <w:t>POSSIBLE 2020:</w:t>
      </w:r>
      <w:r>
        <w:t xml:space="preserve"> One simulation, different conclusions—the baseline period makes the difference! — https://doi.org/10.1088/1748-9326/aba3d7</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The choice of the baseline period, intentionally chosen or not, as a reference for assessing future changes of any projected variable can play an important role for the resulting statement. In regional climate impact studies, well-established or arbitrarily chosen baselines are often used without being questioned. Here we investigated the effects of different baseline periods on the interpretation of discharge simulations from eight river basins in the period 1960–2099. The simulations were forced by four bias-adjusted and downscaled Global Climate Modelsunder two radiative forcing scenarios (RCP 2.6 and RCP 8.5). To systematically evaluate how far the choice of different baselines impacts the simulation results, we developed a similarity index that compares two time series of projected changes. The results show that 25% of the analyzed simulations are sensitive to the choice of the baseline period under RCP 2.6 and 32% under RCP 8.5. In extreme cases, change signals of two time series show opposite trends. This has serious consequences for key messages drawn from a basin-scale climate impact study. To address this problem, an algorithm was developed to identify flexible baseline periods for each simulation individually, which better represent the statistical properties of a given historical period.</w:t>
      </w:r>
    </w:p>
    <w:p>
      <w:pPr>
        <w:pStyle w:val="Heading2"/>
      </w:pPr>
      <w:r>
        <w:t>979.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2023:</w:t>
      </w:r>
      <w:r>
        <w:t xml:space="preserve"> Examining Student Testing and Debugging Within a Computational Systems Modeling Context — https://doi.org/10.1007/s10956-023-10049-w</w:t>
      </w:r>
    </w:p>
    <w:p>
      <w:pPr/>
      <w:r>
        <w:rPr>
          <w:b/>
        </w:rPr>
        <w:t>Shared claim-specific concepts:</w:t>
      </w:r>
      <w:r>
        <w:t xml:space="preserve"> systems, not; EU scope not established. This is a provisional connection, not an outcome finding.</w:t>
      </w:r>
    </w:p>
    <w:p>
      <w:pPr>
        <w:pStyle w:val="SourceNote"/>
      </w:pPr>
      <w:r>
        <w:rPr>
          <w:b/>
        </w:rPr>
        <w:t>Available abstract (not full text):</w:t>
      </w:r>
      <w:r>
        <w:t xml:space="preserve"> Abstract Interpreting and creating computational systems models is an important goal of science education. One aspect of computational systems modeling that is supported by modeling, systems thinking, and computational thinking literature is “testing, evaluating, and debugging models.” Through testing and debugging, students can identify aspects of their models that either do not match external data or conflict with their conceptual understandings of a phenomenon. This disconnect encourages students to make model revisions, which in turn deepens their conceptual understanding of a phenomenon. Given that many students find testing and debugging challenging, we set out to investigate the various testing and debugging behaviors and behavioral patterns that students use when building and revising computational system models in a supportive learning environment. We designed and implemented a 6-week unit where students constructed and revised a computational systems model of evaporative cooling using SageModeler software. Our results suggest that despite being in a common classroom, the three groups of students in this study all utilized different testing and debugging behavioral patterns. Group 1 focused on using external peer feedback to identify flaws in their model, group 2 used verbal and written discourse to critique their model’s structure and suggest structural changes, and g</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r>
        <w:rPr>
          <w:b/>
        </w:rPr>
        <w:t>POSSIBLE 2022:</w:t>
      </w:r>
      <w:r>
        <w:t xml:space="preserve"> Examining virtual reality as a platform for developing mental models of industrial systems — https://doi.org/10.1111/jcal.12731</w:t>
      </w:r>
    </w:p>
    <w:p>
      <w:pPr/>
      <w:r>
        <w:rPr>
          <w:b/>
        </w:rPr>
        <w:t>Shared claim-specific concepts:</w:t>
      </w:r>
      <w:r>
        <w:t xml:space="preserve"> examines, systems, not, significantly, technology; EU scope not established. This is a provisional connection, not an outcome finding.</w:t>
      </w:r>
    </w:p>
    <w:p>
      <w:pPr>
        <w:pStyle w:val="SourceNote"/>
      </w:pPr>
      <w:r>
        <w:rPr>
          <w:b/>
        </w:rPr>
        <w:t>Available abstract (not full text):</w:t>
      </w:r>
      <w:r>
        <w:t xml:space="preserve">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pPr>
        <w:pStyle w:val="Heading2"/>
      </w:pPr>
      <w:r>
        <w:t>980.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pStyle w:val="Heading2"/>
      </w:pPr>
      <w:r>
        <w:t>981.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2023:</w:t>
      </w:r>
      <w:r>
        <w:t xml:space="preserve"> OVERVIEW OF SCIENTIFIC METHODS AND APPROACHES OF PROJECT MANAGEMENT AND PROJECT COST ESTIMATION — https://doi.org/10.32782/2224-6282/188-24</w:t>
      </w:r>
    </w:p>
    <w:p>
      <w:pPr/>
      <w:r>
        <w:rPr>
          <w:b/>
        </w:rPr>
        <w:t>Shared claim-specific concepts:</w:t>
      </w:r>
      <w:r>
        <w:t xml:space="preserve"> current, methods, activities; EU scope not established. This is a provisional connection, not an outcome finding.</w:t>
      </w:r>
    </w:p>
    <w:p>
      <w:pPr>
        <w:pStyle w:val="SourceNote"/>
      </w:pPr>
      <w:r>
        <w:rPr>
          <w:b/>
        </w:rPr>
        <w:t>Available abstract (not full text):</w:t>
      </w:r>
      <w:r>
        <w:t xml:space="preserve"> The purpose. To carry out a comparative analysis of modern scientific methods and approaches of project management, as well as to consider the peculiarities of the project cost management process. Methods. The research used methods of systematization, generalization, and comparative analysis. The results. The article considers the peculiarities of the application of common project management technologies, namely the PRINCE2 method, the PMBoK guide and the international standard ISO 21500. Their comparative analysis was carried out according to several parameters, and the advantages and disadvantages of each were determined. Considerable research attention is focused on the project cost management process. Its main purpose and importance for achieving success is revealed. Defined the key opportunities provided by the application of scientific methods and approaches to expenditure management, and also identified the complexities involved in this. It is proposed to consider the process of project cost management as a set of four consecutive stages: planning the involvement of project resources, estimating their cost, drawing up a budget and controlling costs. It is noted that such scientific methods and approaches, the use of which will help to effectively manage costs and achieve project success, should be applied at each stage. More detailed attention was paid to the assessment </w:t>
      </w:r>
    </w:p>
    <w:p>
      <w:pPr/>
      <w:r>
        <w:rPr>
          <w:b/>
        </w:rPr>
        <w:t>POSSIBLE 2022:</w:t>
      </w:r>
      <w:r>
        <w:t xml:space="preserve"> EFFECTS OF UTILIZATION OF MONITORING AND EVALUATION RESULTS ON PROJECT PERFORMANCE — https://doi.org/10.46827/ejsss.v7i5.1294</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pPr/>
      <w:r>
        <w:rPr>
          <w:b/>
        </w:rPr>
        <w:t>POSSIBLE 2022:</w:t>
      </w:r>
      <w:r>
        <w:t xml:space="preserve"> System dynamics approach of knowledge transfer from projects to the project-based organization — https://doi.org/10.1108/ijmpb-06-2021-0142</w:t>
      </w:r>
    </w:p>
    <w:p>
      <w:pPr/>
      <w:r>
        <w:rPr>
          <w:b/>
        </w:rPr>
        <w:t>Shared claim-specific concepts:</w:t>
      </w:r>
      <w:r>
        <w:t xml:space="preserve"> projects, conceptual, gap, between; EU scope not established. This is a provisional connection, not an outcome finding.</w:t>
      </w:r>
    </w:p>
    <w:p>
      <w:pPr>
        <w:pStyle w:val="SourceNote"/>
      </w:pPr>
      <w:r>
        <w:rPr>
          <w:b/>
        </w:rPr>
        <w:t>Available abstract (not full text):</w:t>
      </w:r>
      <w:r>
        <w:t xml:space="preserve">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pPr>
        <w:pStyle w:val="Heading2"/>
      </w:pPr>
      <w:r>
        <w:t>982.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r>
        <w:rPr>
          <w:b/>
        </w:rPr>
        <w:t>POSSIBLE 2020:</w:t>
      </w:r>
      <w:r>
        <w:t xml:space="preserve"> Coupling prediction model for long‐term displacements of arch dams based on long short‐term memory network — https://doi.org/10.1002/stc.2548</w:t>
      </w:r>
    </w:p>
    <w:p>
      <w:pPr/>
      <w:r>
        <w:rPr>
          <w:b/>
        </w:rPr>
        <w:t>Shared claim-specific concepts:</w:t>
      </w:r>
      <w:r>
        <w:t xml:space="preserve"> long-term, reduction; EU scope not established. This is a provisional connection, not an outcome finding.</w:t>
      </w:r>
    </w:p>
    <w:p>
      <w:pPr>
        <w:pStyle w:val="SourceNote"/>
      </w:pPr>
      <w:r>
        <w:rPr>
          <w:b/>
        </w:rPr>
        <w:t>Available abstract (not full text):</w:t>
      </w:r>
      <w:r>
        <w:t xml:space="preserve">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pPr/>
      <w:r>
        <w:rPr>
          <w:b/>
        </w:rPr>
        <w:t>POSSIBLE 2020:</w:t>
      </w:r>
      <w:r>
        <w:t xml:space="preserve"> A review on long-term electrical power system modeling with energy storage — https://doi.org/10.1016/j.jclepro.2020.124298</w:t>
      </w:r>
    </w:p>
    <w:p>
      <w:pPr/>
      <w:r>
        <w:rPr>
          <w:b/>
        </w:rPr>
        <w:t>Shared claim-specific concepts:</w:t>
      </w:r>
      <w:r>
        <w:t xml:space="preserve"> provides, framework, long-term, reduction; EU scope not established. This is a provisional connection, not an outcome finding.</w:t>
      </w:r>
    </w:p>
    <w:p>
      <w:pPr>
        <w:pStyle w:val="SourceNote"/>
      </w:pPr>
      <w:r>
        <w:rPr>
          <w:b/>
        </w:rPr>
        <w:t>Available abstract (not full text):</w:t>
      </w:r>
      <w:r>
        <w:t xml:space="preserve"> Driven by the demand for intermittent power generation, Energy Storage (ES) will be widely adopted in future electricity grids to provide flexibility and resilience. Technically, there are two classes of ES for storing low-carbon energy: Generation-Integrated Energy Storage (GIES) and non-GIES. GIES stores energy along with the transformation between the primary energy form (e.g., thermal energy) and electricity. Long-term Electrical Power System Models (LEPSMs) support analysis including decarbonization studies and energy technology assessments. Current LEPSMs are limited in describing the power system with ES (e.g., considering one type of ES and not considering GIES). Consequently, a novel LEPSM is needed, and this paper paves the way towards this goal by bringing together the literature on ES and LEPSMs. This paper provides a state-of-the-art review of LEPSMs and shows that (a) existing models are inadequate to address grids with a high percentage of renewables and ES; and (b) there is a challenge in integrating short-term temporal changes in LEPSMs due to model complexity and computational cost. Finally, this paper proposes a framework for long-term electrical power system modeling considering ES and low-carbon power generation, which we have named the long-term power flow electrical power system framework. The key features of this novel framework are its agent-based model</w:t>
      </w:r>
    </w:p>
    <w:p>
      <w:pPr/>
      <w:r>
        <w:rPr>
          <w:b/>
        </w:rPr>
        <w:t>POSSIBLE 2020:</w:t>
      </w:r>
      <w:r>
        <w:t xml:space="preserve"> Spillover and dynamic effects of energy transition and economic growth on carbon dioxide emissions for the European Union: A dynamic spatial panel model — https://doi.org/10.1002/sd.2144</w:t>
      </w:r>
    </w:p>
    <w:p>
      <w:pPr/>
      <w:r>
        <w:rPr>
          <w:b/>
        </w:rPr>
        <w:t>Shared claim-specific concepts:</w:t>
      </w:r>
      <w:r>
        <w:t xml:space="preserve"> analyzing, co2, reduction; EU scope visible. This is a provisional connection, not an outcome finding.</w:t>
      </w:r>
    </w:p>
    <w:p>
      <w:pPr>
        <w:pStyle w:val="SourceNote"/>
      </w:pPr>
      <w:r>
        <w:rPr>
          <w:b/>
        </w:rPr>
        <w:t>Available abstract (not full text):</w:t>
      </w:r>
      <w:r>
        <w:t xml:space="preserve"> Abstract This paper introduces “spatial effects” and “dynamic effects” to investigate the influences of economic growth and energy transition on cross‐country CO2 emissions movements within the European Union (EU). We apply the fixed‐effects dynamic spatial Durbin error model to empirically gauge the magnitude of the spatial impacts and dynamic impacts for a sample of 26 EU countries throughout 1990–2015. By analyzing the empirical results, we conclude that: (1) Compared with dynamic spatial Durbin error model, the traditional dynamic panel model over‐estimates the parameters because traditional regression methods only capture the direct impacts, and neglect the indirect impacts. (2) A significant positive spatial spillover of CO2 emissions from neighboring countries to the local country is recognized, justifying the use of our spatial model. (3) Economic growth has positive impacts on CO2 emissions, while the spatial effects of economic growth exert negative impacts. Moreover, the total effects of economic growth are positive in both short‐term and long‐term. (4) Although the spatial effects of renewable energy are not significant, renewable energy has negative influences on CO2 emissions. (5) The impacts and spatial effects of natural gas are positive; therefore, its total effects are positive in both short‐run and long‐run. Based on our finding, we provide several policy rec</w:t>
      </w:r>
    </w:p>
    <w:p>
      <w:pPr/>
      <w:r>
        <w:rPr>
          <w:b/>
        </w:rPr>
        <w:t>POSSIBLE 2019:</w:t>
      </w:r>
      <w:r>
        <w:t xml:space="preserve"> Quantitative sovereign default models and the European debt crisis — https://doi.org/10.1016/j.jinteco.2019.01.011</w:t>
      </w:r>
    </w:p>
    <w:p>
      <w:pPr/>
      <w:r>
        <w:rPr>
          <w:b/>
        </w:rPr>
        <w:t>Shared claim-specific concepts:</w:t>
      </w:r>
      <w:r>
        <w:t xml:space="preserve"> quantitative, framework, domestic; EU scope visible. This is a provisional connection, not an outcome finding.</w:t>
      </w:r>
    </w:p>
    <w:p>
      <w:pPr>
        <w:pStyle w:val="SourceNote"/>
      </w:pPr>
      <w:r>
        <w:rPr>
          <w:b/>
        </w:rPr>
        <w:t>Available abstract (not full text):</w:t>
      </w:r>
      <w:r>
        <w:t xml:space="preserve">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pPr/>
      <w:r>
        <w:rPr>
          <w:b/>
        </w:rPr>
        <w:t>POSSIBLE 2019:</w:t>
      </w:r>
      <w:r>
        <w:t xml:space="preserve"> Modeling the low-carbon transition of the European energy system - A quantitative assessment of the stranded assets problem — https://doi.org/10.1016/j.esr.2019.100422</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 this paper, multiple pathways for the European energy system until 2050 are computed, focusing on one of the major challenges of the low-carbon transition: the issue of unused capacities and stranded assets. Three different scenarios are analyzed, utilizing the Global Energy System Model (GENeSYS-MOD) for calculations. A major feature is the introduction of limited foresight and imperfect planning to the multi-sectoral approach of the model. A swift transition towards renewable energy sources is needed in order to ensure the goal of staying below 2 °C is maintained. This leads to the underutilization of current fossil-fueled plant capacities, an effect compounded by the prioritization of short-term goals over long-term targets. In the worst case, capacities with a combined value of up to 200 billion € corresponding to 260 GW total capacity may end up stranded by 2035, with significant shares in the coal and gas sectors. Contrary, in the baseline scenario featuring perfect foresight, this amount can by reduced by as much as 75%. Thus, the need for strong, clear signals from policy makers arises in order to combat the threat of short-sighted planning and investment losses.</w:t>
      </w:r>
    </w:p>
    <w:p>
      <w:pPr>
        <w:pStyle w:val="Heading2"/>
      </w:pPr>
      <w:r>
        <w:t>983.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2025:</w:t>
      </w:r>
      <w:r>
        <w:t xml:space="preserve"> Disinformation as a Tool of Hybrid Action: Security, Political and Strategic Challenges for the European Union — https://doi.org/10.36682/a_2025_1_2</w:t>
      </w:r>
    </w:p>
    <w:p>
      <w:pPr/>
      <w:r>
        <w:rPr>
          <w:b/>
        </w:rPr>
        <w:t>Shared claim-specific concepts:</w:t>
      </w:r>
      <w:r>
        <w:t xml:space="preserve"> qualitative, tool, strategic, main; EU scope visible. This is a provisional connection, not an outcome finding.</w:t>
      </w:r>
    </w:p>
    <w:p>
      <w:pPr>
        <w:pStyle w:val="SourceNote"/>
      </w:pPr>
      <w:r>
        <w:rPr>
          <w:b/>
        </w:rPr>
        <w:t>Available abstract (not full text):</w:t>
      </w:r>
      <w:r>
        <w:t xml:space="preserve">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pPr>
        <w:pStyle w:val="Heading2"/>
      </w:pPr>
      <w:r>
        <w:t>984.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Carbon and Greenhouse Gas Budgets of Europe: Trends, Interannual and Spatial Variability, and Their Drivers — https://doi.org/10.1029/2024gb008141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Abstract In the framework of the RECCAP2 initiative, we present the greenhouse gas (GHG) and carbon (C) budget of Europe. For the decade of the 2010s, we present a bottom‐up (BU) estimate of GHG net‐emissions of 3.9 Pg CO 2 ‐eq. yr −1 (using a global warming potential on a 100 years horizon), which are largely dominated by fossil fuel emissions. In this decade, terrestrial ecosystems acted as a net GHG sink of 0.9 Pg CO 2 ‐eq. yr −1 , dominated by a CO 2 sink that was partially counterbalanced by net emissions of CH 4 and N 2 O. For CH 4 and N 2 O, we find good agreement between BU and top‐down (TD) estimates from atmospheric inversions. However, our BU land CO 2 sink is significantly higher than the TD estimates. We further show that decadal averages of GHG net‐emissions have declined by 1.2 Pg CO 2 ‐eq. yr −1 since the 1990s, mainly due to a reduction in fossil fuel emissions. In addition, based on both data driven BU and TD estimates, we also find that the land CO 2 sink has weakened over the past two decades. A large part of the European CO 2 and C sinks is located in Northern Europe. At the same time, we find a decreasing trend in sink strength in Scandinavia, which can be attributed to an increase in forest management intensity. These are partly offset by increasing CO 2 sinks in parts of Eastern Europe and Northern Spain, attributed in part to land use change. Extensive </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2022:</w:t>
      </w:r>
      <w:r>
        <w:t xml:space="preserve"> The European Context — https://doi.org/10.1093/oso/9780197512067.003.0004</w:t>
      </w:r>
    </w:p>
    <w:p>
      <w:pPr/>
      <w:r>
        <w:rPr>
          <w:b/>
        </w:rPr>
        <w:t>Shared claim-specific concepts:</w:t>
      </w:r>
      <w:r>
        <w:t xml:space="preserve"> similar, trends, likely, increased; EU scope visible. This is a provisional connection, not an outcome finding.</w:t>
      </w:r>
    </w:p>
    <w:p>
      <w:pPr>
        <w:pStyle w:val="SourceNote"/>
      </w:pPr>
      <w:r>
        <w:rPr>
          <w:b/>
        </w:rPr>
        <w:t>Available abstract (not full text):</w:t>
      </w:r>
      <w:r>
        <w:t xml:space="preserve"> Abstract Abstract: To understand the potential future of working longer in America, we compare trends in health and employment in Europe with those in the United States. While health in Europe improved between 2004 and 2018 among older adults (aged 65 to 85), we find the opposite for middle-aged adults (aged 50 to 64). In this respect, Europe is experiencing negative developments similar to those in the United States. In terms of employment, however, Europe is different than the United States. We do not find any sign that employment rates of middle-aged individuals are stagnating or falling. On the contrary, employment has increased steadily since the late 1990s. It is too early to conclude what implications the stalling health trend of the middle-aged cohorts will have for labor force participation among older Europeans in 10 or 15 years. We argue that economic considerations, such as public pension and disability insurance policies, are likely to continue to have a greater influence on rates of early retirement than health.</w:t>
      </w:r>
    </w:p>
    <w:p>
      <w:pPr/>
      <w:r>
        <w:rPr>
          <w:b/>
        </w:rPr>
        <w:t>POSSIBLE 2021:</w:t>
      </w:r>
      <w:r>
        <w:t xml:space="preserve"> Trends in singlehood in young adulthood in Europe — https://doi.org/10.1016/j.alcr.2021.100449</w:t>
      </w:r>
    </w:p>
    <w:p>
      <w:pPr/>
      <w:r>
        <w:rPr>
          <w:b/>
        </w:rPr>
        <w:t>Shared claim-specific concepts:</w:t>
      </w:r>
      <w:r>
        <w:t xml:space="preserve"> trends, increased, over, shifts; EU scope visible. This is a provisional connection, not an outcome finding.</w:t>
      </w:r>
    </w:p>
    <w:p>
      <w:pPr>
        <w:pStyle w:val="SourceNote"/>
      </w:pPr>
      <w:r>
        <w:rPr>
          <w:b/>
        </w:rPr>
        <w:t>Available abstract (not full text):</w:t>
      </w:r>
      <w:r>
        <w:t xml:space="preserve">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pPr/>
      <w:r>
        <w:rPr>
          <w:b/>
        </w:rPr>
        <w:t>POSSIBLE 2021:</w:t>
      </w:r>
      <w:r>
        <w:t xml:space="preserve"> Dealing with trend uncertainty in empirical estimates of European rainfall climate for insurance risk management — https://doi.org/10.1002/met.2008</w:t>
      </w:r>
    </w:p>
    <w:p>
      <w:pPr/>
      <w:r>
        <w:rPr>
          <w:b/>
        </w:rPr>
        <w:t>Shared claim-specific concepts:</w:t>
      </w:r>
      <w:r>
        <w:t xml:space="preserve"> trends, related; EU scope visible. This is a provisional connection, not an outcome finding.</w:t>
      </w:r>
    </w:p>
    <w:p>
      <w:pPr>
        <w:pStyle w:val="SourceNote"/>
      </w:pPr>
      <w:r>
        <w:rPr>
          <w:b/>
        </w:rPr>
        <w:t>Available abstract (not full text):</w:t>
      </w:r>
      <w:r>
        <w:t xml:space="preserve">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pPr>
        <w:pStyle w:val="Heading2"/>
      </w:pPr>
      <w:r>
        <w:t>985.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986.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2024:</w:t>
      </w:r>
      <w:r>
        <w:t xml:space="preserve"> An Integrated Model Based Prediction of Machining Accuracy for Milling Machine — https://doi.org/10.1177/09544062231223898</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The accuracy of machining can be predicted during the design process of CNC machine tools, while the prediction accuracy depends on the prediction model. However, when establishing the prediction model, the coupling effect among the machine tool’s different components is always ignored for modeling efficiency, so this will lead to its reliability cannot be guaranteed. To address this problem, the model reduction theory and the lumped parameter method are used in this study to set the state-space equations of the essential structural parts. Moreover, the electro-mechanical coupling parameter equation of the servo system is transformed into a state-space equation. Then the state-space equations of the components and the servo system are coupled to establish the machine tool dynamic model. Furthermore, a theoretical model of instantaneous undeformed chip thickness is found, and according to the linear relationship between the micro-cutting force and the instantaneous undeformed chip thickness, the instantaneous cutting force model of the cylindrical milling cutter is established. Based on these, the integrated model, which considers the mechanical structure, control system and cutting force, is obtained and further used in Simulink to build the machining accuracy prediction platform, as well as the accuracy of the integrated prediction model is verified. Moreover, the prediction m</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2021:</w:t>
      </w:r>
      <w:r>
        <w:t xml:space="preserve"> Development of an Integrated Flow Stress and Roll Force Models for Plate Rolling of Microalloyed Steel — https://doi.org/10.1002/srin.202100479</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hot deformation behavior of Nb–V–Ti containing high‐strength steel is studied using compression test. Based on the data generated during hot compression tests, a deep neural network (DNN) flow stress model is developed for the experimental microalloyed steel. The predicted flow stress by the DNN model is compared with flow stress predicted by conventional strain‐compensated Arrhenius constitutive equation. Results using the DNN model are found to be superior to the constitutive equation with overall correlation coefficient (R) greater than 99.8%. The accuracy of the developed DNN flow stress model finds to be significantly higher even at higher strain rates. A DNN roll force model is also developed for the plate rolling of the experimental steel. The predicted flow stress from the DNN flow stress model for the given rolling condition is also used as an input to the roll force model. It is found that DNN model is able to predict the roll force accurately by &gt;98.4% as it takes care of various nonlinear process variable which cannot be accounted mathematically. It also validates the accuracy of DNN flow stress model.</w:t>
      </w:r>
    </w:p>
    <w:p>
      <w:pPr/>
      <w:r>
        <w:rPr>
          <w:b/>
        </w:rPr>
        <w:t>POSSIBLE 2020:</w:t>
      </w:r>
      <w:r>
        <w:t xml:space="preserve"> Integrated In Silico Models for the Prediction of No-Observed-(Adverse)-Effect Levels and Lowest-Observed-(Adverse)-Effect Levels in Rats for Sub-chronic Repeated-Dose Toxicity — https://doi.org/10.1021/acs.chemrestox.0c00176</w:t>
      </w:r>
    </w:p>
    <w:p>
      <w:pPr/>
      <w:r>
        <w:rPr>
          <w:b/>
        </w:rPr>
        <w:t>Shared claim-specific concepts:</w:t>
      </w:r>
      <w:r>
        <w:t xml:space="preserve"> integrated, first; EU scope not established. This is a provisional connection, not an outcome finding.</w:t>
      </w:r>
    </w:p>
    <w:p>
      <w:pPr>
        <w:pStyle w:val="SourceNote"/>
      </w:pPr>
      <w:r>
        <w:rPr>
          <w:b/>
        </w:rPr>
        <w:t>Available abstract (not full text):</w:t>
      </w:r>
      <w:r>
        <w:t xml:space="preserve">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pPr>
        <w:pStyle w:val="Heading2"/>
      </w:pPr>
      <w:r>
        <w:t>987.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r>
        <w:rPr>
          <w:b/>
        </w:rPr>
        <w:t>POSSIBLE 2020:</w:t>
      </w:r>
      <w:r>
        <w:t xml:space="preserve"> Agriculture futurist: Don Ort — https://doi.org/10.1093/plphys/kiaa024</w:t>
      </w:r>
    </w:p>
    <w:p>
      <w:pPr/>
      <w:r>
        <w:rPr>
          <w:b/>
        </w:rPr>
        <w:t>Shared claim-specific concepts:</w:t>
      </w:r>
      <w:r>
        <w:t xml:space="preserve"> different, not, but, also, ways, political; EU scope not established. This is a provisional connection, not an outcome finding.</w:t>
      </w:r>
    </w:p>
    <w:p>
      <w:pPr>
        <w:pStyle w:val="SourceNote"/>
      </w:pPr>
      <w:r>
        <w:rPr>
          <w:b/>
        </w:rPr>
        <w:t>Available abstract (not full text):</w:t>
      </w:r>
      <w:r>
        <w:t xml:space="preserve">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pPr/>
      <w:r>
        <w:rPr>
          <w:b/>
        </w:rPr>
        <w:t>POSSIBLE 2020:</w:t>
      </w:r>
      <w:r>
        <w:t xml:space="preserve"> From critical manifesto to transformative genderplay: feminist Futurist and Dadaist strategies countering the misogyny within the historical avant-gardes — https://doi.org/10.21825/documenta.81885</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This article touches upon the problematic reception of the female pioneers of the historical avant-gardes - by contemporaries and art historians - more specifically within the movements of Futurism, Dadaism and Surrealism. What artistic strategies did avant-garde women apply to resist the omnipresent misogyny that was not only trivializing female creation but also sexualizing the female ‘other’? How is the gender binary embedded and challenged within their artistic practice? This article observes firstly, how a critical engagement with the rather masculine format of the manifesto empowered women in dealing with the stereotypical imagery of womanhood at the time. Second, the application of so-called “inferior” media (embroidery, design, dance) and materials (textile, wood, the body) tackled the patriarchal classification of the arts and the subordinate role of women in it. Finally, the live performance of genderplay allowed female artists to articulate the bankruptcy of traditional gender conventions responsible for the problematic reception of many female artists through art history.</w:t>
      </w:r>
    </w:p>
    <w:p>
      <w:pPr>
        <w:pStyle w:val="Heading2"/>
      </w:pPr>
      <w:r>
        <w:t>988.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2019:</w:t>
      </w:r>
      <w:r>
        <w:t xml:space="preserve"> The ‘political’ roles of the European Commission — https://doi.org/10.1080/07036337.2019.1572135</w:t>
      </w:r>
    </w:p>
    <w:p>
      <w:pPr/>
      <w:r>
        <w:rPr>
          <w:b/>
        </w:rPr>
        <w:t>Shared claim-specific concepts:</w:t>
      </w:r>
      <w:r>
        <w:t xml:space="preserve"> different, current, system, commission; EU scope visible. This is a provisional connection, not an outcome finding.</w:t>
      </w:r>
    </w:p>
    <w:p>
      <w:pPr>
        <w:pStyle w:val="SourceNote"/>
      </w:pPr>
      <w:r>
        <w:rPr>
          <w:b/>
        </w:rPr>
        <w:t>Available abstract (not full text):</w:t>
      </w:r>
      <w:r>
        <w:t xml:space="preserve">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pPr/>
      <w:r>
        <w:rPr>
          <w:b/>
        </w:rPr>
        <w:t>POSSIBLE 2019:</w:t>
      </w:r>
      <w:r>
        <w:t xml:space="preserve"> 5th generation district heating and cooling systems: A review of existing cases in Europe — https://doi.org/10.1016/j.rser.2018.12.059</w:t>
      </w:r>
    </w:p>
    <w:p>
      <w:pPr/>
      <w:r>
        <w:rPr>
          <w:b/>
        </w:rPr>
        <w:t>Shared claim-specific concepts:</w:t>
      </w:r>
      <w:r>
        <w:t xml:space="preserve"> different, current, presented; EU scope visible. This is a provisional connection, not an outcome finding.</w:t>
      </w:r>
    </w:p>
    <w:p>
      <w:pPr>
        <w:pStyle w:val="SourceNote"/>
      </w:pPr>
      <w:r>
        <w:rPr>
          <w:b/>
        </w:rPr>
        <w:t>Available abstract (not full text):</w:t>
      </w:r>
      <w:r>
        <w:t xml:space="preserve"> This article investigates 40 thermal networks in operation in Europe that are able to cover both the heating and cooling demands of buildings by means of distributed heat pumps installed at the customer substations. The technology of thermal networks that work at a temperature close to the ground, can strongly contribute to the decarbonisation of the heating and cooling sector and furthermore exploit a multitude of low temperature heat sources. Nevertheless, the nomenclature used in literature shows that misinterpretations could easily result when comparing the different concepts of thermal networks that operate at a temperature level lower than traditional district heating. The scope of this work is to revise the definitions encountered and to introduce an unambiguous definition of Fifth-Generation District Heating and Cooling networks. A drawback-benefit analysis is presented to identify the pros and cons of such technology. The survey on the current networks shows that on average three Fifth-Generation District Heating and Cooling systems per year have entered the heating and cooling market in the last decade. Pioneer countries in such technology are Germany and Switzerland. For some networks, the assessed Linear Heating Power Demand Density results are lower than the feasibility threshold adopted in traditional district heating. High performances and low non-renewable prima</w:t>
      </w:r>
    </w:p>
    <w:p>
      <w:pPr>
        <w:pStyle w:val="Heading2"/>
      </w:pPr>
      <w:r>
        <w:t>989.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2022:</w:t>
      </w:r>
      <w:r>
        <w:t xml:space="preserve"> Abstract P167: Soluble CD14 Level And Incident Diabetes Mellitus Risk: The Reasons For Geographic And Racial Differences In Stroke (REGARDS) Study — https://doi.org/10.1161/circ.145.suppl_1.p167</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Introduction: CD14 is a pattern recognition receptor that plays important roles in the inflammatory response. Circulating soluble CD14 (sCD14) is generated by hepatocyte secretion during the acute phase response and by cleavage from immune cell surfaces, and levels are higher in White than Black individuals. CD14 is implicated in adipose tissue-mediated inflammation and insulin resistance in experimental animal models and in some cross-sectional cohort studies. Prospective studies of sCD14 and incidence of diabetes mellitus (DM) are limited. We evaluated the prospective association of sCD14 with incident DM risk in participants of the REGARDS study. Methods: At the baseline study examination in 2003-07, REGARDS recruited 30,239 Black and White participants aged 45-years and older from across the contiguous U.S. A second in-home visit occurred in 2013-16. sCD14 was measured by ELISA in baseline serum samples among participants of the REGARDS Biomarkers as Mediators of Racial Disparities in Risk Factors (BioMedioR) study, a nested race- and sex-stratified random sample of 4400 participants who completed the first and second REGARDS visits. Poisson regression models estimated risk ratios (RR) of incident DM per 1-SD increment higher sCD14, with tiered adjustment for risk factors. We tested a priori for a sCD14-by-race interaction (p interaction significance threshold &lt;0.10). Resul</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r>
        <w:rPr>
          <w:b/>
        </w:rPr>
        <w:t>POSSIBLE 2021:</w:t>
      </w:r>
      <w:r>
        <w:t xml:space="preserve"> Comparing Human Activity Recognition Models Based on Complexity and Resource Usage — https://doi.org/10.3390/app11188473</w:t>
      </w:r>
    </w:p>
    <w:p>
      <w:pPr/>
      <w:r>
        <w:rPr>
          <w:b/>
        </w:rPr>
        <w:t>Shared claim-specific concepts:</w:t>
      </w:r>
      <w:r>
        <w:t xml:space="preserve"> regards, activity, techniques, performance; EU scope not established. This is a provisional connection, not an outcome finding.</w:t>
      </w:r>
    </w:p>
    <w:p>
      <w:pPr>
        <w:pStyle w:val="SourceNote"/>
      </w:pPr>
      <w:r>
        <w:rPr>
          <w:b/>
        </w:rPr>
        <w:t>Available abstract (not full text):</w:t>
      </w:r>
      <w:r>
        <w:t xml:space="preserve">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pPr>
        <w:pStyle w:val="Heading2"/>
      </w:pPr>
      <w:r>
        <w:t>990.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2021:</w:t>
      </w:r>
      <w:r>
        <w:t xml:space="preserve"> EEG-Based Auditory Attention Detection and Its Possible Future Applications for Passive BCI — https://doi.org/10.3389/fcomp.2021.661178</w:t>
      </w:r>
    </w:p>
    <w:p>
      <w:pPr/>
      <w:r>
        <w:rPr>
          <w:b/>
        </w:rPr>
        <w:t>Shared claim-specific concepts:</w:t>
      </w:r>
      <w:r>
        <w:t xml:space="preserve"> different, possible, based; EU scope not established. This is a provisional connection, not an outcome finding.</w:t>
      </w:r>
    </w:p>
    <w:p>
      <w:pPr>
        <w:pStyle w:val="SourceNote"/>
      </w:pPr>
      <w:r>
        <w:rPr>
          <w:b/>
        </w:rPr>
        <w:t>Available abstract (not full text):</w:t>
      </w:r>
      <w:r>
        <w:t xml:space="preserve">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pPr/>
      <w:r>
        <w:rPr>
          <w:b/>
        </w:rPr>
        <w:t>POSSIBLE 2021:</w:t>
      </w:r>
      <w:r>
        <w:t xml:space="preserve"> Do Different Tracking Tasks Require Different Appearance Models? — https://doi.org/10.48550/arxiv.2107.02156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Tracking objects of interest in a video is one of the most popular and widely applicable problems in computer vision. However, with the years, a Cambrian explosion of use cases and benchmarks has fragmented the problem in a multitude of different experimental setups. As a consequence, the literature has fragmented too, and now novel approaches proposed by the community are usually specialised to fit only one specific setup. To understand to what extent this specialisation is necessary, in this work we present UniTrack, a solution to address five different tasks within the same framework. UniTrack consists of a single and task-agnostic appearance model, which can be learned in a supervised or self-supervised fashion, and multiple ``heads'' that address individual tasks and do not require training. We show how most tracking tasks can be solved within this framework, and that the same appearance model can be successfully used to obtain results that are competitive against specialised methods for most of the tasks considered. The framework also allows us to analyse appearance models obtained with the most recent self-supervised methods, thus extending their evaluation and comparison to a larger variety of important problems.</w:t>
      </w:r>
    </w:p>
    <w:p>
      <w:pPr/>
      <w:r>
        <w:rPr>
          <w:b/>
        </w:rPr>
        <w:t>POSSIBLE 2021:</w:t>
      </w:r>
      <w:r>
        <w:t xml:space="preserve"> A modeling study of different kinds of sessile droplets on the horizontal surface with surface wettability and gravity effects considered — https://doi.org/10.1016/j.enss.2021.11.002</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Droplet phase change is important for energy storage and saving technology. The initial profile of the droplet is extremely important for its vaporization or solidification on a horizontal surface. To understand the effect of liquid physical properties on droplet profile, a theoretical model was developed in this study, based on the Young-Laplace equation with gravity effect specially considered. After the model was experimentally validated by comparing the geometric shape of water droplets, it was further used for predicting droplet shapes of other materials, and thus analyzing the influence of different physical properties, such as temperature, pressure, surface wettability, etc. Results show that the results of this model agree well with the experimental data. The maximum and average deviations are less than 4.5% and 1.5%, respectively. For all kinds of droplets on the fixed surfaces, when the temperature increases, the droplet contact radius increases and height decreases. The droplets of nitrogen and carbon dioxide are more sensitive to temperature than ethanol and ethylene glycol droplets. For 20 μL droplets on the surface of contact angle 150°, when the temperature changes from 273.15 K to 293.15 K, the droplet contact radiuses increase by 30.6% for carbon dioxide, 1.2% for ethanol and 0.67% for ethylene glycol, and the droplet heights decrease by 42.9%, 2.5%, 1.1%, resp</w:t>
      </w:r>
    </w:p>
    <w:p>
      <w:pPr/>
      <w:r>
        <w:rPr>
          <w:b/>
        </w:rPr>
        <w:t>POSSIBLE 2021:</w:t>
      </w:r>
      <w:r>
        <w:t xml:space="preserve"> Frost Resistance of Alkali-Activated Concrete—An Important Pillar of Their Sustainability — https://doi.org/10.3390/su13020473</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Sustainable development of concrete construction requires sustainable materials or sustainable binders. Specifically, alkali-activated materials (AAMs) are an interesting and wide group of materials. They have good strengths and are considered environmentally friendly materials because secondary materials are consumed during the preparation of AAMs. The durability of AAMs is also excellent. One of the most important parts of durability is frost resistance. The frost resistance of alkali-activated materials is usually very good. However, some studies showed opposite properties and poor frost resistance. The reason for this may be a different composition of the activator. The content of alkalis is often considered the main characteristic of alkali-activated materials. However, SiO2 content can play an important role too. This paper discusses the different results for the mechanical properties and frost resistance of different compositions of alkali activators made of sodium water glass with a silicate modulus modified with potassium hydroxide. The role of the activator content and the water-to-cement ratio in this phenomenon is discussed. The results of this article show that the strengths of AAMs are significantly affected by the curing method. Water curing reduced some of the strength of the specimens compared to foil-covered specimens. Frost resistance depends on the method of</w:t>
      </w:r>
    </w:p>
    <w:p>
      <w:pPr/>
      <w:r>
        <w:rPr>
          <w:b/>
        </w:rPr>
        <w:t>POSSIBLE 2021:</w:t>
      </w:r>
      <w:r>
        <w:t xml:space="preserve"> The Most Important Fungal Diseases of Cereals—Problems and Possible Solutions — https://doi.org/10.3390/agronomy11040714</w:t>
      </w:r>
    </w:p>
    <w:p>
      <w:pPr/>
      <w:r>
        <w:rPr>
          <w:b/>
        </w:rPr>
        <w:t>Shared claim-specific concepts:</w:t>
      </w:r>
      <w:r>
        <w:t xml:space="preserve"> important, possible, reviews; EU scope not established. This is a provisional connection, not an outcome finding.</w:t>
      </w:r>
    </w:p>
    <w:p>
      <w:pPr>
        <w:pStyle w:val="SourceNote"/>
      </w:pPr>
      <w:r>
        <w:rPr>
          <w:b/>
        </w:rPr>
        <w:t>Available abstract (not full text):</w:t>
      </w:r>
      <w:r>
        <w:t xml:space="preserve"> The level of cereal yields and the quality of these yields depend, to a large extent, on a crop management system, the genetic potential of a given cultivar, but also on factors that may cause damage to plants or a reduction in yield. Such factors include fungal diseases of cereals, which may cause a reduction in yield by 15–20%, and in extreme cases even by 60%. The main factors determining the occurrence of these pathogens are the weather conditions during the growing season of plants, crop rotation, the previous crop, the soil tillage system, and nitrogen fertilisation. Fungal diseases of cereals limit plant growth and development, as well as reduce grain yield and quality. This paper reviews the literature on fungal diseases of cereals.</w:t>
      </w:r>
    </w:p>
    <w:p>
      <w:pPr/>
      <w:r>
        <w:rPr>
          <w:b/>
        </w:rPr>
        <w:t>POSSIBLE 2020:</w:t>
      </w:r>
      <w:r>
        <w:t xml:space="preserve"> Shoe feature recommendations for different running levels: A Delphi study — https://doi.org/10.1371/journal.pone.0236047</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pPr/>
      <w:r>
        <w:rPr>
          <w:b/>
        </w:rPr>
        <w:t>POSSIBLE 2020:</w:t>
      </w:r>
      <w:r>
        <w:t xml:space="preserve"> WHEN DIFFERENT ELECTIONS HAVE DIFFERENT SALIENCIES FOR VOTERS: MOST IMPORTANT AND CONSIDERATION (EVIDENCE FROM INDONESIAN VOTERS) — https://doi.org/10.18510/hssr.2020.8462</w:t>
      </w:r>
    </w:p>
    <w:p>
      <w:pPr/>
      <w:r>
        <w:rPr>
          <w:b/>
        </w:rPr>
        <w:t>Shared claim-specific concepts:</w:t>
      </w:r>
      <w:r>
        <w:t xml:space="preserve"> important, different, considered, data; EU scope not established. This is a provisional connection, not an outcome finding.</w:t>
      </w:r>
    </w:p>
    <w:p>
      <w:pPr>
        <w:pStyle w:val="SourceNote"/>
      </w:pPr>
      <w:r>
        <w:rPr>
          <w:b/>
        </w:rPr>
        <w:t>Available abstract (not full text):</w:t>
      </w:r>
      <w:r>
        <w:t xml:space="preserve">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pPr>
        <w:pStyle w:val="Heading2"/>
      </w:pPr>
      <w:r>
        <w:t>991.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2018:</w:t>
      </w:r>
      <w:r>
        <w:t xml:space="preserve"> Reforming Kazakhstan — https://doi.org/10.1787/18ba0d60-en</w:t>
      </w:r>
    </w:p>
    <w:p>
      <w:pPr/>
      <w:r>
        <w:rPr>
          <w:b/>
        </w:rPr>
        <w:t>Shared claim-specific concepts:</w:t>
      </w:r>
      <w:r>
        <w:t xml:space="preserve"> reforms, governance; EU scope not established. This is a provisional connection, not an outcome finding.</w:t>
      </w:r>
    </w:p>
    <w:p>
      <w:pPr>
        <w:pStyle w:val="SourceNote"/>
      </w:pPr>
      <w:r>
        <w:rPr>
          <w:b/>
        </w:rPr>
        <w:t>Available abstract (not full text):</w:t>
      </w:r>
      <w:r>
        <w:t xml:space="preserve"> Kazakhstan has in recent years intensified its co-operation with the OECD, most notably with the launch in January 2015 of the OECD Kazakhstan Country Programme, which has encompassed co-operation on almost 20 separate projects in a wide range of policy domains. This volume presents an overview of the work done in the main areas covered by the Country Programme, assessing both progress made and the challenges ahead with respect to public governance, economic reform, green growth and social policy. It also considers the linkages between these various strands of policy, in an effort to derive cross-cutting lessons for the future and to present a more integrated understanding of Kazakhstan’s reforms.</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pStyle w:val="Heading2"/>
      </w:pPr>
      <w:r>
        <w:t>992.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pStyle w:val="Heading2"/>
      </w:pPr>
      <w:r>
        <w:t>993.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2023:</w:t>
      </w:r>
      <w:r>
        <w:t xml:space="preserve"> The Critical in Husserl's Phenomenology: the Levels of Constitution as a Question of Method — https://openalex.org/W7135703715</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Critical in Husserl's Phenomenology: the Levels of Constitution as a Question of Method Considering the contemporary discussion between critical, applied and engaged phenomenology, there seems to be a claim for a critical stand when it comes to considering concrete experience and, moreover, those experiences that have been neglected throughout history. Thus, the present work has the aim to show that this movement is characterized by the need of a critical potential which is already present in Edmund Husserl's work. Moreover, this potential is considered here as a question related to the method, through which we gain access to the underlying structures of experience. Thus, the five levels described are the following: intersubjective community, interpersonal intersubjectivity, active constitution, passive synthesis and hyletic flow. According to this, the focus is set on showing the way in which they are always connected to one another allowing thus to describe the complexity through which experience is articulated. Key Words: Critical phenomenology, phenomenological method, levels of constitution, complexity of experience.</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r>
        <w:rPr>
          <w:b/>
        </w:rPr>
        <w:t>POSSIBLE 2020:</w:t>
      </w:r>
      <w:r>
        <w:t xml:space="preserve"> Critical Care Medicine Review: 1000 Questions and Answers — https://doi.org/10.1213/ane.0000000000005240</w:t>
      </w:r>
    </w:p>
    <w:p>
      <w:pPr/>
      <w:r>
        <w:rPr>
          <w:b/>
        </w:rPr>
        <w:t>Shared claim-specific concepts:</w:t>
      </w:r>
      <w:r>
        <w:t xml:space="preserve"> critical, question, considered, whether; EU scope visible. This is a provisional connection, not an outcome finding.</w:t>
      </w:r>
    </w:p>
    <w:p>
      <w:pPr>
        <w:pStyle w:val="SourceNote"/>
      </w:pPr>
      <w:r>
        <w:rPr>
          <w:b/>
        </w:rPr>
        <w:t>Available abstract (not full text):</w:t>
      </w:r>
      <w:r>
        <w:t xml:space="preserve"> As time passes, most clinicians working in the field of critical care tend to forget how vast their specialty is—especially those working in large university hospitals which have several specialized intensive care units. Critical Care Medicine Review: 1000Questions andAnswers is a lesson in humility—even hardened intensive care unit (ICU) veterans will face questions that will make them sweat and (hopefully) motivate them to refresh their knowledge. The fact that the editors are members of Massachusetts General Hospital and Harvard University School of Medicine faculty is reassuring, as many critical care physicians (author included) have consulted the “Critical Care Handbook of the Massachusetts General Hospital” during training and in clinical practice. The first impression this book leaves (even before opening it) is its sheer size—although it is made in plasticized paperback, it is still pretty heavy, and in the author’s opinion, digital version (which will be covered later in this review) is the recommended method of going through it. As most books of this variety, it is written in question/answer format which is a great way of assessment of one’s knowledge and learning through trial and error. All fields of intensive care medicine have been extensively covered in these 1000 questions which were divided into 123 (!) chapters. On average, there are 8–10 questions per chapte</w:t>
      </w:r>
    </w:p>
    <w:p>
      <w:pPr>
        <w:pStyle w:val="Heading2"/>
      </w:pPr>
      <w:r>
        <w:t>994.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2021:</w:t>
      </w:r>
      <w:r>
        <w:t xml:space="preserve"> Economic costs of invasive alien species across Europe — https://doi.org/10.3897/neobiota.67.58196</w:t>
      </w:r>
    </w:p>
    <w:p>
      <w:pPr/>
      <w:r>
        <w:rPr>
          <w:b/>
        </w:rPr>
        <w:t>Shared claim-specific concepts:</w:t>
      </w:r>
      <w:r>
        <w:t xml:space="preserve"> dependent, between, widely;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Considering Life Cycle Greenhouse Gas Emissions in Power System Expansion Planning for Europe and North Africa Using Multi-Objective Optimization — https://doi.org/10.3390/en14051301</w:t>
      </w:r>
    </w:p>
    <w:p>
      <w:pPr/>
      <w:r>
        <w:rPr>
          <w:b/>
        </w:rPr>
        <w:t>Shared claim-specific concepts:</w:t>
      </w:r>
      <w:r>
        <w:t xml:space="preserve"> expansion, between; EU scope visible. This is a provisional connection, not an outcome finding.</w:t>
      </w:r>
    </w:p>
    <w:p>
      <w:pPr>
        <w:pStyle w:val="SourceNote"/>
      </w:pPr>
      <w:r>
        <w:rPr>
          <w:b/>
        </w:rPr>
        <w:t>Available abstract (not full text):</w:t>
      </w:r>
      <w:r>
        <w:t xml:space="preserve"> We integrate life cycle indicators for various technologies of an energy system model with high spatiotemporal detail and a focus on Europe and North Africa. Using multi-objective optimization, we calculate a pareto front that allows us to assess the trade-offs between system costs and life cycle greenhouse gas (GHG) emissions of future power systems. Furthermore, we perform environmental ex-post assessments of selected solutions using a broad set of life cycle impact categories. In a system with the least life cycle GHG emissions, the costs would increase by ~63%, thereby reducing life cycle GHG emissions by ~82% compared to the cost-optimal solution. Power systems mitigating a substantial part of life cycle GHG emissions with small increases in system costs show a trend towards a deployment of wind onshore, electricity grid and a decline in photovoltaic plants and Li-ion storage. Further reductions are achieved by the deployment of concentrated solar power, wind offshore and nuclear power but lead to considerably higher costs compared to the cost-optimal solution. Power systems that mitigate life cycle GHG emissions also perform better for most impact categories but have higher ionizing radiation, water use and increased fossil fuel demand driven by nuclear power. This study shows that it is crucial to consider upstream GHG emissions in future assessments, as they represent a</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2020:</w:t>
      </w:r>
      <w:r>
        <w:t xml:space="preserve"> A public health approach to health workforce policy development in Europe — https://doi.org/10.1093/eurpub/ckaa123</w:t>
      </w:r>
    </w:p>
    <w:p>
      <w:pPr/>
      <w:r>
        <w:rPr>
          <w:b/>
        </w:rPr>
        <w:t>Shared claim-specific concepts:</w:t>
      </w:r>
      <w:r>
        <w:t xml:space="preserve"> likely, whether, between; EU scope visible. This is a provisional connection, not an outcome finding.</w:t>
      </w:r>
    </w:p>
    <w:p>
      <w:pPr>
        <w:pStyle w:val="SourceNote"/>
      </w:pPr>
      <w:r>
        <w:rPr>
          <w:b/>
        </w:rPr>
        <w:t>Available abstract (not full text):</w:t>
      </w:r>
      <w:r>
        <w:t xml:space="preserve"> Severe acute respiratory syndrome coronavirus 2 (SARS-CoV-2), better known as COVID-19, placed the health workforce at the centre of a dramatic series of events. As is so often the case in such circumstances, hype and sensationalism places a flitting spotlight on issues likely to make the media headlines, e.g. the tragic premature deaths of doctors and nurses caring for COVID-19 patients, the lack of personal protective equipment, or the strong support for ‘healthcare heroes’. Yet, the intensity and brevity of that focus is not well suited to tease out the complexity and chronicity of the challenges facing the health workforce in Europe today. COVID-19 exacerbated and unmasked gaps in health systems in Europe including: a cumulative shortage as a result of cuts to the health sector linked to the pursuit of blanket austerity policies implemented during preceding years; a lack of coordination between primary healthcare, hospitals and long-term care with unclear referral pathways; the primitive and patchy nature of digitalization penetration in health services resulting in digital quick-fix solutions to continue some semblance of care provision for those with chronic disease; depleted public health services unable to effectively surge capacity in a time manner; burnout amongst health workers; a huge dependence on health workers from outside the European region. The physical and me</w:t>
      </w:r>
    </w:p>
    <w:p>
      <w:pPr>
        <w:pStyle w:val="Heading2"/>
      </w:pPr>
      <w:r>
        <w:t>995.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2022:</w:t>
      </w:r>
      <w:r>
        <w:t xml:space="preserve"> A literature review on the impact of digitalisation on management control — https://doi.org/10.1007/s00187-022-00349-4</w:t>
      </w:r>
    </w:p>
    <w:p>
      <w:pPr/>
      <w:r>
        <w:rPr>
          <w:b/>
        </w:rPr>
        <w:t>Shared claim-specific concepts:</w:t>
      </w:r>
      <w:r>
        <w:t xml:space="preserve"> literature, according, leads, negative; EU scope not established. This is a provisional connection, not an outcome finding.</w:t>
      </w:r>
    </w:p>
    <w:p>
      <w:pPr>
        <w:pStyle w:val="SourceNote"/>
      </w:pPr>
      <w:r>
        <w:rPr>
          <w:b/>
        </w:rPr>
        <w:t>Available abstract (not full text):</w:t>
      </w:r>
      <w:r>
        <w:t xml:space="preserve"> Abstract Digitalisation affects management control (MC). It leads to changes in the way MC activities are organised, performed and analysed. Companies of all industries, locations and sizes have to adapt their MC to digital circumstances, starting with the understanding and delimitation of MC tasks, through the modified application of MC instruments and the consideration of behavioural aspects of MC, to the organisation of the MC function within the company. This paper presents a systematic review of the literature according to Tranfield et al. (Br J Manag 14:207–222, 2003), focusing on the impact of digitalisation on MC. A comprehensive overview of scientific literature is provided by reviewing 166 highly rated accounting journals (based on multiple international journal ratings) and analysing 116 articles from January 2000 to August 2022. Based on the MC framework developed by Guenther (J Manag Control 23:269–290, 2013), the identified studies are categorised into the following research dimensions: tasks, instruments, organisation and behavioural aspects. Multiple studies highlight the continuous development of the MC function under the impact of digitalisation, including the extension of MC tasks, the adaptation of existing MC instruments and creation of new MC instruments, positive and negative behavioural aspects of digitalisation on MC and the establishment of new MC orga</w:t>
      </w:r>
    </w:p>
    <w:p>
      <w:pPr/>
      <w:r>
        <w:rPr>
          <w:b/>
        </w:rPr>
        <w:t>POSSIBLE 2022:</w:t>
      </w:r>
      <w:r>
        <w:t xml:space="preserve"> The immunogenetic impact of European colonization in the Americas — https://doi.org/10.3389/fgene.2022.918227</w:t>
      </w:r>
    </w:p>
    <w:p>
      <w:pPr/>
      <w:r>
        <w:rPr>
          <w:b/>
        </w:rPr>
        <w:t>Shared claim-specific concepts:</w:t>
      </w:r>
      <w:r>
        <w:t xml:space="preserve"> population, decline; EU scope visible. This is a provisional connection, not an outcome finding.</w:t>
      </w:r>
    </w:p>
    <w:p>
      <w:pPr>
        <w:pStyle w:val="SourceNote"/>
      </w:pPr>
      <w:r>
        <w:rPr>
          <w:b/>
        </w:rPr>
        <w:t>Available abstract (not full text):</w:t>
      </w:r>
      <w:r>
        <w:t xml:space="preserve"> The introduction of pathogens originating from Eurasia into the Americas during early European contact has been associated with high mortality rates among Indigenous peoples, likely contributing to their historical and precipitous population decline. However, the biological impacts of imported infectious diseases and resulting epidemics, especially in terms of pathogenic effects on the Indigenous immunity, remain poorly understood and highly contentious to this day. Here, we examine multidisciplinary evidence underpinning colonization-related immune genetic change, providing contextualization from anthropological studies, paleomicrobiological evidence of contrasting host-pathogen coevolutionary histories, and the timings of disease emergence. We further summarize current studies examining genetic signals reflecting post-contact Indigenous population bottlenecks, admixture with European and other populations, and the putative effects of natural selection, with a focus on ancient DNA studies and immunity-related findings. Considering current genetic evidence, together with a population genetics theoretical approach, we show that post-contact Indigenous immune adaptation, possibly influenced by selection exerted by introduced pathogens, is highly complex and likely to be affected by multifactorial causes. Disentangling putative adaptive signals from those of genetic drift thus rem</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recent, difficult, according, decline;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pStyle w:val="Heading2"/>
      </w:pPr>
      <w:r>
        <w:t>996.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r>
        <w:rPr>
          <w:b/>
        </w:rPr>
        <w:t>POSSIBLE 2024:</w:t>
      </w:r>
      <w:r>
        <w:t xml:space="preserve"> Rewilding through inappropriate species introduction: The case of European bison in Spain — https://doi.org/10.1111/csp2.13221</w:t>
      </w:r>
    </w:p>
    <w:p>
      <w:pPr/>
      <w:r>
        <w:rPr>
          <w:b/>
        </w:rPr>
        <w:t>Shared claim-specific concepts:</w:t>
      </w:r>
      <w:r>
        <w:t xml:space="preserve"> abstract, species; EU scope visible. This is a provisional connection, not an outcome finding.</w:t>
      </w:r>
    </w:p>
    <w:p>
      <w:pPr>
        <w:pStyle w:val="SourceNote"/>
      </w:pPr>
      <w:r>
        <w:rPr>
          <w:b/>
        </w:rPr>
        <w:t>Available abstract (not full text):</w:t>
      </w:r>
      <w:r>
        <w:t xml:space="preserve"> Abstract Most European rewilding initiatives are based on the recovery of large herbivores, particularly European bison Bison bonasus , aiming at restoring ecosystem processes and increase trophic complexity. The growing support for the release of bison as a wild species, and change its legal status, in Spain, as an ecological analogue of the extinct steppe bison Bison priscus , makes it an excellent example to reflect the limits of a rewilding biogeographically advisable. We discuss if this initiative could be justified from ecological, biogeographical, ethical, and legal reasons. Besides remarkable taxonomic and functional differences between both bison species, the Mediterranean environment, under the present and future climatic scenarios, does not suit the European bison. Furthermore, there is no evidence to support the presumption that the European bison was ever present in the Iberian Peninsula, with legal implications. We expect that our approach will be inspirational for similar assessments on rewilding initiatives globally.</w:t>
      </w:r>
    </w:p>
    <w:p>
      <w:pPr/>
      <w:r>
        <w:rPr>
          <w:b/>
        </w:rPr>
        <w:t>POSSIBLE 2024:</w:t>
      </w:r>
      <w:r>
        <w:t xml:space="preserve"> Monitoring spatiotemporal patterns in the genetic diversity of a European butterfly species — https://doi.org/10.1111/icad.12786</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importance of genetic diversity has been recognised by the Convention on Biological Diversity but attempts at monitoring or improving the genetic diversity of populations have been minimal. Here, we investigate changes over time in the genetic diversity of a wild insect species, Maniola jurtina (Lepidoptera: Nymphalidae) and present a large‐scale investigation into contemporary spatial genetic diversity. Using microsatellite markers, we calculate multiple measures of genetic diversity and divergence for M. jurtina populations over 8 years in the UK and compare these findings with long‐term abundance trends. We also conduct a large‐scale spatial analysis into the genetic diversity and population structuring of M. jurtina across Europe. All UK populations sampled have high levels of gene flow and genetic diversity, with genetic diversity stable over time. Across Europe, we find some population structuring between populations in the UK and the European mainland, suggesting restricted geneflow between the two regions. The monitoring of a wild species' genetic diversity is an achievable aim, and one that could be carried out for many species, particularly Lepidoptera. Future approaches may aim to develop higher resolution genetic markers and cover a wider range of species. The use of abundance data offers additional insight, and we find that concurrent, dedicated geneti</w:t>
      </w:r>
    </w:p>
    <w:p>
      <w:pPr/>
      <w:r>
        <w:rPr>
          <w:b/>
        </w:rPr>
        <w:t>POSSIBLE 2023:</w:t>
      </w:r>
      <w:r>
        <w:t xml:space="preserve"> 6th European Conference on Permafrost: Book of Abstracts — https://doi.org/10.52381/eucop6.abstracts.1</w:t>
      </w:r>
    </w:p>
    <w:p>
      <w:pPr/>
      <w:r>
        <w:rPr>
          <w:b/>
        </w:rPr>
        <w:t>Shared claim-specific concepts:</w:t>
      </w:r>
      <w:r>
        <w:t xml:space="preserve"> climate, conditions; EU scope visible. This is a provisional connection, not an outcome finding.</w:t>
      </w:r>
    </w:p>
    <w:p>
      <w:pPr>
        <w:pStyle w:val="SourceNote"/>
      </w:pPr>
      <w:r>
        <w:rPr>
          <w:b/>
        </w:rPr>
        <w:t>Available abstract (not full text):</w:t>
      </w:r>
      <w:r>
        <w:t xml:space="preserve">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pPr/>
      <w:r>
        <w:rPr>
          <w:b/>
        </w:rPr>
        <w:t>POSSIBLE 2023:</w:t>
      </w:r>
      <w:r>
        <w:t xml:space="preserve"> European Habitats Directive has fostered monitoring but not prevented species declines — https://doi.org/10.1111/conl.12948</w:t>
      </w:r>
    </w:p>
    <w:p>
      <w:pPr/>
      <w:r>
        <w:rPr>
          <w:b/>
        </w:rPr>
        <w:t>Shared claim-specific concepts:</w:t>
      </w:r>
      <w:r>
        <w:t xml:space="preserve"> abstract, species, but; EU scope visible. This is a provisional connection, not an outcome finding.</w:t>
      </w:r>
    </w:p>
    <w:p>
      <w:pPr>
        <w:pStyle w:val="SourceNote"/>
      </w:pPr>
      <w:r>
        <w:rPr>
          <w:b/>
        </w:rPr>
        <w:t>Available abstract (not full text):</w:t>
      </w:r>
      <w:r>
        <w:t xml:space="preserve"> Abstract Strong biodiversity declines have been reported across the European Union, especially in insects, despite conservation policy such as the Habitats Directive that aims to halt biodiversity loss. Using 50 years of observational data, we examined indicators for the goals of the Directive in terms of improving monitoring efforts and occupancy trends of butterfly and dragonfly annex species in a central European region. We quantified annual monitoring effort and used occupancy‐detection models to compare species trends for 18 years before and after legal implementation of the Directive. Monitoring efforts increased after implementation, while occupancy trends both improved and deteriorated. Contrary to its main goal, the European Habitats Directive did not prevent a worsening of all annex species’ occupancy trends in the studied region. While the increased monitoring efforts aid biodiversity assessments, more serious broad‐scale conservation measures are needed to halt biodiversity loss across Europe.</w:t>
      </w:r>
    </w:p>
    <w:p>
      <w:pPr/>
      <w:r>
        <w:rPr>
          <w:b/>
        </w:rPr>
        <w:t>POSSIBLE 2023:</w:t>
      </w:r>
      <w:r>
        <w:t xml:space="preserve"> Diversity of cranial shape in European Woodpecker species (Picidae) — https://doi.org/10.2478/orhu-2023-0007</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woodpecker family (Picidae) includes numerous species that vary in size and plumage colouration, but which share many easily recognisable external features. These birds possess pronounced anatomical adaptions that enable them to exploit arboreal habitats and live in niches that are inaccessible to most other birds. The aim of this study was to increase our knowledge on the relationships between skull shape, habitat preference, pecking abilities and foraging habits of 10 European woodpecker species. A geometric morphometric approach was used to analyse two-dimensional cranial landmarks. We used principal component (PC) analyses on those measurements that may be related to habitat preference and foraging habits. The PCs resulted in descriptions of the relative length and width of the bill, variation in its relative size, orientation of the nostrils variation in the elongation of the neurocranium, the relative size and position of the palatine bone, length of the rostrum , and the thickness of the mandible bone. The analysis showed and confirmed the presence of some cranial elements that are strongly associated with habitat preference, pecking behaviour and excavation abilities.</w:t>
      </w:r>
    </w:p>
    <w:p>
      <w:pPr/>
      <w:r>
        <w:rPr>
          <w:b/>
        </w:rPr>
        <w:t>POSSIBLE 2022:</w:t>
      </w:r>
      <w:r>
        <w:t xml:space="preserve"> Ellenberg‐type indicator values for European vascular plant species — https://doi.org/10.1111/jvs.13168</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pPr/>
      <w:r>
        <w:rPr>
          <w:b/>
        </w:rPr>
        <w:t>POSSIBLE 2022:</w:t>
      </w:r>
      <w:r>
        <w:t xml:space="preserve"> Mechanised Harvesting of Broadleaved Tree Species in Europe — https://doi.org/10.1007/s40725-021-00154-7</w:t>
      </w:r>
    </w:p>
    <w:p>
      <w:pPr/>
      <w:r>
        <w:rPr>
          <w:b/>
        </w:rPr>
        <w:t>Shared claim-specific concepts:</w:t>
      </w:r>
      <w:r>
        <w:t xml:space="preserve"> abstract, aim, species, but, recent; EU scope visible. This is a provisional connection, not an outcome finding.</w:t>
      </w:r>
    </w:p>
    <w:p>
      <w:pPr>
        <w:pStyle w:val="SourceNote"/>
      </w:pPr>
      <w:r>
        <w:rPr>
          <w:b/>
        </w:rPr>
        <w:t>Available abstract (not full text):</w:t>
      </w:r>
      <w:r>
        <w:t xml:space="preserve">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pPr>
        <w:pStyle w:val="Heading2"/>
      </w:pPr>
      <w:r>
        <w:t>997.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r>
        <w:rPr>
          <w:b/>
        </w:rPr>
        <w:t>POSSIBLE 2023:</w:t>
      </w:r>
      <w:r>
        <w:t xml:space="preserve"> Application of the BPM-Kraljic Model to Improve Supply Management in an Agroindustrial MSE — https://doi.org/10.46254/na07.20220457</w:t>
      </w:r>
    </w:p>
    <w:p>
      <w:pPr/>
      <w:r>
        <w:rPr>
          <w:b/>
        </w:rPr>
        <w:t>Shared claim-specific concepts:</w:t>
      </w:r>
      <w:r>
        <w:t xml:space="preserve"> article, bpm, information; EU scope not established. This is a provisional connection, not an outcome finding.</w:t>
      </w:r>
    </w:p>
    <w:p>
      <w:pPr>
        <w:pStyle w:val="SourceNote"/>
      </w:pPr>
      <w:r>
        <w:rPr>
          <w:b/>
        </w:rPr>
        <w:t>Available abstract (not full text):</w:t>
      </w:r>
      <w:r>
        <w:t xml:space="preserve">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pPr>
        <w:pStyle w:val="Heading2"/>
      </w:pPr>
      <w:r>
        <w:t>998.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r>
        <w:rPr>
          <w:b/>
        </w:rPr>
        <w:t>POSSIBLE 2021:</w:t>
      </w:r>
      <w:r>
        <w:t xml:space="preserve"> Modelling Eurasian lynx populations in Western Europe: What prospects for the next 50 years? — https://doi.org/10.1101/2021.10.22.465393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pPr/>
      <w:r>
        <w:rPr>
          <w:b/>
        </w:rPr>
        <w:t>POSSIBLE 2021:</w:t>
      </w:r>
      <w:r>
        <w:t xml:space="preserve"> Extreme wind projections over Europe from the Euro-CORDEX regional climate models — https://doi.org/10.1016/j.wace.2021.100363</w:t>
      </w:r>
    </w:p>
    <w:p>
      <w:pPr/>
      <w:r>
        <w:rPr>
          <w:b/>
        </w:rPr>
        <w:t>Shared claim-specific concepts:</w:t>
      </w:r>
      <w:r>
        <w:t xml:space="preserve"> over, many, increases; EU scope visible. This is a provisional connection, not an outcome finding.</w:t>
      </w:r>
    </w:p>
    <w:p>
      <w:pPr>
        <w:pStyle w:val="SourceNote"/>
      </w:pPr>
      <w:r>
        <w:rPr>
          <w:b/>
        </w:rPr>
        <w:t>Available abstract (not full text):</w:t>
      </w:r>
      <w:r>
        <w:t xml:space="preserve">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pPr>
        <w:pStyle w:val="Heading2"/>
      </w:pPr>
      <w:r>
        <w:t>999.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2024:</w:t>
      </w:r>
      <w:r>
        <w:t xml:space="preserve"> A Methodology to Evaluate GHG Emissions for Large Sports Events — https://doi.org/10.3390/su16041504</w:t>
      </w:r>
    </w:p>
    <w:p>
      <w:pPr/>
      <w:r>
        <w:rPr>
          <w:b/>
        </w:rPr>
        <w:t>Shared claim-specific concepts:</w:t>
      </w:r>
      <w:r>
        <w:t xml:space="preserve"> ghg, emissions, reference, energy; EU scope not established. This is a provisional connection, not an outcome finding.</w:t>
      </w:r>
    </w:p>
    <w:p>
      <w:pPr>
        <w:pStyle w:val="SourceNote"/>
      </w:pPr>
      <w:r>
        <w:rPr>
          <w:b/>
        </w:rPr>
        <w:t>Available abstract (not full text):</w:t>
      </w:r>
      <w:r>
        <w:t xml:space="preserve"> Determining whether a large sports event is sustainable or not is one of the main objectives of the sports industry in the coming years. Indeed, there are several sources of greenhouse gas (GHG) emissions within a sports event that are not directly controlled by the sports companies but are linked to the event itself. The literature does not offer a standardized methodology for calculating the CO2 emissions of sports events, and consequently, there are different approaches. The objective of this article is to provide an updated state-of-the-art on the topic and to propose an innovative methodology for the calculation of Greenhouse Gas emission of a large sport event. The methodology entails the analysis of purchased goods and services, fuel and energy consumption, waste generation, business travel, and the impact of accommodations. Within the analysis, tools are provided to calculate carbon emissions for each category based on easily understandable data and utilizing reference conversion factors. The research presented in this paper may be useful for professionals in the sector in identifying a comprehensive methodology to quantify greenhouse gas (GHG) emissions for a large sports event.</w:t>
      </w:r>
    </w:p>
    <w:p>
      <w:pPr/>
      <w:r>
        <w:rPr>
          <w:b/>
        </w:rPr>
        <w:t>POSSIBLE 2023:</w:t>
      </w:r>
      <w:r>
        <w:t xml:space="preserve"> GHG emissions of semiconductor manufacturing in 2021 — https://openalex.org/W4386614028</w:t>
      </w:r>
    </w:p>
    <w:p>
      <w:pPr/>
      <w:r>
        <w:rPr>
          <w:b/>
        </w:rPr>
        <w:t>Shared claim-specific concepts:</w:t>
      </w:r>
      <w:r>
        <w:t xml:space="preserve"> ghg, emissions, energy, systems; EU scope not established. This is a provisional connection, not an outcome finding.</w:t>
      </w:r>
    </w:p>
    <w:p>
      <w:pPr>
        <w:pStyle w:val="SourceNote"/>
      </w:pPr>
      <w:r>
        <w:rPr>
          <w:b/>
        </w:rPr>
        <w:t>Available abstract (not full text):</w:t>
      </w:r>
      <w:r>
        <w:t xml:space="preserve"> The greenhouse gas (GHG) emissions of semiconductor manufacturing represent an important share of the embodied carbon footprint of electronics systems. Manufacturing emissions are disclosed in the sustainability reports of semiconductor companies. This paper proposes a study of global semiconductor manufacturing carbon emissions, focusing on Scope 1 (direct emissions) and Scope 2 (emissions induced by consuming energy). The fifteen companies on the semiconductor market with highest 2021 revenues are considered, as well as the four main merchant foundries, over the years 2020 and 2021. As a large scale evaluation of carbon impacts, the resulting numbers compile heterogeneous figures and require a comprehensive discussion on the strengths and limitations of the evaluation. Most of the efforts on this paper are thus allocated to this discussion. The 2021 carbon emissions for the semiconductor industry worldwide are estimated at 76.5M tons of CO2 equivalent, breaking down into 30.6M tons CO2e of Scope 1 emissions (direct emissions), and 45.9M tons CO2e of scope 2 emissions (emissions induced by the energy consumption of manufacturing). These numbers do not include the Scope 3 impacts, neither downwards (usage of the products) nor upwards (constructing fabrication facilities, building fabrication machines, extracting raw materials, smelting and refining materials). Between 2020 and </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period;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r>
        <w:rPr>
          <w:b/>
        </w:rPr>
        <w:t>POSSIBLE 2023:</w:t>
      </w:r>
      <w:r>
        <w:t xml:space="preserve"> Quantifying Green House Gas (GHG) Emissions for Small Businesses in the US: Effective Policies to Reduce GHG — https://openalex.org/W7112710684</w:t>
      </w:r>
    </w:p>
    <w:p>
      <w:pPr/>
      <w:r>
        <w:rPr>
          <w:b/>
        </w:rPr>
        <w:t>Shared claim-specific concepts:</w:t>
      </w:r>
      <w:r>
        <w:t xml:space="preserve"> ghg, emissions, energy, systems; EU scope visible. This is a provisional connection, not an outcome finding.</w:t>
      </w:r>
    </w:p>
    <w:p>
      <w:pPr>
        <w:pStyle w:val="SourceNote"/>
      </w:pPr>
      <w:r>
        <w:rPr>
          <w:b/>
        </w:rPr>
        <w:t>Available abstract (not full text):</w:t>
      </w:r>
      <w:r>
        <w:t xml:space="preserve"> Small to medium sized enterprises (SMEs) make up 99% of businesses in the United States (US) and account for almost half of GDP. Collectively, SMEs play a large role in the economy and should play a large role in sustainability as well. SMEs might consume more energy than corporations and have the potential to reduce more greenhouse gases. Even though there has been growing pressure on corporations to reduce greenhouse gas (GHG) emissions, SMEs have not been included in the sustainability conversation, perhaps because it’s been difficult to include them, or due to the perception of their irrelevance. Governments and investors have instead put pressure on corporations, which also have multiple reporting tools, tax breaks and incentives to help urge them to participate. It’s hard for SMEs to engage in sustainability initiatives because they can be costly and require time and human resources. Because few small businesses are engaged in sustainability efforts, there is little information on how they contribute to climate change. This research aimed to quantify GHG emissions from SMEs in the US and evaluate future GHG emissions and reductions based on a variety of scenarios by addressing four main questions: What percentage of GHG emissions can be attributed to SMEs in the US? If every SME incrementally reduced GHG emissions, how much change would be seen? How much GHG can be avoide</w:t>
      </w:r>
    </w:p>
    <w:p>
      <w:pPr/>
      <w:r>
        <w:rPr>
          <w:b/>
        </w:rPr>
        <w:t>POSSIBLE 2022:</w:t>
      </w:r>
      <w:r>
        <w:t xml:space="preserve"> Literature review on policies to mitigate GHG emissions for cement and concrete — https://doi.org/10.1016/j.resconrec.2022.106278</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pPr/>
      <w:r>
        <w:rPr>
          <w:b/>
        </w:rPr>
        <w:t>POSSIBLE 2022:</w:t>
      </w:r>
      <w:r>
        <w:t xml:space="preserve"> The GHGs Evolution of LULUCF Sector at the European Union (EU-27 + UK): Romania Case Study — https://doi.org/10.3390/atmos13101638</w:t>
      </w:r>
    </w:p>
    <w:p>
      <w:pPr/>
      <w:r>
        <w:rPr>
          <w:b/>
        </w:rPr>
        <w:t>Shared claim-specific concepts:</w:t>
      </w:r>
      <w:r>
        <w:t xml:space="preserve"> ghg, emissions, compared, reference, period; EU scope visible. This is a provisional connection, not an outcome finding.</w:t>
      </w:r>
    </w:p>
    <w:p>
      <w:pPr>
        <w:pStyle w:val="SourceNote"/>
      </w:pPr>
      <w:r>
        <w:rPr>
          <w:b/>
        </w:rPr>
        <w:t>Available abstract (not full text):</w:t>
      </w:r>
      <w:r>
        <w:t xml:space="preserve">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pPr>
        <w:pStyle w:val="Heading2"/>
      </w:pPr>
      <w:r>
        <w:t>1000.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2019:</w:t>
      </w:r>
      <w:r>
        <w:t xml:space="preserve"> Future Heat Waves in Different European Capitals Based on Climate Change Indicators — https://doi.org/10.3390/ijerph16203959</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Changes in the frequency and intensity of heat waves have shown substantial negative impacts on public health. At the same time, climate change towards increasing air temperatures throughout Europe will foster such extreme events, leading to the population being more exposed to them and societies becoming more vulnerable. Based on two climate change scenarios (Representative Concentration Pathway 4.5 and 8.5) we analysed the frequency and intensity of heat waves for three capital cities in Europe representing a North-South transect (London, Luxembourg, Rome). We used indices proposed by the Expert Team on Sector-Specific Climate Indices of the World Meteorological Organization to analyze the number of heat waves, the number of days that contribute to heat waves, the length of the longest heat waves, as well as the mean temperature during heat waves. The threshold for the definition of heat waves is calculated based on a reference period of 30 years for each of the three cities, allowing for a direct comparison of the projected changes between the cities. Changes in the projected air temperature between a reference period (1971-2000) and three future periods (2001-2030 near future, 2031-2060 middle future, and 2061-2090 far future) are statistically significant for all three cities and both emission scenarios. Considerable similarities could be identified for the different heat </w:t>
      </w:r>
    </w:p>
    <w:p>
      <w:pPr/>
      <w:r>
        <w:rPr>
          <w:b/>
        </w:rPr>
        <w:t>POSSIBLE 2018:</w:t>
      </w:r>
      <w:r>
        <w:t xml:space="preserve"> Regional inequality in Europe: evidence, theory and policy implications — https://doi.org/10.1093/jeg/lby021</w:t>
      </w:r>
    </w:p>
    <w:p>
      <w:pPr/>
      <w:r>
        <w:rPr>
          <w:b/>
        </w:rPr>
        <w:t>Shared claim-specific concepts:</w:t>
      </w:r>
      <w:r>
        <w:t xml:space="preserve"> different, promote; EU scope visible. This is a provisional connection, not an outcome finding.</w:t>
      </w:r>
    </w:p>
    <w:p>
      <w:pPr>
        <w:pStyle w:val="SourceNote"/>
      </w:pPr>
      <w:r>
        <w:rPr>
          <w:b/>
        </w:rPr>
        <w:t>Available abstract (not full text):</w:t>
      </w:r>
      <w:r>
        <w:t xml:space="preserve">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r>
        <w:rPr>
          <w:b/>
        </w:rPr>
        <w:t>POSSIBLE 2018:</w:t>
      </w:r>
      <w:r>
        <w:t xml:space="preserve"> Pheromone-based monitoring of the European corn borer (Ostrinia nubilalis) in Hungary — https://openalex.org/W2560260331</w:t>
      </w:r>
    </w:p>
    <w:p>
      <w:pPr/>
      <w:r>
        <w:rPr>
          <w:b/>
        </w:rPr>
        <w:t>Shared claim-specific concepts:</w:t>
      </w:r>
      <w:r>
        <w:t xml:space="preserve"> three, different, based, attract; EU scope visible. This is a provisional connection, not an outcome finding.</w:t>
      </w:r>
    </w:p>
    <w:p>
      <w:pPr>
        <w:pStyle w:val="SourceNote"/>
      </w:pPr>
      <w:r>
        <w:rPr>
          <w:b/>
        </w:rPr>
        <w:t>Available abstract (not full text):</w:t>
      </w:r>
      <w:r>
        <w:t xml:space="preserve"> Despite the fact that the pheromone structure and composition of the European corn borer (Ostrinia nubilalis) was identified in the early 1970s, an effective pheromone-based monitoring method of this species has not been established yet in Hungary. The aim of this study was to find an optimal monitoring strategy for this economically important pest using pheromone traps. We compared three trap designs, five ratios and four doses of the earlier identified pheromone components in three different locations in Hungary. In the first year there was no significant difference between the delta and the cone traps as both were able to catch males in sufficient numbers. How- ever, in the second year the cone traps captured significantly more males. In a comparison of the different ratios of the two pheromone components, our results demonstrate that the usage of 97:3 Z:E [97% (Z)11-tetradecenyl acetate and 3% (E)11-tetradecenyl acetate] ratio attracted the highest number of males. Therefore, we suggest that the Z pheromone strain exists in the three monitored regions. In the experiment, where the different doses were compared, there was no significant difference in the number of males caught. In 2015, the flight dynamics of the species showed that males start to fly in the beginning of June and the highest flight peak occurs in mid June. Based on our results we conclude that in Hungary the</w:t>
      </w:r>
    </w:p>
    <w:p>
      <w:pPr>
        <w:pStyle w:val="Heading2"/>
      </w:pPr>
      <w:r>
        <w:t>1001.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2020:</w:t>
      </w:r>
      <w:r>
        <w:t xml:space="preserve"> Minimum Winter Temperature as a Limiting Factor of the Potential Spread of Agrilus planipennis, an Alien Pest of Ash Trees, in Europe — https://doi.org/10.3390/insects11040258</w:t>
      </w:r>
    </w:p>
    <w:p>
      <w:pPr/>
      <w:r>
        <w:rPr>
          <w:b/>
        </w:rPr>
        <w:t>Shared claim-specific concepts:</w:t>
      </w:r>
      <w:r>
        <w:t xml:space="preserve"> all, since, aim; EU scope visible. This is a provisional connection, not an outcome finding.</w:t>
      </w:r>
    </w:p>
    <w:p>
      <w:pPr>
        <w:pStyle w:val="SourceNote"/>
      </w:pPr>
      <w:r>
        <w:rPr>
          <w:b/>
        </w:rPr>
        <w:t>Available abstract (not full text):</w:t>
      </w:r>
      <w:r>
        <w:t xml:space="preserve"> The emerald ash borer, EAB (Agrilus planipennis) is a devastating alien pest of ash trees. It is spreading in European Russia and Ukraine and will appear in other European countries. Our aim was to determine the regions of Europe where the winter temperature drops low enough to prevent A. planipennis establishment. We calculated the minimum daily air temperature from 2003–2019 for each grid square (0.5° × 0.5°) in East Asia, North America and Europe and determined the minimum daily temperature in the grid squares where A. planipennis was recorded. Temperatures of −30 to −33 °C occur in the northern portions of the pest range on all continents. No established population has been recorded in localities where temperatures below −34 °C occur. This temperature is close to the absolute supercooling point of A. planipennis larva (−35.3 °C). It is unlikely that low temperatures could prevent the spread of A. planipennis in northern Western Europe (Sweden, Norway, Finland, etc.), since the temperature in this area did not fall to −34 °C from 2003–2019. However, such temperatures are not rare in eastern European Russia (Kostroma, Vologda, Orenburg regions, etc.), where Fraxinus pennsylvanica and F. excelsior occur. These regions could potentially become refuges for these ash species.</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r>
        <w:rPr>
          <w:b/>
        </w:rPr>
        <w:t>POSSIBLE 2019:</w:t>
      </w:r>
      <w:r>
        <w:t xml:space="preserve"> Human papillomavirus vaccination: The ESGO–EFC position paper of the European society of Gynaecologic Oncology and the European Federation for colposcopy — https://doi.org/10.1016/j.ejca.2019.04.032</w:t>
      </w:r>
    </w:p>
    <w:p>
      <w:pPr/>
      <w:r>
        <w:rPr>
          <w:b/>
        </w:rPr>
        <w:t>Shared claim-specific concepts:</w:t>
      </w:r>
      <w:r>
        <w:t xml:space="preserve"> all, since, appears, good, reduce; EU scope visible. This is a provisional connection, not an outcome finding.</w:t>
      </w:r>
    </w:p>
    <w:p>
      <w:pPr>
        <w:pStyle w:val="SourceNote"/>
      </w:pPr>
      <w:r>
        <w:rPr>
          <w:b/>
        </w:rPr>
        <w:t>Available abstract (not full text):</w:t>
      </w:r>
      <w:r>
        <w:t xml:space="preserve"> Vaccines against human papillomavirus (HPV) are available in Europe since 2006. They have been highly effective in preventing infection and disease caused by the vaccine types. Clinical efficacy data are available for cervical, vulvovaginal and anal precancer and invasive cervical cancer. Disease reduction is best with early vaccination and a coverage of more than 70%. Gender-neutral vaccination provides direct protection for all men and improves the coverage. A good coverage is followed by herd protection of the unvaccinated men and women. School-based programs appear to be most effective; under the age of 15 years, two doses with an interval of 6-12 months are sufficient. From the age of 15 years, the standard regimen with three doses is recommended. A broad catch-up program for young adult women and men improves the effectiveness. The vaccines are also effective in sexually active women and men with previous but cleared infections. Vaccination in addition to local treatment of HPV-related disease appears to reduce recurrent or subsequent HPV-related disease. Combination of HPV vaccination and screening with HPV testing is the most effective approach to prevention of cervical cancer. The screening intervals may increase in the vaccinated cohorts. The upper age limit for vaccination remains to be evaluated, is country specific and depends on cost-effectiveness. The European So</w:t>
      </w:r>
    </w:p>
    <w:p>
      <w:pPr>
        <w:pStyle w:val="Heading2"/>
      </w:pPr>
      <w:r>
        <w:t>1002.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2019:</w:t>
      </w:r>
      <w:r>
        <w:t xml:space="preserve"> Reassessing the Host Defense Peptide Landscape — https://doi.org/10.3389/fchem.2019.00043</w:t>
      </w:r>
    </w:p>
    <w:p>
      <w:pPr/>
      <w:r>
        <w:rPr>
          <w:b/>
        </w:rPr>
        <w:t>Shared claim-specific concepts:</w:t>
      </w:r>
      <w:r>
        <w:t xml:space="preserve"> capture, landscape, activity; EU scope not established. This is a provisional connection, not an outcome finding.</w:t>
      </w:r>
    </w:p>
    <w:p>
      <w:pPr>
        <w:pStyle w:val="SourceNote"/>
      </w:pPr>
      <w:r>
        <w:rPr>
          <w:b/>
        </w:rPr>
        <w:t>Available abstract (not full text):</w:t>
      </w:r>
      <w:r>
        <w:t xml:space="preserve"> Current research has demonstrated that small cationic amphipathic peptides have strong potential not only as antimicrobials, but also as antibiofilm agents, immune modulators, and anti-inflammatories. Although traditionally termed antimicrobial peptides (AMPs) these additional roles have prompted a shift in terminology to use the broader term host defense peptides (HDPs) to capture the multi-functional nature of these molecules. In this review, we critically examined the role of AMPs and HDPs in infectious diseases and inflammation. It is generally accepted that HDPs are multi-faceted mediators of a wide range of biological processes, with individual activities dependent on their polypeptide sequence. In this context, we explore the concept of chemical space as it applies to HDPs and hypothesize that the various functions and activities of this class of molecule exist on independent but overlapping activity landscapes. Finally, we outline several emerging functions and roles of HDPs and highlight how an improved understanding of these processes can potentially be leveraged to more fully realize the therapeutic promise of HDPs.</w:t>
      </w:r>
    </w:p>
    <w:p>
      <w:pPr/>
      <w:r>
        <w:rPr>
          <w:b/>
        </w:rPr>
        <w:t>POSSIBLE 2016:</w:t>
      </w:r>
      <w:r>
        <w:t xml:space="preserve"> Comparative agriculture methods capture distinct production practices across a broadacre Australian landscape — https://doi.org/10.1016/j.agee.2016.09.020</w:t>
      </w:r>
    </w:p>
    <w:p>
      <w:pPr/>
      <w:r>
        <w:rPr>
          <w:b/>
        </w:rPr>
        <w:t>Shared claim-specific concepts:</w:t>
      </w:r>
      <w:r>
        <w:t xml:space="preserve"> capture, landscape, challenge; EU scope not established. This is a provisional connection, not an outcome finding.</w:t>
      </w:r>
    </w:p>
    <w:p>
      <w:pPr>
        <w:pStyle w:val="SourceNote"/>
      </w:pPr>
      <w:r>
        <w:rPr>
          <w:b/>
        </w:rPr>
        <w:t>Available abstract (not full text):</w:t>
      </w:r>
      <w:r>
        <w:t xml:space="preserve"> In farming systems research the link between farm resources, management and performances is often described, but rarely confirmed or quantified. Problems arise in formalising such linkages because substantial spatial and longitudinal whole-farm data are difficult to acquire. This study used the integrative discipline of comparative agriculture to collect such information and address a wide range of related farming system questions. The mixed method procedure included a landscape analysis, a historical investigation, and the collection of current farm information from 36 farms, representing half the farming businesses of a 4 000 km2 area in a region of the Western Australian wheatbelt (≈300 mm/year) with highly variable soils. Land types influenced management, including cropping specialisation, and explained some of the regional variability in grain yield and enterprise mix. Rotations varied by soil type and farm type. On average their duration was 3–4 years, typically starting with a 2–3 years of wheat, resulting in overall composition of 64% cereals, 20% break crops and 16% pastures/fallows. Break crops were grown more on light sandy soils than on heavier fine-textured soils. Lights soils were managed similarly by all farmers but distinctions occurred on heavier soils between mixed crop-livestock farmers and cropping specialists. This divergence in farming production was expla</w:t>
      </w:r>
    </w:p>
    <w:p>
      <w:pPr/>
      <w:r>
        <w:rPr>
          <w:b/>
        </w:rPr>
        <w:t>POSSIBLE 2012:</w:t>
      </w:r>
      <w:r>
        <w:t xml:space="preserve"> The ecological approach to visual perception and the actor performance captured in the gaming landscape — https://doi.org/10.1386/ap3.2.1-2.137_1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1003.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2022:</w:t>
      </w:r>
      <w:r>
        <w:t xml:space="preserve"> Comparison of drug prescribing before and during the COVID ‐19 pandemic: A cross‐national European study — https://doi.org/10.1002/pds.5509</w:t>
      </w:r>
    </w:p>
    <w:p>
      <w:pPr/>
      <w:r>
        <w:rPr>
          <w:b/>
        </w:rPr>
        <w:t>Shared claim-specific concepts:</w:t>
      </w:r>
      <w:r>
        <w:t xml:space="preserve"> purpose, aim, describe, use, five, methods; EU scope visible. This is a provisional connection, not an outcome finding.</w:t>
      </w:r>
    </w:p>
    <w:p>
      <w:pPr>
        <w:pStyle w:val="SourceNote"/>
      </w:pPr>
      <w:r>
        <w:rPr>
          <w:b/>
        </w:rPr>
        <w:t>Available abstract (not full text):</w:t>
      </w:r>
      <w:r>
        <w:t xml:space="preserve"> PURPOSE: The COVID-19 pandemic had an impact on health care, with disruption to routine clinical care. Our aim was to describe changes in prescription drugs dispensing in the primary and outpatient sectors during the first year of the pandemic across Europe. METHODS: We used routine administrative data on dispensed medicines in eight European countries (five whole countries, three represented by one region each) from January 2017 to March 2021 to compare the first year of the COVID-19 pandemic with the preceding 3 years. RESULTS: In the 10 therapeutic subgroups with the highest dispensed volumes across all countries/regions the relative changes between the COVID-19 period and the year before were mostly of a magnitude similar to changes between previous periods. However, for drugs for obstructive airway diseases the changes in the COVID-19 period were stronger in several countries/regions. In all countries/regions a decrease in dispensed DDDs of antibiotics for systemic use (from -39.4% in Romagna to -14.2% in Scotland) and nasal preparations (from -34.4% in Lithuania to -5.7% in Sweden) was observed. We observed a stockpiling effect in the total market in March 2020 in six countries/regions. In Czechia the observed increase was not significant and in Slovenia volumes increased only after the end of the first lockdown. We found an increase in average therapeutic quantity per pa</w:t>
      </w:r>
    </w:p>
    <w:p>
      <w:pPr/>
      <w:r>
        <w:rPr>
          <w:b/>
        </w:rPr>
        <w:t>POSSIBLE 2022:</w:t>
      </w:r>
      <w:r>
        <w:t xml:space="preserve"> Susceptibility to tobacco use and associated factors among youth in five central and eastern European countries — https://doi.org/10.1186/s12889-022-12493-6</w:t>
      </w:r>
    </w:p>
    <w:p>
      <w:pPr/>
      <w:r>
        <w:rPr>
          <w:b/>
        </w:rPr>
        <w:t>Shared claim-specific concepts:</w:t>
      </w:r>
      <w:r>
        <w:t xml:space="preserve"> aim, use, five, methods, used; EU scope visible. This is a provisional connection, not an outcome finding.</w:t>
      </w:r>
    </w:p>
    <w:p>
      <w:pPr>
        <w:pStyle w:val="SourceNote"/>
      </w:pPr>
      <w:r>
        <w:rPr>
          <w:b/>
        </w:rPr>
        <w:t>Available abstract (not full text):</w:t>
      </w:r>
      <w:r>
        <w:t xml:space="preserve"> BACKGROUND: Tobacco use among young people still remains a major public health problem. Thus, the aim of this study was to perform a cross-country comparison for the factors associated with susceptibility to tobacco use among youth from five central and eastern European countries. METHODS: The data used in the current analysis, focusing on youth (aged 11-17 years), who have never tried or experimented with cigarette smoking, was available from the recent Global Youth Tobacco Survey (Czech Republic (2016), n = 1997; Slovakia (2016), n = 1998; Slovenia (2017), n = 1765; Romania (2017), n = 3718; Lithuania (2018), n = 1305). Simple, multiple logistic regression analyses and random-effect meta-analysis were conducted to identify factors associated with tobacco use susceptibility as the lack of a firm commitment not to smoke. RESULTS: Nearly a quarter of the students were susceptible to tobacco use in 4 of 5 countries. The following factors were identified, consistently across countries, as correlates of tobacco use susceptibility: exposure to passive smoking in public places (AOR from 1.3; p = 0.05 in Slovakia to 1.6; p &lt; 0.01 in Czech Republic and Romania), peers smoking status (AOR from 1.8 p &lt; 0.01 in Slovakia to 2.5; p &lt; 0.01 Lithuania), opinion that smoking helped people feel more comfortable at celebrations (AOR from 1.3; p = 0.01 in Czech Republic to 1.9; p &lt; 0.01 in Lithuan</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2021:</w:t>
      </w:r>
      <w:r>
        <w:t xml:space="preserve"> On the changes of the intention to leave the parental home during the COVID-19 pandemic: a comparison among five European countries — https://doi.org/10.1186/s41118-021-00117-7</w:t>
      </w:r>
    </w:p>
    <w:p>
      <w:pPr/>
      <w:r>
        <w:rPr>
          <w:b/>
        </w:rPr>
        <w:t>Shared claim-specific concepts:</w:t>
      </w:r>
      <w:r>
        <w:t xml:space="preserve"> purpose, describe, five, first; EU scope visible. This is a provisional connection, not an outcome finding.</w:t>
      </w:r>
    </w:p>
    <w:p>
      <w:pPr>
        <w:pStyle w:val="SourceNote"/>
      </w:pPr>
      <w:r>
        <w:rPr>
          <w:b/>
        </w:rPr>
        <w:t>Available abstract (not full text):</w:t>
      </w:r>
      <w:r>
        <w:t xml:space="preserve"> With the spread of the SARS-CoV-2 pandemic in Europe during the first months of 2020, most of the governments imposed restrictive measures to people mobility and physical distance (the lockdown), which severely impacted on the economic activities and performance of many countries. Thus, the health emergency turned rapidly into in an economic crisis. The COVID-19 crisis in Europe increased the uncertainty about the economic recovery and the end of health emergency. This situation is supposed to have conditioned individuals' life course path with the effect of inducing people to postpone or to abandon many life plans. This paper aims to explore and describe whether the rise of health emergency due to the COVID-19 has delayed or vanished young people's intention to leave the parental home, in order to establish their own household, during 2020 in five European countries: Italy, Germany, France, Spain and the UK. Using data from an international survey from the "Youth Project", carried out by the Toniolo Institute of Advanced Studies, this paper implements generalized logistic models for ordinal dependent variables to investigate the factors associated with a possible revision of the choice of leaving the parental home for a representative sample of 6000 respondents aged 18 to 34, interviewed between March and April 2020. In particular, we compare the effect of the occupational con</w:t>
      </w:r>
    </w:p>
    <w:p>
      <w:pPr/>
      <w:r>
        <w:rPr>
          <w:b/>
        </w:rPr>
        <w:t>POSSIBLE 2021:</w:t>
      </w:r>
      <w:r>
        <w:t xml:space="preserve"> Identifying behavioral and attitudinal barriers and drivers to promote consumption of pulses: A quantitative survey across five European countries — https://doi.org/10.1016/j.foodqual.2021.104455</w:t>
      </w:r>
    </w:p>
    <w:p>
      <w:pPr/>
      <w:r>
        <w:rPr>
          <w:b/>
        </w:rPr>
        <w:t>Shared claim-specific concepts:</w:t>
      </w:r>
      <w:r>
        <w:t xml:space="preserve"> five, used, first; EU scope visible. This is a provisional connection, not an outcome finding.</w:t>
      </w:r>
    </w:p>
    <w:p>
      <w:pPr>
        <w:pStyle w:val="SourceNote"/>
      </w:pPr>
      <w:r>
        <w:rPr>
          <w:b/>
        </w:rPr>
        <w:t>Available abstract (not full text):</w:t>
      </w:r>
      <w:r>
        <w:t xml:space="preserve"> Even though pulses are nutritious and environmentally friendly high-protein crops, they are commonly regarded as old-fashioned. Consumption of pulses is low in developed countries, and it has received very limited attention in agricultural and behavioral research over the past years. Based on a pan-European survey, the present study aims to provide extensive insights into consumer perceptions towards pulses. The objective is to identify effective measures to increase consumer acceptance of pulses, and thus potentially increase their share in the daily diets across Europe. Quantitative data was collected in May 2020 through a web-based survey conducted in five different European countries, Germany, Denmark, Spain, Poland, and the United Kingdom (N = 4,916). Quota-based sampling was used to ensure comparability across samples and wide coverage in terms of age, gender, and locality of residence. Using cluster analysis with a subsequent logistic regression, cross-cultural differences were found in terms of relatively high consumption of pulses among Spanish respondents, somewhat lower for Polish, German and UK respondents, and even lower among Danish respondents. Drivers of consumption significantly differed across surveyed samples, mainly being health first, followed by sensory preferences. For respondents from Poland, Spain, and Germany the main reason for not consuming pulses re</w:t>
      </w:r>
    </w:p>
    <w:p>
      <w:pPr>
        <w:pStyle w:val="Heading2"/>
      </w:pPr>
      <w:r>
        <w:t>1004.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https://doi.org/10.58458/ipnj.v.14.01.03.0101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2023:</w:t>
      </w:r>
      <w:r>
        <w:t xml:space="preserve"> How to develop four competencies for teacher educators — https://doi.org/10.3389/feduc.2023.1147143</w:t>
      </w:r>
    </w:p>
    <w:p>
      <w:pPr/>
      <w:r>
        <w:rPr>
          <w:b/>
        </w:rPr>
        <w:t>Shared claim-specific concepts:</w:t>
      </w:r>
      <w:r>
        <w:t xml:space="preserve"> findings, four, education; EU scope not established. This is a provisional connection, not an outcome finding.</w:t>
      </w:r>
    </w:p>
    <w:p>
      <w:pPr>
        <w:pStyle w:val="SourceNote"/>
      </w:pPr>
      <w:r>
        <w:rPr>
          <w:b/>
        </w:rPr>
        <w:t>Available abstract (not full text):</w:t>
      </w:r>
      <w:r>
        <w:t xml:space="preserve">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pPr/>
      <w:r>
        <w:rPr>
          <w:b/>
        </w:rPr>
        <w:t>POSSIBLE 2023:</w:t>
      </w:r>
      <w:r>
        <w:t xml:space="preserve"> Characterization of four commercial waxy wheats developed in China — https://doi.org/10.1002/cche.10687</w:t>
      </w:r>
    </w:p>
    <w:p>
      <w:pPr/>
      <w:r>
        <w:rPr>
          <w:b/>
        </w:rPr>
        <w:t>Shared claim-specific concepts:</w:t>
      </w:r>
      <w:r>
        <w:t xml:space="preserve"> findings, four, developed, higher; EU scope not established. This is a provisional connection, not an outcome finding.</w:t>
      </w:r>
    </w:p>
    <w:p>
      <w:pPr>
        <w:pStyle w:val="SourceNote"/>
      </w:pPr>
      <w:r>
        <w:rPr>
          <w:b/>
        </w:rPr>
        <w:t>Available abstract (not full text):</w:t>
      </w:r>
      <w:r>
        <w:t xml:space="preserve">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pPr>
        <w:pStyle w:val="Heading2"/>
      </w:pPr>
      <w:r>
        <w:t>1005.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r>
        <w:rPr>
          <w:b/>
        </w:rPr>
        <w:t>POSSIBLE 2020:</w:t>
      </w:r>
      <w:r>
        <w:t xml:space="preserve"> After the Berlin Wall — https://doi.org/10.1515/9789633863855</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After the Berlin Wall tells the inside story of an international financial institution, the European Bank for Reconstruction and Development (EBRD), created in the aftermath of communism to help the countries of central and eastern Europe transition towards open market-oriented democratic economies. The first volume of a history in two parts, After the Berlin Wall charts the EBRD’s life from a fledgling high-risk start-up investing in former socialist countries from 1991 to become an established member of the international financial community, which (as of April 2020) operates in almost 40 countries across three continents. This volume describes the multilateral negotiations that created this cosmopolitan institution with a ‘European character’ and the emergence of the EBRD’s unique business model: a focus on the private sector and a mission to deliver development impact with sustainable financial returns. The author recounts the challenges that ‘transition’ countries faced in moving from a defunct to a functioning economic system and maps the EBRD’s response to critical events, from the dissolution of the Soviet Union, to the safe confinement of the Chernobyl disaster site, the debt default in Russia and the onset of the global financial crisis in 2008.</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r>
        <w:rPr>
          <w:b/>
        </w:rPr>
        <w:t>POSSIBLE 2018:</w:t>
      </w:r>
      <w:r>
        <w:t xml:space="preserve"> Automotive trace metal concentrations on the South African national road (N3) and its impact on the environment. — https://openalex.org/W3014058070</w:t>
      </w:r>
    </w:p>
    <w:p>
      <w:pPr/>
      <w:r>
        <w:rPr>
          <w:b/>
        </w:rPr>
        <w:t>Shared claim-specific concepts:</w:t>
      </w:r>
      <w:r>
        <w:t xml:space="preserve"> moderately, due, countries; EU scope not established. This is a provisional connection, not an outcome finding.</w:t>
      </w:r>
    </w:p>
    <w:p>
      <w:pPr>
        <w:pStyle w:val="SourceNote"/>
      </w:pPr>
      <w:r>
        <w:rPr>
          <w:b/>
        </w:rPr>
        <w:t>Available abstract (not full text):</w:t>
      </w:r>
      <w:r>
        <w:t xml:space="preserve">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pPr>
        <w:pStyle w:val="Heading2"/>
      </w:pPr>
      <w:r>
        <w:t>1006.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2022:</w:t>
      </w:r>
      <w:r>
        <w:t xml:space="preserve"> Vocabulary changes in adulthood: Main findings and methodological considerations — https://doi.org/10.1111/1460-6984.12820</w:t>
      </w:r>
    </w:p>
    <w:p>
      <w:pPr/>
      <w:r>
        <w:rPr>
          <w:b/>
        </w:rPr>
        <w:t>Shared claim-specific concepts:</w:t>
      </w:r>
      <w:r>
        <w:t xml:space="preserve"> findings, methodologies, well; EU scope not established. This is a provisional connection, not an outcome finding.</w:t>
      </w:r>
    </w:p>
    <w:p>
      <w:pPr>
        <w:pStyle w:val="SourceNote"/>
      </w:pPr>
      <w:r>
        <w:rPr>
          <w:b/>
        </w:rPr>
        <w:t>Available abstract (not full text):</w:t>
      </w:r>
      <w:r>
        <w:t xml:space="preserve"> BACKGROUND: Vocabulary scores increase until approximately age 65 years and then remain stable or decrease slightly, unlike scores on tests of other cognitive abilities that decline significantly with age. AIMS: To review the findings on ageing-related changes in vocabulary, and to discuss four methodological issues: research design; test type; measurement; and vocabulary ability as a proxy for general intelligence. MAIN CONTRIBUTION: A discussion of cross-sectional and longitudinal research designs shows that cohort membership accounts for some but not all ageing-related changes in vocabulary, and that drop-out and test-retest effects do not alter conclusions regarding these changes. Test type affects age trends in vocabulary, and if researchers use only one test, they should choose a multiple-choice synonym test. While some authors suggest that vocabulary tests do not measure the same underlying ability in younger and older adults, more research of this suggestion is needed. A brief examination of the use of vocabulary ability as a proxy for general intelligence in healthy ageing and for premorbid abilities in dementia indicates that such practice is often questionable. CONCLUSIONS: Vocabulary knowledge increases through the mid-60s regardless of measurement method. However, there is little information on how word knowledge serves other verbal skills in old age, how and when </w:t>
      </w:r>
    </w:p>
    <w:p>
      <w:pPr/>
      <w:r>
        <w:rPr>
          <w:b/>
        </w:rPr>
        <w:t>POSSIBLE 2022:</w:t>
      </w:r>
      <w:r>
        <w:t xml:space="preserve"> Adjusting the social footprint methodology based on findings of subjective wellbeing research — https://doi.org/10.21203/rs.3.rs-1369858/v2</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Purpose Following some years of practical application, some weaknesses has been identified in the original 2018 version of the ‘social footprint’ methodology, where wellbeing was seen as exclusively related to consumption activities and as inseparably linked to production through the budget constraint, implying that the value of wellbeing was limited to be a mirror of the value of production. Several improvements in both methodology and data are presented here. Methods The theoretical improvements are inspired by the suggestion of Juster et al. (1981) that wellbeing can be seen as the sum of the value added generated from work and the intrinsic activity benefits, i.e., the positive affect from performing or taking part in specific work or leisure activities. This implies a relatively low preference for income relative to intrinsic activity benefits, which is confirmed by recent findings of subjective wellbeing research. Results and discussion Other findings of subjective wellbeing research provide a constraint on the conversion factor between Disability-Adjusted Life-Years (DALY) and Quality-Adjusted person-Life-Years (QALY), leading to a surprising 0.3 QALY/DALY, against the more intuitive 1 QALY/DALY. These theoretical improvements, combined with the availability of more recent country-specific data on impacts on wellbeing, allows to calculate a global potential leve</w:t>
      </w:r>
    </w:p>
    <w:p>
      <w:pPr/>
      <w:r>
        <w:rPr>
          <w:b/>
        </w:rPr>
        <w:t>POSSIBLE 2021:</w:t>
      </w:r>
      <w:r>
        <w:t xml:space="preserve"> Sentiment analysis in hospitality and tourism: a thematic and methodological review — https://doi.org/10.1108/ijchm-02-2021-0132</w:t>
      </w:r>
    </w:p>
    <w:p>
      <w:pPr/>
      <w:r>
        <w:rPr>
          <w:b/>
        </w:rPr>
        <w:t>Shared claim-specific concepts:</w:t>
      </w:r>
      <w:r>
        <w:t xml:space="preserve"> findings, several, methodologies, identified; EU scope not established. This is a provisional connection, not an outcome finding.</w:t>
      </w:r>
    </w:p>
    <w:p>
      <w:pPr>
        <w:pStyle w:val="SourceNote"/>
      </w:pPr>
      <w:r>
        <w:rPr>
          <w:b/>
        </w:rPr>
        <w:t>Available abstract (not full text):</w:t>
      </w:r>
      <w:r>
        <w:t xml:space="preserve">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pPr/>
      <w:r>
        <w:rPr>
          <w:b/>
        </w:rPr>
        <w:t>POSSIBLE 2021:</w:t>
      </w:r>
      <w:r>
        <w:t xml:space="preserve"> A genome-wide CRISPR screen identifies host factors that regulate SARS-CoV-2 entry — https://doi.org/10.1038/s41467-021-21213-4</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The global spread of SARS-CoV-2 is posing major public health challenges. One feature of SARS-CoV-2 spike protein is the insertion of multi-basic residues at the S1/S2 subunit cleavage site. Here, we find that the virus with intact spike (Sfull) preferentially enters cells via fusion at the plasma membrane, whereas a clone (Sdel) with deletion disrupting the multi-basic S1/S2 site utilizes an endosomal entry pathway. Using Sdel as model, we perform a genome-wide CRISPR screen and identify several endosomal entry-specific regulators. Experimental validation of hits from the CRISPR screen shows that host factors regulating the surface expression of angiotensin-converting enzyme 2 (ACE2) affect entry of Sfull virus. Animal-to-animal transmission with the Sdel virus is reduced compared to Sfull in the hamster model. These findings highlight the critical role of the S1/S2 boundary of SARS-CoV-2 spike protein in modulating virus entry and transmission and provide insights into entry of coronaviruses.</w:t>
      </w:r>
    </w:p>
    <w:p>
      <w:pPr>
        <w:pStyle w:val="Heading2"/>
      </w:pPr>
      <w:r>
        <w:t>1007.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2016:</w:t>
      </w:r>
      <w:r>
        <w:t xml:space="preserve"> APPROPRIATE VERTICAL RANGE TO AVERAGE LUMINANCE FOR PREDICTION OF PERCEIVED SPATIAL BRIGHTNESS IN OFFICE — https://doi.org/10.3130/aije.81.421</w:t>
      </w:r>
    </w:p>
    <w:p>
      <w:pPr/>
      <w:r>
        <w:rPr>
          <w:b/>
        </w:rPr>
        <w:t>Shared claim-specific concepts:</w:t>
      </w:r>
      <w:r>
        <w:t xml:space="preserve"> range, usual, predicted; EU scope not established. This is a provisional connection, not an outcome finding.</w:t>
      </w:r>
    </w:p>
    <w:p>
      <w:pPr>
        <w:pStyle w:val="SourceNote"/>
      </w:pPr>
      <w:r>
        <w:rPr>
          <w:b/>
        </w:rPr>
        <w:t>Available abstract (not full text):</w:t>
      </w:r>
      <w:r>
        <w:t xml:space="preserve"> It is effective for power-saving of office lighting to set working plane illuminance lower than usual, but without consideration of room appearance this tends to lead to gloomy impression. To avoid this negative effect, some methods to predict brightness impression are used for office lighting design, but they have not been well examined from the view point of applicability to office lighting. It is apparent that the average luminance of office perspective image is important but the value changes in accordance of view range. This study, as a basic research, examined appropriate vertical range for prediction of perceived spatial brightness. The authors set 48 different luminance distribution conditions in a 1/6 scale model of office environment, and asked the subjects to evaluate spatial brightness with magnitude estimation technique. The luminance distribution from the subjects' evaluation point was measured by a digital camera with 180 degree fish-eye lens and average luminance was examined. As the result, the authors obtained followings; 1) When sitting on a desk seat, spatial brightness can be predicted by mean luminance ranging from 0 to 20 degrees on the luminance image in vertical, with exclusion of objects just around the desk like partitions, but in the case of short room depth or including windows, the mean should be ranging from 0 to 40 degrees. 2) Vertical range to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r>
        <w:rPr>
          <w:b/>
        </w:rPr>
        <w:t>POSSIBLE 2013:</w:t>
      </w:r>
      <w:r>
        <w:t xml:space="preserve"> Simultaneous calibration of ensemble river flow predictions over an entire range of lead times — https://doi.org/10.1002/wrcr.20542</w:t>
      </w:r>
    </w:p>
    <w:p>
      <w:pPr/>
      <w:r>
        <w:rPr>
          <w:b/>
        </w:rPr>
        <w:t>Shared claim-specific concepts:</w:t>
      </w:r>
      <w:r>
        <w:t xml:space="preserve"> predictions, subject, range; EU scope not established. This is a provisional connection, not an outcome finding.</w:t>
      </w:r>
    </w:p>
    <w:p>
      <w:pPr>
        <w:pStyle w:val="SourceNote"/>
      </w:pPr>
      <w:r>
        <w:rPr>
          <w:b/>
        </w:rPr>
        <w:t>Available abstract (not full text):</w:t>
      </w:r>
      <w:r>
        <w:t xml:space="preserve"> Probabilistic estimates of future water levels and river discharge are usually simulated with hydrologic models using ensemble weather forecasts as main inputs. As hydrologic models are imperfect and the meteorological ensembles tend to be biased and underdispersed, the ensemble forecasts for river runoff typically are biased and underdispersed, too. Thus, in order to achieve both reliable and sharp predictions statistical postprocessing is required. In this work Bayesian model averaging (BMA) is applied to statistically postprocess ensemble runoff raw forecasts for a catchment in Switzerland, at lead times ranging from 1 to 240 h. The raw forecasts have been obtained using deterministic and ensemble forcing meteorological models with different forecast lead time ranges. First, BMA is applied based on mixtures of univariate normal distributions, subject to the assumption of independence between distinct lead times. Then, the independence assumption is relaxed in order to estimate multivariate runoff forecasts over the entire range of lead times simultaneously, based on a BMA version that uses multivariate normal distributions. Since river runoff is a highly skewed variable, Box-Cox transformations are applied in order to achieve approximate normality. Both univariate and multivariate BMA approaches are able to generate well calibrated probabilistic forecasts that are considerab</w:t>
      </w:r>
    </w:p>
    <w:p>
      <w:pPr>
        <w:pStyle w:val="Heading2"/>
      </w:pPr>
      <w:r>
        <w:t>1008.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2022:</w:t>
      </w:r>
      <w:r>
        <w:t xml:space="preserve"> Long-term Air Pollution Exposure and Pneumonia-related Mortality in a Large Pooled European Cohort — https://doi.org/10.1164/rccm.202106-1484oc</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Abstract Rationale Ambient air pollution exposure has been linked to mortality from chronic cardiorespiratory diseases, while evidence on respiratory infections remains more limited. Objectives We examined the association between long-term exposure to air pollution and pneumonia-related mortality in adults in a pool of eight European cohorts. Methods Within the multicenter project ELAPSE (Effects of Low-Level Air Pollution: A Study in Europe), we pooled data from eight cohorts among six European countries. Annual mean residential concentrations in 2010 for fine particulate matter, nitrogen dioxide (NO2), black carbon (BC), and ozone were estimated using Europe-wide hybrid land-use regression models. We applied stratified Cox proportional hazard models to investigate the associations between air pollution and pneumonia, influenza, and acute lower respiratory infections (ALRI) mortality. Measurements and Main Results Of 325,367 participants, 712 died from pneumonia and influenza combined, 682 from pneumonia, and 695 from ALRI during a mean follow-up of 19.5 years. NO2 and BC were associated with 10–12% increases in pneumonia and influenza combined mortality, but 95% confidence intervals included unity (hazard ratios, 1.12 [0.99–1.26] per 10 μg/m3 for NO2; 1.10 [0.97–1.24] per 0.5 10−5m−1 for BC). Associations with pneumonia and ALRI mortality were almost identical. We detected ef</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building, design, other;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r>
        <w:rPr>
          <w:b/>
        </w:rPr>
        <w:t>POSSIBLE 2021:</w:t>
      </w:r>
      <w:r>
        <w:t xml:space="preserve"> A model of long-term value creation — https://doi.org/10.1080/20430795.2021.1920231</w:t>
      </w:r>
    </w:p>
    <w:p>
      <w:pPr/>
      <w:r>
        <w:rPr>
          <w:b/>
        </w:rPr>
        <w:t>Shared claim-specific concepts:</w:t>
      </w:r>
      <w:r>
        <w:t xml:space="preserve"> long-term, currently, they; EU scope not established. This is a provisional connection, not an outcome finding.</w:t>
      </w:r>
    </w:p>
    <w:p>
      <w:pPr>
        <w:pStyle w:val="SourceNote"/>
      </w:pPr>
      <w:r>
        <w:rPr>
          <w:b/>
        </w:rPr>
        <w:t>Available abstract (not full text):</w:t>
      </w:r>
      <w:r>
        <w:t xml:space="preserve">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pPr/>
      <w:r>
        <w:rPr>
          <w:b/>
        </w:rPr>
        <w:t>POSSIBLE 2021:</w:t>
      </w:r>
      <w:r>
        <w:t xml:space="preserve"> On models of long-term behavior of concrete — https://doi.org/10.21136/panm.2020.02</w:t>
      </w:r>
    </w:p>
    <w:p>
      <w:pPr/>
      <w:r>
        <w:rPr>
          <w:b/>
        </w:rPr>
        <w:t>Shared claim-specific concepts:</w:t>
      </w:r>
      <w:r>
        <w:t xml:space="preserve"> long-term, tools, other; EU scope not established. This is a provisional connection, not an outcome finding.</w:t>
      </w:r>
    </w:p>
    <w:p>
      <w:pPr>
        <w:pStyle w:val="SourceNote"/>
      </w:pPr>
      <w:r>
        <w:rPr>
          <w:b/>
        </w:rPr>
        <w:t>Available abstract (not full text):</w:t>
      </w:r>
      <w:r>
        <w:t xml:space="preserve">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pPr/>
      <w:r>
        <w:rPr>
          <w:b/>
        </w:rPr>
        <w:t>POSSIBLE 2020:</w:t>
      </w:r>
      <w:r>
        <w:t xml:space="preserve"> Short-term solar and wind variability in long-term energy system models - A European case study — https://doi.org/10.1016/j.energy.2020.118377</w:t>
      </w:r>
    </w:p>
    <w:p>
      <w:pPr/>
      <w:r>
        <w:rPr>
          <w:b/>
        </w:rPr>
        <w:t>Shared claim-specific concepts:</w:t>
      </w:r>
      <w:r>
        <w:t xml:space="preserve"> long-term, important; EU scope visible. This is a provisional connection, not an outcome finding.</w:t>
      </w:r>
    </w:p>
    <w:p>
      <w:pPr>
        <w:pStyle w:val="SourceNote"/>
      </w:pPr>
      <w:r>
        <w:rPr>
          <w:b/>
        </w:rPr>
        <w:t>Available abstract (not full text):</w:t>
      </w:r>
      <w:r>
        <w:t xml:space="preserve">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pPr>
        <w:pStyle w:val="Heading2"/>
      </w:pPr>
      <w:r>
        <w:t>1009.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environmental, period;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Land-use- and climate-mediated variations in soil bacterial and fungal biomass across Europe and their driving factors — https://doi.org/10.1016/j.geoderma.2023.116474</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Elucidating contents and drivers of soil bacterial and fungal biomass in contrasting land uses and climates at European scale is useful to define appropriate policies for the conservation of the ecosystem services that soil microorganisms provide. Here, we aimed to (i) quantify and compare bacterial and fungal biomass in 513 European soils collected from three different land uses (forests, grasslands, and croplands) and climates (arid, temperate, and cold) through analysis of fatty acid methyl esters; (ii) model the factors controlling soil bacterial and fungal biomass; and (iii) investigating levels of bacterial and fungal biomass in cropland soils cultivated with three important crop types in Europe: cereals, oil-producing crops, and orchards. Bacterial biomass decreased with land use in the following order: grasslands &gt; croplands &gt; forests and was found to be the highest in temperate environments. Similar patterns were found for biomass of Gram-positive and Gram-negative bacteria and Actinobacteria. Soil fungal biomass was greater in forests than in croplands and grasslands and was favoured by colder environments. The fungi to bacteria ratio (F/B) decreased as follows: forests &gt; croplands &gt; grasslands, with soils in colder climates showing greater F/B ratios in croplands and forests. Soil texture, soil organic carbon, and nitrogen were shown to directly drive bacterial and f</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r>
        <w:rPr>
          <w:b/>
        </w:rPr>
        <w:t>POSSIBLE 2022:</w:t>
      </w:r>
      <w:r>
        <w:t xml:space="preserve"> High-resolution land use and land cover dataset for regional climate modelling: Historical and future changes in Europe — https://doi.org/10.5194/essd-2022-431</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pPr/>
      <w:r>
        <w:rPr>
          <w:b/>
        </w:rPr>
        <w:t>POSSIBLE 2022:</w:t>
      </w:r>
      <w:r>
        <w:t xml:space="preserve"> 21st Century alpine climate change — https://doi.org/10.1007/s00382-022-06303-3</w:t>
      </w:r>
    </w:p>
    <w:p>
      <w:pPr/>
      <w:r>
        <w:rPr>
          <w:b/>
        </w:rPr>
        <w:t>Shared claim-specific concepts:</w:t>
      </w:r>
      <w:r>
        <w:t xml:space="preserve"> climate, cover, precipitation, temperature, over, main;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pStyle w:val="Heading2"/>
      </w:pPr>
      <w:r>
        <w:t>1010.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2024:</w:t>
      </w:r>
      <w:r>
        <w:t xml:space="preserve"> Progress in Wound-Healing Products Based on Natural Compounds, Stem Cells, and MicroRNA-Based Biopolymers in the European, USA, and Asian Markets: Opportunities, Barriers, and Regulatory Issues — https://doi.org/10.3390/polym16091280</w:t>
      </w:r>
    </w:p>
    <w:p>
      <w:pPr/>
      <w:r>
        <w:rPr>
          <w:b/>
        </w:rPr>
        <w:t>Shared claim-specific concepts:</w:t>
      </w:r>
      <w:r>
        <w:t xml:space="preserve"> regulatory, not, although; EU scope visible. This is a provisional connection, not an outcome finding.</w:t>
      </w:r>
    </w:p>
    <w:p>
      <w:pPr>
        <w:pStyle w:val="SourceNote"/>
      </w:pPr>
      <w:r>
        <w:rPr>
          <w:b/>
        </w:rPr>
        <w:t>Available abstract (not full text):</w:t>
      </w:r>
      <w:r>
        <w:t xml:space="preserve"> Wounds are breaks in the continuity of the skin and underlying tissues, resulting from external causes such as cuts, blows, impacts, or surgical interventions. Countless individuals suffer minor to severe injuries, with unfortunate cases even leading to death. In today's scenario, several commercial products are available to facilitate the healing process of wounds, although chronic wounds still present more challenges than acute wounds. Nevertheless, the huge demand for wound-care products within the healthcare sector has given rise to a rapidly growing market, fostering continuous research and development endeavors for innovative wound-healing solutions. Today, there are many commercially available products including those based on natural biopolymers, stem cells, and microRNAs that promote healing from wounds. This article explores the recent breakthroughs in wound-healing products that harness the potential of natural biopolymers, stem cells, and microRNAs. A comprehensive exploration is undertaken, covering not only commercially available products but also those still in the research phase. Additionally, we provide a thorough examination of the opportunities, obstacles, and regulatory considerations influencing the potential commercialization of wound-healing products across the diverse markets of Europe, America, and Asia.</w:t>
      </w:r>
    </w:p>
    <w:p>
      <w:pPr/>
      <w:r>
        <w:rPr>
          <w:b/>
        </w:rPr>
        <w:t>POSSIBLE 2022:</w:t>
      </w:r>
      <w:r>
        <w:t xml:space="preserve"> Exposure modelling in Europe: how to pave the road for the future as part of the European Exposure Science Strategy 2020–2030 — https://doi.org/10.1038/s41370-022-00455-4</w:t>
      </w:r>
    </w:p>
    <w:p>
      <w:pPr/>
      <w:r>
        <w:rPr>
          <w:b/>
        </w:rPr>
        <w:t>Shared claim-specific concepts:</w:t>
      </w:r>
      <w:r>
        <w:t xml:space="preserve"> regulatory, exposure, use; EU scope visible. This is a provisional connection, not an outcome finding.</w:t>
      </w:r>
    </w:p>
    <w:p>
      <w:pPr>
        <w:pStyle w:val="SourceNote"/>
      </w:pPr>
      <w:r>
        <w:rPr>
          <w:b/>
        </w:rPr>
        <w:t>Available abstract (not full text):</w:t>
      </w:r>
      <w:r>
        <w:t xml:space="preserve">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pPr/>
      <w:r>
        <w:rPr>
          <w:b/>
        </w:rPr>
        <w:t>POSSIBLE 2022:</w:t>
      </w:r>
      <w:r>
        <w:t xml:space="preserve"> European Regulatory and Insurance Aspects of Carbon Capture and Storage — https://doi.org/10.54648/eelr2022024</w:t>
      </w:r>
    </w:p>
    <w:p>
      <w:pPr/>
      <w:r>
        <w:rPr>
          <w:b/>
        </w:rPr>
        <w:t>Shared claim-specific concepts:</w:t>
      </w:r>
      <w:r>
        <w:t xml:space="preserve"> regulatory, not, any, use, however; EU scope visible. This is a provisional connection, not an outcome finding.</w:t>
      </w:r>
    </w:p>
    <w:p>
      <w:pPr>
        <w:pStyle w:val="SourceNote"/>
      </w:pPr>
      <w:r>
        <w:rPr>
          <w:b/>
        </w:rPr>
        <w:t>Available abstract (not full text):</w:t>
      </w:r>
      <w:r>
        <w:t xml:space="preserve">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pPr/>
      <w:r>
        <w:rPr>
          <w:b/>
        </w:rPr>
        <w:t>POSSIBLE 2022:</w:t>
      </w:r>
      <w:r>
        <w:t xml:space="preserve"> Electromagnetic Fields Exposure Assessment in Europe Utilizing Publicly Available Data — https://doi.org/10.3390/s22218481</w:t>
      </w:r>
    </w:p>
    <w:p>
      <w:pPr/>
      <w:r>
        <w:rPr>
          <w:b/>
        </w:rPr>
        <w:t>Shared claim-specific concepts:</w:t>
      </w:r>
      <w:r>
        <w:t xml:space="preserve"> exposure, limits, levels, use; EU scope visible. This is a provisional connection, not an outcome finding.</w:t>
      </w:r>
    </w:p>
    <w:p>
      <w:pPr>
        <w:pStyle w:val="SourceNote"/>
      </w:pPr>
      <w:r>
        <w:rPr>
          <w:b/>
        </w:rPr>
        <w:t>Available abstract (not full text):</w:t>
      </w:r>
      <w:r>
        <w:t xml:space="preserve">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pPr/>
      <w:r>
        <w:rPr>
          <w:b/>
        </w:rPr>
        <w:t>POSSIBLE 2021:</w:t>
      </w:r>
      <w:r>
        <w:t xml:space="preserve"> Malignant mesothelioma and asbestos exposure in Europe: Evidence of spatial clustering — https://doi.org/10.4081/gh.2021.951</w:t>
      </w:r>
    </w:p>
    <w:p>
      <w:pPr/>
      <w:r>
        <w:rPr>
          <w:b/>
        </w:rPr>
        <w:t>Shared claim-specific concepts:</w:t>
      </w:r>
      <w:r>
        <w:t xml:space="preserve"> exposure, levels, not, use, yet, however; EU scope visible. This is a provisional connection, not an outcome finding.</w:t>
      </w:r>
    </w:p>
    <w:p>
      <w:pPr>
        <w:pStyle w:val="SourceNote"/>
      </w:pPr>
      <w:r>
        <w:rPr>
          <w:b/>
        </w:rPr>
        <w:t>Available abstract (not full text):</w:t>
      </w:r>
      <w:r>
        <w:t xml:space="preserve">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pPr>
        <w:pStyle w:val="Heading2"/>
      </w:pPr>
      <w:r>
        <w:t>1011.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Advancing interoperability of data exchange in Europe: Insights from Estonia’s experience for the common European data spaces — https://doi.org/10.1016/j.dib.2025.112361</w:t>
      </w:r>
    </w:p>
    <w:p>
      <w:pPr/>
      <w:r>
        <w:rPr>
          <w:b/>
        </w:rPr>
        <w:t>Shared claim-specific concepts:</w:t>
      </w:r>
      <w:r>
        <w:t xml:space="preserve"> insights, strategic, particularly, key; EU scope visible. This is a provisional connection, not an outcome finding.</w:t>
      </w:r>
    </w:p>
    <w:p>
      <w:pPr>
        <w:pStyle w:val="SourceNote"/>
      </w:pPr>
      <w:r>
        <w:rPr>
          <w:b/>
        </w:rPr>
        <w:t>Available abstract (not full text):</w:t>
      </w:r>
      <w:r>
        <w:t xml:space="preserve"> Interoperability is one of the most critical enablers for the success of the Common European Data Spaces (CEDS). The entry into force of the Interoperable Europe Act in April 2024 marked a pivotal moment in formalising a legal framework to support this vision. Among the emerging data spaces, the European Data Space for Smart Communities (DS4SSCC) has attracted particular attention for its ambition to act as a "connector data space," linking stakeholders, platforms, and technologies across local, regional, and national levels, as well as domains, with a focus on community-level challenges and needs. This paper offers a novel contribution by bridging real-world national and cross-border interoperability practices - particularly Estonia's operational experience with X-Road - with the strategic development of European-level data space initiatives. Unlike prior studies that focus predominantly on technical frameworks or high-level policy design, this paper provides grounded, practical insights from Estonia's long-standing implementation and institutionalisation of data exchange interoperability, translating them into actionable recommendations for DS4SSCC and other CEDS. We argue that the primary obstacles to data exchange interoperability are typically associated with organisational, political, and legal aspects, rather than purely technological ones. Accordingly, effective data go</w:t>
      </w:r>
    </w:p>
    <w:p>
      <w:pPr/>
      <w:r>
        <w:rPr>
          <w:b/>
        </w:rPr>
        <w:t>POSSIBLE 2025:</w:t>
      </w:r>
      <w:r>
        <w:t xml:space="preserve"> THE EUROPEAN POLITICAL COMMUNITY: REIMAGINING EUROPE AS GEOPOLITICAL — https://doi.org/10.24193/ojmne.2025.49.02</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European Political Community (EPC), proposed by French President Emmanuel Macron, represents an ap proach of reshaping the political and strategic landscape of Europe. Emphasizing the “geopolitical” in Europe, the EPC seeks to foster cooperation among European states on shared values of democracy, stability and security. This paper frames the EPC as a geopolitical construction, analysing its potential to create a more inclusive and pragmatic form of political unity in response to contemporary challenges and geopolitical shifts. The paper gives a theoretical and conceptual review of the EPC, addressing its potential to reshape Europe’s borders, identity, and geopolitical role, and evaluates its capacity to deliver tangible results in areas such as security cooperation, energy security, and humanitarian efforts. Drawing on the theoretical frameworks of critical geo politics, the paper argues that the EPC provides a model of political cooperation that transcends traditional notions of territoriality and expands Europe’s strategic influence. By examining the EPC through both practical and theoretical lenses, the paper offers insights into how it could evolve into a tangible and impactful entity in the future of European geopolitics.</w:t>
      </w:r>
    </w:p>
    <w:p>
      <w:pPr/>
      <w:r>
        <w:rPr>
          <w:b/>
        </w:rPr>
        <w:t>POSSIBLE 2023:</w:t>
      </w:r>
      <w:r>
        <w:t xml:space="preserve"> Arguing — https://doi.org/10.1093/oso/9780198866053.003.0008</w:t>
      </w:r>
    </w:p>
    <w:p>
      <w:pPr/>
      <w:r>
        <w:rPr>
          <w:b/>
        </w:rPr>
        <w:t>Shared claim-specific concepts:</w:t>
      </w:r>
      <w:r>
        <w:t xml:space="preserve"> insights, particularly, suited; EU scope visible. This is a provisional connection, not an outcome finding.</w:t>
      </w:r>
    </w:p>
    <w:p>
      <w:pPr>
        <w:pStyle w:val="SourceNote"/>
      </w:pPr>
      <w:r>
        <w:rPr>
          <w:b/>
        </w:rPr>
        <w:t>Available abstract (not full text):</w:t>
      </w:r>
      <w:r>
        <w:t xml:space="preserve">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pPr>
        <w:pStyle w:val="Heading2"/>
      </w:pPr>
      <w:r>
        <w:t>1012.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2024:</w:t>
      </w:r>
      <w:r>
        <w:t xml:space="preserve"> Uncertainty quantification for overshoots of tipping thresholds — https://doi.org/10.5194/egusphere-egu24-8618</w:t>
      </w:r>
    </w:p>
    <w:p>
      <w:pPr/>
      <w:r>
        <w:rPr>
          <w:b/>
        </w:rPr>
        <w:t>Shared claim-specific concepts:</w:t>
      </w:r>
      <w:r>
        <w:t xml:space="preserve"> so-called, critical, uncertainties, found, current, climate; EU scope not established. This is a provisional connection, not an outcome finding.</w:t>
      </w:r>
    </w:p>
    <w:p>
      <w:pPr>
        <w:pStyle w:val="SourceNote"/>
      </w:pPr>
      <w:r>
        <w:rPr>
          <w:b/>
        </w:rPr>
        <w:t>Available abstract (not full text):</w:t>
      </w:r>
      <w:r>
        <w:t xml:space="preserve"> To tip or not to tip?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and driving a nonlinear system beyond a critical threshold that signifies self-amplifying feedbacks inducing tipping. However, previous work has shown that it is possible to briefly overshoot a critical threshold and avoid tipping. Specifically, the peak distance of an overshoot and the time a system can spend beyond a threshold are governed by an inverse square law relationship. In the real world or complex models, critical thresholds and other system features determining the permitted overshoot are highly uncertain. In this presentation, we look at how such uncertainties affect the probability of tipping from the perspective of uncertainty quantification. We show the importance of constraining uncertainty in the location of the critical threshold and the linear restoring rate to the stable state to reduce the uncertainty in the probability of tipping. Using a simple box model for the Atlantic Meridional Overturning Circulation, we highlight the need to constrain the high un</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2023:</w:t>
      </w:r>
      <w:r>
        <w:t xml:space="preserve"> Solar radiation modification is risky, but so is rejecting it: a call for balanced research — https://doi.org/10.1093/oxfclm/kgad002</w:t>
      </w:r>
    </w:p>
    <w:p>
      <w:pPr/>
      <w:r>
        <w:rPr>
          <w:b/>
        </w:rPr>
        <w:t>Shared claim-specific concepts:</w:t>
      </w:r>
      <w:r>
        <w:t xml:space="preserve"> degrees, climate; EU scope not established. This is a provisional connection, not an outcome finding.</w:t>
      </w:r>
    </w:p>
    <w:p>
      <w:pPr>
        <w:pStyle w:val="SourceNote"/>
      </w:pPr>
      <w:r>
        <w:rPr>
          <w:b/>
        </w:rPr>
        <w:t>Available abstract (not full text):</w:t>
      </w:r>
      <w:r>
        <w:t xml:space="preserve"> As it is increasingly uncertain whether humanity can limit global warming to 1.5 degrees, Solar Radiation Modification (SRM) has been suggested as a potential temporary complement to mitigation. While no replacement for mitigation, evidence to date suggests that some SRM methods could contribute to reducing climate risks and would be technically feasible. But such interventions would also pose environmental risks and unprecedented governance challenges. The risks of SRM must be carefully weighed against those of climate change without SRM. Currently, both types of risks are not sufficiently understood to assess whether SRM could be largely beneficial. Given the already serious impacts of climate change and the possibility that pressure from their increasing severity will trigger rash decisions, we argue that timely, careful investigation and deliberation on SRM is a safer path than wilful ignorance. A framework of ethical guidelines and regulation can help limit potential risks from SRM research.</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