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5B6770"/>
          <w:spacing w:val="30"/>
          <w:sz w:val="18"/>
          <w:szCs w:val="18"/>
        </w:rPr>
        <w:t xml:space="preserve">VV FUTURES — EUROPEAN FORESIGHT OBSERVATORY</w:t>
      </w:r>
    </w:p>
    <w:p>
      <w:pPr>
        <w:pStyle w:val="Title"/>
      </w:pPr>
      <w:r>
        <w:t xml:space="preserve">New Reviewed Findings</w:t>
      </w:r>
    </w:p>
    <w:p>
      <w:pPr>
        <w:spacing w:after="240"/>
      </w:pPr>
      <w:r>
        <w:rPr>
          <w:rFonts w:ascii="Calibri" w:cs="Calibri" w:eastAsia="Calibri" w:hAnsi="Calibri"/>
          <w:color w:val="5B6770"/>
          <w:sz w:val="24"/>
          <w:szCs w:val="24"/>
        </w:rPr>
        <w:t xml:space="preserve">How twenty imagined European futures relate to what followed · research review package, 24 October 2026</w:t>
      </w:r>
    </w:p>
    <w:p>
      <w:r>
        <w:t xml:space="preserve">This document is the principal output of a research review carried out for VV Futures — European Foresight Observatory on 24 October 2026. It contains twenty developmental accounts: five new accounts and fifteen proposed revisions of earlier LLM-assisted accounts. Each account traces one historical future-oriented claim back to its original publication, describes what was envisioned, and explains how the relevant developments have unfolded since, drawing on later research, monitoring reports and official data.</w:t>
      </w:r>
    </w:p>
    <w:p>
      <w:r>
        <w:t xml:space="preserve">The aim is not to grade forecasts. Several accounts describe expectations that were overtaken by events nobody modelled, scenarios whose conditions never arose, and questions whose meaning shifted. Where the horizon of a claim has not yet arrived, or where the evidence is too thin to say what happened, the account says so and the question is carried forward to the companion document on research gaps.</w:t>
      </w:r>
    </w:p>
    <w:p>
      <w:pPr>
        <w:pStyle w:val="Heading1"/>
      </w:pPr>
      <w:r>
        <w:t xml:space="preserve">Review summary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300"/>
        <w:gridCol w:w="5112"/>
      </w:tblGrid>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Date of review</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24 October 2026</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Historical claims examined in depth</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20 (claim records 421, 427, 437, 439, 444, 448, 452, 455, 458, 460, 465, 468, 469, 471, 475, 481, 491, 496, 498, 501)</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Additional claims screened at pair level only</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5 single-candidate claims (063, 241, 342, 369, 433); not examined in depth</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New developmental accounts</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5</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Existing accounts revisited</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15 (earlier accounts 02, 07, 11, 13, 16, 21, 24, 25, 27, 31, 37, 47, 52, 54, 57)</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Exact three-member groups kept</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1</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Exact three-member groups rejected</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19</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Exact three-member groups left uncertain</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0</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Exact three-member groups marked for more research</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0</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Unresolved claims requiring further research</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18 (see VV-FUTURES-RESEARCH-GAPS)</w:t>
            </w:r>
          </w:p>
        </w:tc>
      </w:tr>
      <w:tr>
        <w:trPr>
          <w:cantSplit/>
        </w:trPr>
        <w:tc>
          <w:tcPr>
            <w:tcW w:type="dxa" w:w="4300"/>
            <w:tcBorders>
              <w:top w:val="single" w:color="B8C2CC" w:sz="4"/>
              <w:left w:val="single" w:color="B8C2CC" w:sz="4"/>
              <w:bottom w:val="single" w:color="B8C2CC" w:sz="4"/>
              <w:right w:val="single" w:color="B8C2CC" w:sz="4"/>
            </w:tcBorders>
            <w:shd w:fill="F2F4F6"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Review statuses assigned</w:t>
            </w:r>
          </w:p>
        </w:tc>
        <w:tc>
          <w:tcPr>
            <w:tcW w:type="dxa" w:w="51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8"/>
                <w:szCs w:val="18"/>
              </w:rPr>
              <w:t xml:space="preserve">8 Abstract-only assessment; 6 Provisional interpretation; 5 Source-verified; 1 Insufficient evidence</w:t>
            </w:r>
          </w:p>
        </w:tc>
      </w:tr>
    </w:tbl>
    <w:p>
      <w:pPr>
        <w:spacing w:after="160"/>
      </w:pPr>
    </w:p>
    <w:p>
      <w:r>
        <w:rPr>
          <w:sz w:val="19"/>
          <w:szCs w:val="19"/>
        </w:rPr>
        <w:t xml:space="preserve">Counts of three-member groups refer to the twenty exact combinations proposed in VV-FUTURES-POSSIBLE-CONNECTIONS for the twenty claims examined. Pair-level judgments and newly identified connections are reported separately in VV-FUTURES-CONNECTION-DECISIONS.</w:t>
      </w:r>
    </w:p>
    <w:p>
      <w:pPr>
        <w:pStyle w:val="Heading1"/>
      </w:pPr>
      <w:r>
        <w:t xml:space="preserve">About this review</w:t>
      </w:r>
    </w:p>
    <w:p>
      <w:pPr>
        <w:pStyle w:val="Heading3"/>
      </w:pPr>
      <w:r>
        <w:t xml:space="preserve">Selection of the batch</w:t>
      </w:r>
    </w:p>
    <w:p>
      <w:r>
        <w:t xml:space="preserve">The batch was drawn from the oldest part of the catalogue (claims first published 2011–2014), where enough time has passed for later evidence to accumulate. Fifteen of the twenty claims already had an earlier VV Futures account; these were chosen partly because the earlier accounts showed visible weaknesses, such as later sources from unrelated fields, geographic scope outside Europe, or verdicts resting on a single statistic. Five claims without earlier accounts were added because they concern developments that changed course in instructive ways: gas supply routes, electricity imports from North Africa, cross-border CO₂ transport, immigration and integration, and obesity in Ireland. The batch is deliberately not limited to cases where events resembled the original expectations, and it is not a representative sample of the archive.</w:t>
      </w:r>
    </w:p>
    <w:p>
      <w:pPr>
        <w:pStyle w:val="Heading3"/>
      </w:pPr>
      <w:r>
        <w:t xml:space="preserve">What was checked</w:t>
      </w:r>
    </w:p>
    <w:p>
      <w:r>
        <w:t xml:space="preserve">For each claim the original publication was located through its DOI and OpenAlex record and read in full where an open-access version existed; otherwise the abstract and any accessible summaries were used, and the account says which. The two later papers proposed for each claim as a three-member group, and every pair-level candidate the Scanner proposed for the claim, were screened using OpenAlex metadata and abstracts and, where a candidate looked plausibly relevant, by reading it online. Independent searches then looked for substantive later evidence, preferring official monitoring sources (for example ECDC, EEA, Eurostat, national statistical offices and agencies) and peer-reviewed studies published after the original claim. For earlier accounts, each statement and each cited source was checked individually.</w:t>
      </w:r>
    </w:p>
    <w:p>
      <w:r>
        <w:t xml:space="preserve">Exact original wording is limited to short key phrases in quotation marks; the rest of each claim is given as a clearly labelled paraphrase. The full catalogued excerpt remains in VV-FUTURES-HISTORICAL-CLAIMS under the record number shown, so every claim stays traceable to its source. Figures from later sources are reported as the sources state them, with the period they describe.</w:t>
      </w:r>
    </w:p>
    <w:p>
      <w:pPr>
        <w:pStyle w:val="Heading3"/>
      </w:pPr>
      <w:r>
        <w:t xml:space="preserve">Review status vocabulary</w:t>
      </w:r>
    </w:p>
    <w:p>
      <w:r>
        <w:t xml:space="preserve">Each account carries one of four statuses. </w:t>
      </w:r>
      <w:r>
        <w:rPr>
          <w:b/>
          <w:bCs/>
        </w:rPr>
        <w:t xml:space="preserve">Source-verified</w:t>
      </w:r>
      <w:r>
        <w:t xml:space="preserve">: the relevant passage of the original publication and the key later evidence were opened and read in this review. </w:t>
      </w:r>
      <w:r>
        <w:rPr>
          <w:b/>
          <w:bCs/>
        </w:rPr>
        <w:t xml:space="preserve">Abstract-only assessment</w:t>
      </w:r>
      <w:r>
        <w:t xml:space="preserve">: the original could be read only as an abstract or summary, although later evidence may have been verified. </w:t>
      </w:r>
      <w:r>
        <w:rPr>
          <w:b/>
          <w:bCs/>
        </w:rPr>
        <w:t xml:space="preserve">Provisional interpretation</w:t>
      </w:r>
      <w:r>
        <w:t xml:space="preserve">: the account rests on partial evidence, or its horizon has not arrived, so the interpretation may change. </w:t>
      </w:r>
      <w:r>
        <w:rPr>
          <w:b/>
          <w:bCs/>
        </w:rPr>
        <w:t xml:space="preserve">Insufficient evidence</w:t>
      </w:r>
      <w:r>
        <w:t xml:space="preserve">: the available material does not support an interpretation. These statuses describe what this review checked; they do not mean that a human subject expert has independently confirmed the account.</w:t>
      </w:r>
    </w:p>
    <w:p>
      <w:pPr>
        <w:pStyle w:val="Heading3"/>
      </w:pPr>
      <w:r>
        <w:t xml:space="preserve">Treatment of earlier accounts</w:t>
      </w:r>
    </w:p>
    <w:p>
      <w:r>
        <w:t xml:space="preserve">Earlier accounts are reproduced verbatim at the end of each revised account, followed by a statement-by-statement assessment and one proposed action: retain without substantive change, strengthen with new evidence, correct or qualify, mark unresolved, or flag for source verification. No earlier account has been removed. The 43 earlier accounts that were not revisited remain as they are; Appendix A lists all 58 with their status in this review.</w:t>
      </w:r>
    </w:p>
    <w:p>
      <w:pPr>
        <w:pStyle w:val="Heading3"/>
      </w:pPr>
      <w:r>
        <w:t xml:space="preserve">Limits of this package</w:t>
      </w:r>
    </w:p>
    <w:p>
      <w:r>
        <w:t xml:space="preserve">This review was conducted with the assistance of a large language model (Claude, Anthropic) using web search, publisher and repository pages, and the OpenAlex and Crossref databases. Paywalls prevented full reading of some originals and later papers; these cases are marked. Monitoring figures change as agencies revise their series, so figures are tied to the publication they come from. No changes have been made to the VV Futures repository or website; integration of approved material is for the maintainer.</w:t>
      </w:r>
    </w:p>
    <w:p>
      <w:pPr>
        <w:pStyle w:val="Heading1"/>
      </w:pPr>
      <w:r>
        <w:t xml:space="preserve">Accounts in this review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100"/>
        <w:gridCol w:w="1900"/>
        <w:gridCol w:w="1812"/>
      </w:tblGrid>
      <w:tr>
        <w:trPr>
          <w:cantSplit/>
          <w:tblHeader/>
        </w:trPr>
        <w:tc>
          <w:tcPr>
            <w:tcW w:type="dxa" w:w="6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No.</w:t>
            </w:r>
          </w:p>
        </w:tc>
        <w:tc>
          <w:tcPr>
            <w:tcW w:type="dxa" w:w="40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Account</w:t>
            </w:r>
          </w:p>
        </w:tc>
        <w:tc>
          <w:tcPr>
            <w:tcW w:type="dxa" w:w="11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Claim record</w:t>
            </w:r>
          </w:p>
        </w:tc>
        <w:tc>
          <w:tcPr>
            <w:tcW w:type="dxa" w:w="1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Existing account</w:t>
            </w:r>
          </w:p>
        </w:tc>
        <w:tc>
          <w:tcPr>
            <w:tcW w:type="dxa" w:w="1812"/>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7"/>
                <w:szCs w:val="17"/>
              </w:rPr>
              <w:t xml:space="preserve">Review status</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01</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EU gas supply options and the Southern Gas Corridor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458</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New account</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02</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Renewable electricity from North Africa for Europe, 2050 (2014)</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421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New account</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03</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 Europe-wide CO₂ transport network for carbon capture and storage (2014)</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427</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New account</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Source-verified</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04</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Foresight for EU roles as a global security actor to 2035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437</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02</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Source-verified</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05</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Towards Europe 2035: decline, dependence and strategic unity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460</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16</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Provisional interpretation</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06</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Constructivist forecasting and the EU as a military power (2011)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501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57</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07</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European air quality and climate in 2050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444</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07</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Provisional interpretation</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08</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Projected ozone exposure in Europe by 2030 (2012)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468</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24</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Provisional interpretation</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09</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Climate change and ozone-related mortality in Europe (2012)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469</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25</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10</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Climatic suitability of Europe for the Asian tiger mosquito (2012)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475</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31</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Source-verified</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11</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Stocks versus increments: managing EU forest biomass to 2100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452</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11</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Provisional interpretation</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12</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Opening Finland–Russia rail transport to competition (2011)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491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47</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13</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Backcasting a low-emission Finland in 2050 (2012)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465</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21</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14</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Foresight Tackling Obesities: UK projections to 2050 (2011)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498</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54</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Source-verified</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15</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Projected obesity and its costs in Ireland to 2030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439</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New account</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Provisional interpretation</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16</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Scenarios for the supply of NHS nurses in England to 2022 (2012)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481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37</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Source-verified</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17</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Health impacts of waste incinerators and landfills to 2050 (2011)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496</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52</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Provisional interpretation</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18</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Immigration and integration scenarios for Europe to 2050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448</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New account</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19</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Superconductivity and the environment: a roadmap (2013)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455</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13</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Insufficient evidence</w:t>
            </w:r>
          </w:p>
        </w:tc>
      </w:tr>
      <w:tr>
        <w:trPr>
          <w:cantSplit/>
        </w:trPr>
        <w:tc>
          <w:tcPr>
            <w:tcW w:type="dxa" w:w="6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20</w:t>
            </w:r>
          </w:p>
        </w:tc>
        <w:tc>
          <w:tcPr>
            <w:tcW w:type="dxa" w:w="4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Future roles for farmers’ markets in Alberta and British Columbia (2012)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471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Revision of 27</w:t>
            </w:r>
          </w:p>
        </w:tc>
        <w:tc>
          <w:tcPr>
            <w:tcW w:type="dxa" w:w="18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7"/>
                <w:szCs w:val="17"/>
              </w:rPr>
              <w:t xml:space="preserve">Abstract-only assessment</w:t>
            </w:r>
          </w:p>
        </w:tc>
      </w:tr>
    </w:tbl>
    <w:p>
      <w:r>
        <w:br w:type="page"/>
      </w:r>
    </w:p>
    <w:p>
      <w:pPr>
        <w:pStyle w:val="Heading1"/>
      </w:pPr>
      <w:r>
        <w:t xml:space="preserve">Energy infrastructure imagined in 2013–2014</w:t>
      </w:r>
    </w:p>
    <w:p>
      <w:r>
        <w:t xml:space="preserve">Three studies from 2013–2014 imagined how Europe would secure and decarbonise its energy supply: a gas pipeline route from the Caspian, renewable electricity imported from North Africa, and a continental network carrying captured CO₂ to storage. All three met developments their authors did not model — a war that ended most Russian gas imports, slow renewable growth south of the Mediterranean, and a decade-long delay in carbon capture — and each question has since been reframed.</w:t>
      </w:r>
    </w:p>
    <w:p>
      <w:pPr>
        <w:pStyle w:val="Heading2"/>
      </w:pPr>
      <w:r>
        <w:t xml:space="preserve">Account 01 — EU gas supply options and the Southern Gas Corridor (2013)</w:t>
      </w:r>
    </w:p>
    <w:p>
      <w:pPr>
        <w:spacing w:after="100"/>
      </w:pPr>
      <w:r>
        <w:rPr>
          <w:rFonts w:ascii="Calibri" w:cs="Calibri" w:eastAsia="Calibri" w:hAnsi="Calibri"/>
          <w:b/>
          <w:bCs/>
          <w:color w:val="1F3A5F"/>
          <w:sz w:val="20"/>
          <w:szCs w:val="20"/>
        </w:rPr>
        <w:t xml:space="preserve">Existing VV Futures account. </w:t>
      </w:r>
      <w:r>
        <w:t xml:space="preserve">New account. There is no earlier VV Futures account for claim record 458.</w:t>
      </w:r>
    </w:p>
    <w:p>
      <w:pPr>
        <w:spacing w:after="100"/>
      </w:pPr>
      <w:r>
        <w:rPr>
          <w:rFonts w:ascii="Calibri" w:cs="Calibri" w:eastAsia="Calibri" w:hAnsi="Calibri"/>
          <w:b/>
          <w:bCs/>
          <w:color w:val="1F3A5F"/>
          <w:sz w:val="20"/>
          <w:szCs w:val="20"/>
        </w:rPr>
        <w:t xml:space="preserve">Original study. </w:t>
      </w:r>
      <w:r>
        <w:t xml:space="preserve">Fernandes, Jeverson &amp; Ermida, Graça (2013). The European Union’s Strategic Gas Supply Options and the Prevalence of the Southern Corridor. </w:t>
      </w:r>
      <w:r>
        <w:rPr>
          <w:i/>
          <w:iCs/>
        </w:rPr>
        <w:t xml:space="preserve">European Foreign Affairs Review</w:t>
      </w:r>
      <w:r>
        <w:t xml:space="preserve"> 18, 547–561 (Kluwer Law International; issue designation given inconsistently as no. 4 or special issue). </w:t>
      </w:r>
      <w:hyperlink w:history="1" r:id="rIdcbxafnclevsjwper3zs-n">
        <w:r>
          <w:rPr>
            <w:rStyle w:val="Hyperlink"/>
          </w:rPr>
          <w:t xml:space="preserve">https://doi.org/10.54648/eerr2013040</w:t>
        </w:r>
      </w:hyperlink>
      <w:r>
        <w:t xml:space="preserve"> (paywalled; abstract and publisher landing page used).</w:t>
      </w:r>
    </w:p>
    <w:p>
      <w:pPr>
        <w:spacing w:after="100"/>
      </w:pPr>
      <w:r>
        <w:rPr>
          <w:rFonts w:ascii="Calibri" w:cs="Calibri" w:eastAsia="Calibri" w:hAnsi="Calibri"/>
          <w:b/>
          <w:bCs/>
          <w:color w:val="1F3A5F"/>
          <w:sz w:val="20"/>
          <w:szCs w:val="20"/>
        </w:rPr>
        <w:t xml:space="preserve">Original future claim. </w:t>
      </w:r>
      <w:r>
        <w:t xml:space="preserve">Paraphrase from the abstract: EU gas consumption was expected to rise significantly, and the authors cite current estimates that the EU would need to import “up to 80% of the gas it will consume in 2030”, amid strong concern about reliance on Russian gas, especially in Eastern Europe. Weighing shale gas, more LNG and supplier diversification, they conclude that the EU’s main priority appeared to be the Southern Gas Corridor, with Turkey retaining its strategic importance as a hub. The 80% figure is a cited projection; the article’s own forward-looking claim is the prevalence of the corridor. Catalogue excerpt: HISTORICAL-CLAIMS record 458 (which reproduces only the import-dependence sentences).</w:t>
      </w:r>
    </w:p>
    <w:p>
      <w:pPr>
        <w:spacing w:after="100"/>
      </w:pPr>
      <w:r>
        <w:rPr>
          <w:rFonts w:ascii="Calibri" w:cs="Calibri" w:eastAsia="Calibri" w:hAnsi="Calibri"/>
          <w:b/>
          <w:bCs/>
          <w:color w:val="1F3A5F"/>
          <w:sz w:val="20"/>
          <w:szCs w:val="20"/>
        </w:rPr>
        <w:t xml:space="preserve">What was envisioned. </w:t>
      </w:r>
      <w:r>
        <w:t xml:space="preserve">A Union whose gas demand keeps growing and whose dependence on imports, above all from Russia, deepens towards 2030, with security of supply sought chiefly through a new pipeline route bringing Caspian gas across Turkey into south-eastern Europe.</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concern about import dependence proved well founded, but for a different reason than expected. Eurostat’s energy-dependency series shows the EU-27’s import dependence for natural gas rising from 68.3% in 2013 to above 80% already in 2017 (80.2%), peaking at 97.6% in 2022 and standing at 85.0% in 2024. The driver was the collapse of domestic production — from about 135 bcm in 2013 to about 37 bcm in 2024 — not rising demand. Gas consumption never grew as the article assumed: it stayed around 390–420 bcm until 2021 and then fell by about a fifth, to about 335 bcm in 2023 and 2024.</w:t>
      </w:r>
    </w:p>
    <w:p>
      <w:r>
        <w:t xml:space="preserve">The Southern Gas Corridor was built. Analyses published in 2017–2018 already described it as far smaller than earlier EU ambitions: about 10 bcm a year for Europe once the Trans Adriatic Pipeline (TAP) opened, against Commission expectations around 2011 of roughly 10–20% of EU demand. Eurostat records EU imports from Azerbaijan from 2020, at about 12 bcm a year in 2022–2024, or roughly 4% of extra-EU gas imports in 2024. TAP reported in July 2026 that it had delivered more than 60 bcm to Europe since starting operations, and its first expansion phase adds 1.2 bcm a year of long-term capacity from early 2026. After Russia’s full-scale invasion of Ukraine, the REPowerEU plan of May 2022 supported expanding the corridor to 20 bcm a year.</w:t>
      </w:r>
    </w:p>
    <w:p>
      <w:r>
        <w:t xml:space="preserve">The decisive diversification came from elsewhere. Russia’s share of extra-EU gas imports fell from about 44% in 2021 to 11–14% in 2023–2024 (calculations from Eurostat partner data), while imports from the United States, almost all LNG, rose to about 46–57 bcm a year and Norway became the largest supplier. Demand reduction removed a large part of the need. In January 2026 the EU adopted Regulation (EU) 2026/261, which prohibits Russian pipeline gas and LNG imports, with transition periods ending between 2026 and late 2027.</w:t>
      </w:r>
    </w:p>
    <w:p>
      <w:pPr>
        <w:spacing w:after="100"/>
      </w:pPr>
      <w:r>
        <w:rPr>
          <w:rFonts w:ascii="Calibri" w:cs="Calibri" w:eastAsia="Calibri" w:hAnsi="Calibri"/>
          <w:b/>
          <w:bCs/>
          <w:color w:val="1F3A5F"/>
          <w:sz w:val="20"/>
          <w:szCs w:val="20"/>
        </w:rPr>
        <w:t xml:space="preserve">Interpretation. </w:t>
      </w:r>
      <w:r>
        <w:t xml:space="preserve">The import-dependence warning materialised early, through falling domestic production rather than rising demand. The Southern Corridor became a working supply route but at modest scale; it did not “prevail” as the Union’s central diversification option. The break with Russian gas came through an unexpected geopolitical shock and was achieved mainly through LNG, Norwegian supply and lower demand.</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Eurostat (dataset updated 16 July 2026). </w:t>
      </w:r>
      <w:r>
        <w:rPr>
          <w:i/>
          <w:iCs/>
          <w:sz w:val="19"/>
          <w:szCs w:val="19"/>
        </w:rPr>
        <w:t xml:space="preserve">Energy imports dependency</w:t>
      </w:r>
      <w:r>
        <w:rPr>
          <w:sz w:val="19"/>
          <w:szCs w:val="19"/>
        </w:rPr>
        <w:t xml:space="preserve"> (nrg_ind_id), natural gas, EU27_2020, 1990–2024. Eurostat database, </w:t>
      </w:r>
      <w:hyperlink w:history="1" r:id="rId-zw3lqsvvrm6eids1iszs">
        <w:r>
          <w:rPr>
            <w:rStyle w:val="Hyperlink"/>
            <w:sz w:val="19"/>
            <w:szCs w:val="19"/>
          </w:rPr>
          <w:t xml:space="preserve">https://ec.europa.eu/eurostat/web/main/data/database</w:t>
        </w:r>
      </w:hyperlink>
      <w:r>
        <w:rPr>
          <w:sz w:val="19"/>
          <w:szCs w:val="19"/>
        </w:rPr>
        <w:t xml:space="preserve"> — 68.3% (2013), 80.2% (2017), 97.6% (2022), 85.0% (2024). Dataset; direct evidence.</w:t>
      </w:r>
    </w:p>
    <w:p>
      <w:pPr>
        <w:spacing w:after="80"/>
        <w:ind w:left="360" w:hanging="360"/>
      </w:pPr>
      <w:r>
        <w:rPr>
          <w:sz w:val="19"/>
          <w:szCs w:val="19"/>
        </w:rPr>
        <w:t xml:space="preserve">Eurostat (dataset updated 9 October 2026). </w:t>
      </w:r>
      <w:r>
        <w:rPr>
          <w:i/>
          <w:iCs/>
          <w:sz w:val="19"/>
          <w:szCs w:val="19"/>
        </w:rPr>
        <w:t xml:space="preserve">Supply, transformation and consumption of gas</w:t>
      </w:r>
      <w:r>
        <w:rPr>
          <w:sz w:val="19"/>
          <w:szCs w:val="19"/>
        </w:rPr>
        <w:t xml:space="preserve"> (nrg_cb_gas) and </w:t>
      </w:r>
      <w:r>
        <w:rPr>
          <w:i/>
          <w:iCs/>
          <w:sz w:val="19"/>
          <w:szCs w:val="19"/>
        </w:rPr>
        <w:t xml:space="preserve">Imports of natural gas by partner country</w:t>
      </w:r>
      <w:r>
        <w:rPr>
          <w:sz w:val="19"/>
          <w:szCs w:val="19"/>
        </w:rPr>
        <w:t xml:space="preserve"> (nrg_ti_gas), EU27_2020. Eurostat database (as above) — inland consumption about 393 bcm (2013) and 336 bcm (2024); production 135 bcm (2013) and 37 bcm (2024); imports from Azerbaijan about 12 bcm a year in 2022–2024; partner shares calculated by the reviewer. Dataset; direct evidence.</w:t>
      </w:r>
    </w:p>
    <w:p>
      <w:pPr>
        <w:spacing w:after="80"/>
        <w:ind w:left="360" w:hanging="360"/>
      </w:pPr>
      <w:r>
        <w:rPr>
          <w:sz w:val="19"/>
          <w:szCs w:val="19"/>
        </w:rPr>
        <w:t xml:space="preserve">Pirani, S. (2018). </w:t>
      </w:r>
      <w:r>
        <w:rPr>
          <w:i/>
          <w:iCs/>
          <w:sz w:val="19"/>
          <w:szCs w:val="19"/>
        </w:rPr>
        <w:t xml:space="preserve">Let’s not exaggerate – Southern Gas Corridor prospects to 2030</w:t>
      </w:r>
      <w:r>
        <w:rPr>
          <w:sz w:val="19"/>
          <w:szCs w:val="19"/>
        </w:rPr>
        <w:t xml:space="preserve">. Oxford Institute for Energy Studies, Paper NG 135. </w:t>
      </w:r>
      <w:hyperlink w:history="1" r:id="rIdnedeqlwqu8vh3-o-yugbo">
        <w:r>
          <w:rPr>
            <w:rStyle w:val="Hyperlink"/>
            <w:sz w:val="19"/>
            <w:szCs w:val="19"/>
          </w:rPr>
          <w:t xml:space="preserve">https://doi.org/10.26889/9781784671167</w:t>
        </w:r>
      </w:hyperlink>
      <w:r>
        <w:rPr>
          <w:sz w:val="19"/>
          <w:szCs w:val="19"/>
        </w:rPr>
        <w:t xml:space="preserve"> — about 10 bcm a year expected for Europe, no more than about 2% of demand, far below Commission assumptions of around 2011. Full text read; explanatory evidence and pre-2022 later foresight.</w:t>
      </w:r>
    </w:p>
    <w:p>
      <w:pPr>
        <w:spacing w:after="80"/>
        <w:ind w:left="360" w:hanging="360"/>
      </w:pPr>
      <w:r>
        <w:rPr>
          <w:sz w:val="19"/>
          <w:szCs w:val="19"/>
        </w:rPr>
        <w:t xml:space="preserve">Siddi, M. (2017). </w:t>
      </w:r>
      <w:r>
        <w:rPr>
          <w:i/>
          <w:iCs/>
          <w:sz w:val="19"/>
          <w:szCs w:val="19"/>
        </w:rPr>
        <w:t xml:space="preserve">The Southern Gas Corridor: Challenges to a geopolitical approach in the EU’s external energy policy</w:t>
      </w:r>
      <w:r>
        <w:rPr>
          <w:sz w:val="19"/>
          <w:szCs w:val="19"/>
        </w:rPr>
        <w:t xml:space="preserve">. FIIA Briefing Paper 216. </w:t>
      </w:r>
      <w:hyperlink w:history="1" r:id="rIdpcpu0tlarazsprfxk2124">
        <w:r>
          <w:rPr>
            <w:rStyle w:val="Hyperlink"/>
            <w:sz w:val="19"/>
            <w:szCs w:val="19"/>
          </w:rPr>
          <w:t xml:space="preserve">https://fiia.fi/wp-content/uploads/2017/04/bp216_the_southern_gas_corridor.pdf</w:t>
        </w:r>
      </w:hyperlink>
      <w:r>
        <w:rPr>
          <w:sz w:val="19"/>
          <w:szCs w:val="19"/>
        </w:rPr>
        <w:t xml:space="preserve"> — corridor capacity of 16 bcm a year with 10 bcm for the EU, against the 31 bcm once planned for Nabucco; the corridor would not significantly diversify EU imports. Full text read; explanatory evidence.</w:t>
      </w:r>
    </w:p>
    <w:p>
      <w:pPr>
        <w:spacing w:after="80"/>
        <w:ind w:left="360" w:hanging="360"/>
      </w:pPr>
      <w:r>
        <w:rPr>
          <w:sz w:val="19"/>
          <w:szCs w:val="19"/>
        </w:rPr>
        <w:t xml:space="preserve">Trans Adriatic Pipeline AG (10 July 2026). </w:t>
      </w:r>
      <w:r>
        <w:rPr>
          <w:i/>
          <w:iCs/>
          <w:sz w:val="19"/>
          <w:szCs w:val="19"/>
        </w:rPr>
        <w:t xml:space="preserve">One flow, two milestones: 60 bcm delivered to Europe, 50 bcm to Italy</w:t>
      </w:r>
      <w:r>
        <w:rPr>
          <w:sz w:val="19"/>
          <w:szCs w:val="19"/>
        </w:rPr>
        <w:t xml:space="preserve">. </w:t>
      </w:r>
      <w:hyperlink w:history="1" r:id="rIdao7sg2eoguobsbm1vnuqc">
        <w:r>
          <w:rPr>
            <w:rStyle w:val="Hyperlink"/>
            <w:sz w:val="19"/>
            <w:szCs w:val="19"/>
          </w:rPr>
          <w:t xml:space="preserve">https://www.tap-ag.com/news/news-stories/one-flow-two-milestones-60-bcm-delivered-to-europe-50-bcm-to-italy</w:t>
        </w:r>
      </w:hyperlink>
      <w:r>
        <w:rPr>
          <w:sz w:val="19"/>
          <w:szCs w:val="19"/>
        </w:rPr>
        <w:t xml:space="preserve"> — more than 60 bcm delivered since start of operations; first expansion phase adds 1.2 bcm a year from early 2026. Company web page; direct evidence on volumes.</w:t>
      </w:r>
    </w:p>
    <w:p>
      <w:pPr>
        <w:spacing w:after="80"/>
        <w:ind w:left="360" w:hanging="360"/>
      </w:pPr>
      <w:r>
        <w:rPr>
          <w:sz w:val="19"/>
          <w:szCs w:val="19"/>
        </w:rPr>
        <w:t xml:space="preserve">European Commission (2022). </w:t>
      </w:r>
      <w:r>
        <w:rPr>
          <w:i/>
          <w:iCs/>
          <w:sz w:val="19"/>
          <w:szCs w:val="19"/>
        </w:rPr>
        <w:t xml:space="preserve">REPowerEU Plan</w:t>
      </w:r>
      <w:r>
        <w:rPr>
          <w:sz w:val="19"/>
          <w:szCs w:val="19"/>
        </w:rPr>
        <w:t xml:space="preserve">, COM(2022) 230 final, 18 May 2022. </w:t>
      </w:r>
      <w:hyperlink w:history="1" r:id="rIdr-4qa_m22wvk3qvlifjiu">
        <w:r>
          <w:rPr>
            <w:rStyle w:val="Hyperlink"/>
            <w:sz w:val="19"/>
            <w:szCs w:val="19"/>
          </w:rPr>
          <w:t xml:space="preserve">https://eur-lex.europa.eu/legal-content/EN/TXT/?uri=CELEX:52022DC0230</w:t>
        </w:r>
      </w:hyperlink>
      <w:r>
        <w:rPr>
          <w:sz w:val="19"/>
          <w:szCs w:val="19"/>
        </w:rPr>
        <w:t xml:space="preserve"> — diversification through LNG, joint purchasing, demand reduction and renewables; support for expanding the corridor to 20 bcm a year. Full text read; reframing evidence.</w:t>
      </w:r>
    </w:p>
    <w:p>
      <w:pPr>
        <w:spacing w:after="80"/>
        <w:ind w:left="360" w:hanging="360"/>
      </w:pPr>
      <w:r>
        <w:rPr>
          <w:sz w:val="19"/>
          <w:szCs w:val="19"/>
        </w:rPr>
        <w:t xml:space="preserve">Regulation (EU) 2026/261 of 26 January 2026 on phasing out Russian natural gas imports. Official Journal L, 2 February 2026. </w:t>
      </w:r>
      <w:hyperlink w:history="1" r:id="rIdipnltvwaafk7xf6pd7myh">
        <w:r>
          <w:rPr>
            <w:rStyle w:val="Hyperlink"/>
            <w:sz w:val="19"/>
            <w:szCs w:val="19"/>
          </w:rPr>
          <w:t xml:space="preserve">https://eur-lex.europa.eu/eli/reg/2026/261/oj</w:t>
        </w:r>
      </w:hyperlink>
      <w:r>
        <w:rPr>
          <w:sz w:val="19"/>
          <w:szCs w:val="19"/>
        </w:rPr>
        <w:t xml:space="preserve"> — prohibition of Russian pipeline gas and LNG with transition periods to late 2027. Full text read; direct and reframing evidence.</w:t>
      </w:r>
    </w:p>
    <w:p>
      <w:pPr>
        <w:spacing w:after="100"/>
      </w:pPr>
      <w:r>
        <w:rPr>
          <w:rFonts w:ascii="Calibri" w:cs="Calibri" w:eastAsia="Calibri" w:hAnsi="Calibri"/>
          <w:b/>
          <w:bCs/>
          <w:color w:val="1F3A5F"/>
          <w:sz w:val="20"/>
          <w:szCs w:val="20"/>
        </w:rPr>
        <w:t xml:space="preserve">Evidence limitations. </w:t>
      </w:r>
      <w:r>
        <w:t xml:space="preserve">The original article was read as an abstract only, so the projects it compared (Nabucco, TAP, ITGI, South Stream) and the source of the 80% estimate are unchecked. Corridor milestones such as the 2013 selection of TAP and the July 2022 EU–Azerbaijan memorandum were not verified against primary sources. Partner shares are the reviewer’s calculations from Eurostat data that contain sizeable unallocated volumes, and today’s EU-27 aggregate differs from the EU-28 of 2013.</w:t>
      </w:r>
    </w:p>
    <w:p>
      <w:pPr>
        <w:spacing w:after="100"/>
      </w:pPr>
      <w:r>
        <w:rPr>
          <w:rFonts w:ascii="Calibri" w:cs="Calibri" w:eastAsia="Calibri" w:hAnsi="Calibri"/>
          <w:b/>
          <w:bCs/>
          <w:color w:val="1F3A5F"/>
          <w:sz w:val="20"/>
          <w:szCs w:val="20"/>
        </w:rPr>
        <w:t xml:space="preserve">Review status. </w:t>
      </w:r>
      <w:r>
        <w:t xml:space="preserve">Abstract-only assessment. Later statistical and legal evidence was read in full.</w:t>
      </w:r>
    </w:p>
    <w:p>
      <w:pPr>
        <w:pBdr>
          <w:bottom w:val="single" w:color="B8C2CC" w:sz="6" w:space="1"/>
        </w:pBdr>
        <w:spacing w:after="120"/>
      </w:pPr>
    </w:p>
    <w:p>
      <w:pPr>
        <w:pStyle w:val="Heading2"/>
      </w:pPr>
      <w:r>
        <w:t xml:space="preserve">Account 02 — Renewable electricity from North Africa for Europe, 2050 (2014)</w:t>
      </w:r>
    </w:p>
    <w:p>
      <w:pPr>
        <w:spacing w:after="100"/>
      </w:pPr>
      <w:r>
        <w:rPr>
          <w:rFonts w:ascii="Calibri" w:cs="Calibri" w:eastAsia="Calibri" w:hAnsi="Calibri"/>
          <w:b/>
          <w:bCs/>
          <w:color w:val="1F3A5F"/>
          <w:sz w:val="20"/>
          <w:szCs w:val="20"/>
        </w:rPr>
        <w:t xml:space="preserve">Existing VV Futures account. </w:t>
      </w:r>
      <w:r>
        <w:t xml:space="preserve">New account. There is no earlier VV Futures account for claim record 421.</w:t>
      </w:r>
    </w:p>
    <w:p>
      <w:pPr>
        <w:spacing w:after="100"/>
      </w:pPr>
      <w:r>
        <w:rPr>
          <w:rFonts w:ascii="Calibri" w:cs="Calibri" w:eastAsia="Calibri" w:hAnsi="Calibri"/>
          <w:b/>
          <w:bCs/>
          <w:color w:val="1F3A5F"/>
          <w:sz w:val="20"/>
          <w:szCs w:val="20"/>
        </w:rPr>
        <w:t xml:space="preserve">Original study. </w:t>
      </w:r>
      <w:r>
        <w:t xml:space="preserve">Boie, Inga, Pudlik, Martin, Ragwitz, Mario, Sensfuß, Frank (Fraunhofer ISI), Bohn, Sven, Agsten, Michael, Bretschneider, Peter &amp; Westermann, Dirk (Fraunhofer IOSB-AST) (2014). Scenarios for renewable energy deployment in North African countries and electricity exchange with Europe – A model-based analysis for 2050. </w:t>
      </w:r>
      <w:r>
        <w:rPr>
          <w:i/>
          <w:iCs/>
        </w:rPr>
        <w:t xml:space="preserve">International Journal of Smart Grid and Clean Energy</w:t>
      </w:r>
      <w:r>
        <w:t xml:space="preserve"> 3(3), 299–306. </w:t>
      </w:r>
      <w:hyperlink w:history="1" r:id="rIdryq03w4vrcyewr0obsvto">
        <w:r>
          <w:rPr>
            <w:rStyle w:val="Hyperlink"/>
          </w:rPr>
          <w:t xml:space="preserve">https://doi.org/10.12720/sgce.3.3.299-306</w:t>
        </w:r>
      </w:hyperlink>
      <w:r>
        <w:t xml:space="preserve"> (the open-access PDF could not be retrieved; abstract read, scenario figures taken from the same team’s 2016 Fraunhofer report).</w:t>
      </w:r>
    </w:p>
    <w:p>
      <w:pPr>
        <w:spacing w:after="100"/>
      </w:pPr>
      <w:r>
        <w:rPr>
          <w:rFonts w:ascii="Calibri" w:cs="Calibri" w:eastAsia="Calibri" w:hAnsi="Calibri"/>
          <w:b/>
          <w:bCs/>
          <w:color w:val="1F3A5F"/>
          <w:sz w:val="20"/>
          <w:szCs w:val="20"/>
        </w:rPr>
        <w:t xml:space="preserve">Original future claim. </w:t>
      </w:r>
      <w:r>
        <w:t xml:space="preserve">Paraphrase from the abstract: four scenarios with renewable shares of 83–98% of electricity generation (regional average) in Morocco, Algeria, Tunisia, Libya and Egypt by 2050, evaluating the opportunities and technical challenges of electricity exchange within the region and with Europe; the authors found that “extensive grid reinforcements would be required” (abstract). The 2016 Fraunhofer report by the same team specifies that two scenarios assume exports to Europe, of about 191–347 TWh a year in 2050, with renewable shares of 59–68% already in 2030. Catalogue excerpt: HISTORICAL-CLAIMS record 421.</w:t>
      </w:r>
    </w:p>
    <w:p>
      <w:pPr>
        <w:spacing w:after="100"/>
      </w:pPr>
      <w:r>
        <w:rPr>
          <w:rFonts w:ascii="Calibri" w:cs="Calibri" w:eastAsia="Calibri" w:hAnsi="Calibri"/>
          <w:b/>
          <w:bCs/>
          <w:color w:val="1F3A5F"/>
          <w:sz w:val="20"/>
          <w:szCs w:val="20"/>
        </w:rPr>
        <w:t xml:space="preserve">What was envisioned. </w:t>
      </w:r>
      <w:r>
        <w:t xml:space="preserve">A North Africa that decarbonises its own fast-growing power system and, in the export variants, becomes a major supplier of renewable electricity to Europe through reinforced grids and long-distance HVDC links — the technical core of the Desertec-era vision of a Mediterranean energy partnership. The scenarios were conditional pathways, not predictions.</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2050 horizon has not been reached, but current trends lie far below all four pathways. Ember generation data show renewables supplying about 9% of electricity across the five countries in 2024, up from about 6.5% in 2013 (reviewer’s aggregation). Morocco reached about 24% and Egypt about 11%, while Tunisia, Algeria and Libya remained at or below about 4%. The scenarios’ intermediate shares for 2030 were around 59–68%.</w:t>
      </w:r>
    </w:p>
    <w:p>
      <w:r>
        <w:t xml:space="preserve">Electricity trade across the Mediterranean stayed small and ran largely in the opposite direction. Eurostat’s trade statistics record EU–North Africa electricity flows only between Spain and Morocco. Morocco was a small net exporter to Spain in 2019 and 2021, but since 2022 Spain has been a growing net exporter, with about 2.9 TWh of exports against about 0.4 TWh of imports in 2024 — three orders of magnitude below the export volumes of the export scenarios.</w:t>
      </w:r>
    </w:p>
    <w:p>
      <w:r>
        <w:t xml:space="preserve">The policy framing changed. The REPowerEU plan of 2022 set a target of 10 million tonnes of renewable hydrogen imports by 2030, with a Mediterranean import corridor among three, and later modelling discusses combined electricity-and-hydrogen partnerships between Europe and North Africa rather than electricity export alone. Individual interconnector projects proposed since then were not verified in this review and are not assessed here.</w:t>
      </w:r>
    </w:p>
    <w:p>
      <w:pPr>
        <w:spacing w:after="100"/>
      </w:pPr>
      <w:r>
        <w:rPr>
          <w:rFonts w:ascii="Calibri" w:cs="Calibri" w:eastAsia="Calibri" w:hAnsi="Calibri"/>
          <w:b/>
          <w:bCs/>
          <w:color w:val="1F3A5F"/>
          <w:sz w:val="20"/>
          <w:szCs w:val="20"/>
        </w:rPr>
        <w:t xml:space="preserve">Interpretation. </w:t>
      </w:r>
      <w:r>
        <w:t xml:space="preserve">So far the imagined pathway of large-scale renewable electricity exports from North Africa to Europe has not materialised; the region’s own renewable build-out has been slow outside Morocco, and the export idea has been largely reframed towards hydrogen and selected bilateral interconnectors. Because the scenarios are conditional and their horizon is 2050, they remain formally open, but the intermediate milestones are far out of reach.</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Ember, yearly electricity data, accessed via Our World in Data (last updated 30 June 2026). </w:t>
      </w:r>
      <w:r>
        <w:rPr>
          <w:i/>
          <w:iCs/>
          <w:sz w:val="19"/>
          <w:szCs w:val="19"/>
        </w:rPr>
        <w:t xml:space="preserve">Share of electricity generation from renewables</w:t>
      </w:r>
      <w:r>
        <w:rPr>
          <w:sz w:val="19"/>
          <w:szCs w:val="19"/>
        </w:rPr>
        <w:t xml:space="preserve"> and </w:t>
      </w:r>
      <w:r>
        <w:rPr>
          <w:i/>
          <w:iCs/>
          <w:sz w:val="19"/>
          <w:szCs w:val="19"/>
        </w:rPr>
        <w:t xml:space="preserve">Electricity production by source</w:t>
      </w:r>
      <w:r>
        <w:rPr>
          <w:sz w:val="19"/>
          <w:szCs w:val="19"/>
        </w:rPr>
        <w:t xml:space="preserve">. </w:t>
      </w:r>
      <w:hyperlink w:history="1" r:id="rIdg4opx2xcnfgjcpswhdgre">
        <w:r>
          <w:rPr>
            <w:rStyle w:val="Hyperlink"/>
            <w:sz w:val="19"/>
            <w:szCs w:val="19"/>
          </w:rPr>
          <w:t xml:space="preserve">https://ourworldindata.org/grapher/share-electricity-renewables</w:t>
        </w:r>
      </w:hyperlink>
      <w:r>
        <w:rPr>
          <w:sz w:val="19"/>
          <w:szCs w:val="19"/>
        </w:rPr>
        <w:t xml:space="preserve"> — 2024 renewable shares: Morocco 24.4%, Egypt 11.2%, Tunisia 4.4%, Algeria 1.1%, Libya about 0%; five-country aggregate about 9.0% (2024) versus 6.5% (2013), reviewer’s calculation. Dataset; direct evidence.</w:t>
      </w:r>
    </w:p>
    <w:p>
      <w:pPr>
        <w:spacing w:after="80"/>
        <w:ind w:left="360" w:hanging="360"/>
      </w:pPr>
      <w:r>
        <w:rPr>
          <w:sz w:val="19"/>
          <w:szCs w:val="19"/>
        </w:rPr>
        <w:t xml:space="preserve">Eurostat (datasets updated 22 October 2026). </w:t>
      </w:r>
      <w:r>
        <w:rPr>
          <w:i/>
          <w:iCs/>
          <w:sz w:val="19"/>
          <w:szCs w:val="19"/>
        </w:rPr>
        <w:t xml:space="preserve">Imports and exports of electricity by partner country</w:t>
      </w:r>
      <w:r>
        <w:rPr>
          <w:sz w:val="19"/>
          <w:szCs w:val="19"/>
        </w:rPr>
        <w:t xml:space="preserve"> (nrg_ti_eh, nrg_te_eh). Eurostat database, </w:t>
      </w:r>
      <w:hyperlink w:history="1" r:id="rId1zvgw0ne9pwfuxh_po2uh">
        <w:r>
          <w:rPr>
            <w:rStyle w:val="Hyperlink"/>
            <w:sz w:val="19"/>
            <w:szCs w:val="19"/>
          </w:rPr>
          <w:t xml:space="preserve">https://ec.europa.eu/eurostat/web/main/data/database</w:t>
        </w:r>
      </w:hyperlink>
      <w:r>
        <w:rPr>
          <w:sz w:val="19"/>
          <w:szCs w:val="19"/>
        </w:rPr>
        <w:t xml:space="preserve"> — Spain exported 2,896 GWh to and imported 356 GWh from Morocco in 2024; no recorded flows between other EU states and Algeria, Tunisia, Libya or Egypt. Dataset; direct evidence.</w:t>
      </w:r>
    </w:p>
    <w:p>
      <w:pPr>
        <w:spacing w:after="80"/>
        <w:ind w:left="360" w:hanging="360"/>
      </w:pPr>
      <w:r>
        <w:rPr>
          <w:sz w:val="19"/>
          <w:szCs w:val="19"/>
        </w:rPr>
        <w:t xml:space="preserve">Platzer, W. et al. (2016). </w:t>
      </w:r>
      <w:r>
        <w:rPr>
          <w:i/>
          <w:iCs/>
          <w:sz w:val="19"/>
          <w:szCs w:val="19"/>
        </w:rPr>
        <w:t xml:space="preserve">Supergrid – Approach for the integration of renewable energy in Europe and North Africa</w:t>
      </w:r>
      <w:r>
        <w:rPr>
          <w:sz w:val="19"/>
          <w:szCs w:val="19"/>
        </w:rPr>
        <w:t xml:space="preserve">. Fraunhofer study report, 12 March 2016. </w:t>
      </w:r>
      <w:hyperlink w:history="1" r:id="rIdg8etbtsusuuh_4jyp2wtx">
        <w:r>
          <w:rPr>
            <w:rStyle w:val="Hyperlink"/>
            <w:sz w:val="19"/>
            <w:szCs w:val="19"/>
          </w:rPr>
          <w:t xml:space="preserve">https://www.ise.fraunhofer.de/content/dam/ise/en/documents/press-releases/2016/Study_Supergrid_final_160412_.pdf</w:t>
        </w:r>
      </w:hyperlink>
      <w:r>
        <w:rPr>
          <w:sz w:val="19"/>
          <w:szCs w:val="19"/>
        </w:rPr>
        <w:t xml:space="preserve"> — Chapter 3 restates the four 2014 scenarios (renewable shares 83–98% in 2050; exports of 191–347 TWh in the export scenarios). Full text read; companion source used for the original scenario figures.</w:t>
      </w:r>
    </w:p>
    <w:p>
      <w:pPr>
        <w:spacing w:after="80"/>
        <w:ind w:left="360" w:hanging="360"/>
      </w:pPr>
      <w:r>
        <w:rPr>
          <w:sz w:val="19"/>
          <w:szCs w:val="19"/>
        </w:rPr>
        <w:t xml:space="preserve">Boie, I. et al. (2016). Opportunities and challenges of high renewable energy deployment and electricity exchange for North Africa and Europe. </w:t>
      </w:r>
      <w:r>
        <w:rPr>
          <w:i/>
          <w:iCs/>
          <w:sz w:val="19"/>
          <w:szCs w:val="19"/>
        </w:rPr>
        <w:t xml:space="preserve">Renewable Energy</w:t>
      </w:r>
      <w:r>
        <w:rPr>
          <w:sz w:val="19"/>
          <w:szCs w:val="19"/>
        </w:rPr>
        <w:t xml:space="preserve"> 87, 130–144. </w:t>
      </w:r>
      <w:hyperlink w:history="1" r:id="rIdmbh80zkkimbrh4brvvmxh">
        <w:r>
          <w:rPr>
            <w:rStyle w:val="Hyperlink"/>
            <w:sz w:val="19"/>
            <w:szCs w:val="19"/>
          </w:rPr>
          <w:t xml:space="preserve">https://doi.org/10.1016/j.renene.2015.10.008</w:t>
        </w:r>
      </w:hyperlink>
      <w:r>
        <w:rPr>
          <w:sz w:val="19"/>
          <w:szCs w:val="19"/>
        </w:rPr>
        <w:t xml:space="preserve"> — same team reiterates near-100% renewables by 2050 and exports gaining importance after 2030. Abstract only; later foresight.</w:t>
      </w:r>
    </w:p>
    <w:p>
      <w:pPr>
        <w:spacing w:after="80"/>
        <w:ind w:left="360" w:hanging="360"/>
      </w:pPr>
      <w:r>
        <w:rPr>
          <w:sz w:val="19"/>
          <w:szCs w:val="19"/>
        </w:rPr>
        <w:t xml:space="preserve">European Commission (2022). </w:t>
      </w:r>
      <w:r>
        <w:rPr>
          <w:i/>
          <w:iCs/>
          <w:sz w:val="19"/>
          <w:szCs w:val="19"/>
        </w:rPr>
        <w:t xml:space="preserve">REPowerEU Plan</w:t>
      </w:r>
      <w:r>
        <w:rPr>
          <w:sz w:val="19"/>
          <w:szCs w:val="19"/>
        </w:rPr>
        <w:t xml:space="preserve">, COM(2022) 230 final. </w:t>
      </w:r>
      <w:hyperlink w:history="1" r:id="rIdhd-izvhlrckgczvfxfldz">
        <w:r>
          <w:rPr>
            <w:rStyle w:val="Hyperlink"/>
            <w:sz w:val="19"/>
            <w:szCs w:val="19"/>
          </w:rPr>
          <w:t xml:space="preserve">https://eur-lex.europa.eu/legal-content/EN/TXT/?uri=CELEX:52022DC0230</w:t>
        </w:r>
      </w:hyperlink>
      <w:r>
        <w:rPr>
          <w:sz w:val="19"/>
          <w:szCs w:val="19"/>
        </w:rPr>
        <w:t xml:space="preserve"> — 10 million tonnes of renewable hydrogen imports by 2030 and a Mediterranean hydrogen corridor. Full text read; reframing evidence.</w:t>
      </w:r>
    </w:p>
    <w:p>
      <w:pPr>
        <w:spacing w:after="80"/>
        <w:ind w:left="360" w:hanging="360"/>
      </w:pPr>
      <w:r>
        <w:rPr>
          <w:sz w:val="19"/>
          <w:szCs w:val="19"/>
        </w:rPr>
        <w:t xml:space="preserve">van der Zwaan, B., Lamboo, S. &amp; Dalla Longa, F. (2021). Timmermans’ dream: An electricity and hydrogen partnership between Europe and North Africa. </w:t>
      </w:r>
      <w:r>
        <w:rPr>
          <w:i/>
          <w:iCs/>
          <w:sz w:val="19"/>
          <w:szCs w:val="19"/>
        </w:rPr>
        <w:t xml:space="preserve">Energy Policy</w:t>
      </w:r>
      <w:r>
        <w:rPr>
          <w:sz w:val="19"/>
          <w:szCs w:val="19"/>
        </w:rPr>
        <w:t xml:space="preserve"> 159, 112613. </w:t>
      </w:r>
      <w:hyperlink w:history="1" r:id="rIdypxmm1p6jj-ghbr10e0r5">
        <w:r>
          <w:rPr>
            <w:rStyle w:val="Hyperlink"/>
            <w:sz w:val="19"/>
            <w:szCs w:val="19"/>
          </w:rPr>
          <w:t xml:space="preserve">https://doi.org/10.1016/j.enpol.2021.112613</w:t>
        </w:r>
      </w:hyperlink>
      <w:r>
        <w:rPr>
          <w:sz w:val="19"/>
          <w:szCs w:val="19"/>
        </w:rPr>
        <w:t xml:space="preserve"> — models a combined electricity–hydrogen partnership to 2050. Abstract only; reframing and later foresight.</w:t>
      </w:r>
    </w:p>
    <w:p>
      <w:pPr>
        <w:spacing w:after="100"/>
      </w:pPr>
      <w:r>
        <w:rPr>
          <w:rFonts w:ascii="Calibri" w:cs="Calibri" w:eastAsia="Calibri" w:hAnsi="Calibri"/>
          <w:b/>
          <w:bCs/>
          <w:color w:val="1F3A5F"/>
          <w:sz w:val="20"/>
          <w:szCs w:val="20"/>
        </w:rPr>
        <w:t xml:space="preserve">Evidence limitations. </w:t>
      </w:r>
      <w:r>
        <w:t xml:space="preserve">The 2014 paper itself could not be opened; scenario details come from its abstract and the same team’s 2016 report. The retreat of the Desertec industrial initiative, the status of proposed interconnectors (for example Morocco–United Kingdom, Tunisia–Italy and Egypt–Greece) and national hydrogen strategies were not verified. Renewable shares are generation shares partly estimated by Ember and aggregated by the reviewer.</w:t>
      </w:r>
    </w:p>
    <w:p>
      <w:pPr>
        <w:spacing w:after="100"/>
      </w:pPr>
      <w:r>
        <w:rPr>
          <w:rFonts w:ascii="Calibri" w:cs="Calibri" w:eastAsia="Calibri" w:hAnsi="Calibri"/>
          <w:b/>
          <w:bCs/>
          <w:color w:val="1F3A5F"/>
          <w:sz w:val="20"/>
          <w:szCs w:val="20"/>
        </w:rPr>
        <w:t xml:space="preserve">Review status. </w:t>
      </w:r>
      <w:r>
        <w:t xml:space="preserve">Abstract-only assessment (original); later statistical evidence read directly.</w:t>
      </w:r>
    </w:p>
    <w:p>
      <w:pPr>
        <w:pBdr>
          <w:bottom w:val="single" w:color="B8C2CC" w:sz="6" w:space="1"/>
        </w:pBdr>
        <w:spacing w:after="120"/>
      </w:pPr>
    </w:p>
    <w:p>
      <w:pPr>
        <w:pStyle w:val="Heading2"/>
      </w:pPr>
      <w:r>
        <w:t xml:space="preserve">Account 03 — A Europe-wide CO₂ transport network for carbon capture and storage (2014)</w:t>
      </w:r>
    </w:p>
    <w:p>
      <w:pPr>
        <w:spacing w:after="100"/>
      </w:pPr>
      <w:r>
        <w:rPr>
          <w:rFonts w:ascii="Calibri" w:cs="Calibri" w:eastAsia="Calibri" w:hAnsi="Calibri"/>
          <w:b/>
          <w:bCs/>
          <w:color w:val="1F3A5F"/>
          <w:sz w:val="20"/>
          <w:szCs w:val="20"/>
        </w:rPr>
        <w:t xml:space="preserve">Existing VV Futures account. </w:t>
      </w:r>
      <w:r>
        <w:t xml:space="preserve">New account. There is no earlier VV Futures account for claim record 427.</w:t>
      </w:r>
    </w:p>
    <w:p>
      <w:pPr>
        <w:spacing w:after="100"/>
      </w:pPr>
      <w:r>
        <w:rPr>
          <w:rFonts w:ascii="Calibri" w:cs="Calibri" w:eastAsia="Calibri" w:hAnsi="Calibri"/>
          <w:b/>
          <w:bCs/>
          <w:color w:val="1F3A5F"/>
          <w:sz w:val="20"/>
          <w:szCs w:val="20"/>
        </w:rPr>
        <w:t xml:space="preserve">Original study. </w:t>
      </w:r>
      <w:r>
        <w:t xml:space="preserve">Stewart, R. Jamie, Scott, Vivian, Haszeldine, R. Stuart (University of Edinburgh), Ainger, Dominic &amp; Argent, Steve (Arup) (2014). The feasibility of a European-wide integrated CO₂ transport network. </w:t>
      </w:r>
      <w:r>
        <w:rPr>
          <w:i/>
          <w:iCs/>
        </w:rPr>
        <w:t xml:space="preserve">Greenhouse Gases: Science and Technology</w:t>
      </w:r>
      <w:r>
        <w:t xml:space="preserve"> 4(4), 481–494. </w:t>
      </w:r>
      <w:hyperlink w:history="1" r:id="rIdktcujm4fou_iakjanfelt">
        <w:r>
          <w:rPr>
            <w:rStyle w:val="Hyperlink"/>
          </w:rPr>
          <w:t xml:space="preserve">https://doi.org/10.1002/ghg.1410</w:t>
        </w:r>
      </w:hyperlink>
      <w:r>
        <w:t xml:space="preserve"> (accepted author manuscript read in full via the University of Edinburgh repository).</w:t>
      </w:r>
    </w:p>
    <w:p>
      <w:pPr>
        <w:spacing w:after="100"/>
      </w:pPr>
      <w:r>
        <w:rPr>
          <w:rFonts w:ascii="Calibri" w:cs="Calibri" w:eastAsia="Calibri" w:hAnsi="Calibri"/>
          <w:b/>
          <w:bCs/>
          <w:color w:val="1F3A5F"/>
          <w:sz w:val="20"/>
          <w:szCs w:val="20"/>
        </w:rPr>
        <w:t xml:space="preserve">Original future claim. </w:t>
      </w:r>
      <w:r>
        <w:t xml:space="preserve">Key phrase (conclusions): extensive CO₂ pipeline networks “will be required by both low and high levels of CCS deployment”. Paraphrase: modelling capture of 50–350 Mt CO₂ a year by 2030 and 280–800 Mt by 2050, the authors found that least-cost networks would need roughly 7,000–15,000 km of pipeline by 2030 and 12,000–20,000 km by 2050, with pipeline capital costs of the order of €10–20 billion; offshore storage would be needed even at low deployment, almost no 2030 routes would become redundant by 2050, and priority CO₂ corridors should become EU projects of common interest. The catalogued excerpt (HISTORICAL-CLAIMS record 427) gives only the contextual opening sentence.</w:t>
      </w:r>
    </w:p>
    <w:p>
      <w:pPr>
        <w:spacing w:after="100"/>
      </w:pPr>
      <w:r>
        <w:rPr>
          <w:rFonts w:ascii="Calibri" w:cs="Calibri" w:eastAsia="Calibri" w:hAnsi="Calibri"/>
          <w:b/>
          <w:bCs/>
          <w:color w:val="1F3A5F"/>
          <w:sz w:val="20"/>
          <w:szCs w:val="20"/>
        </w:rPr>
        <w:t xml:space="preserve">What was envisioned. </w:t>
      </w:r>
      <w:r>
        <w:t xml:space="preserve">An integrated, transboundary pipeline network carrying captured CO₂ from power plants and industry across the Union to geological storage, chiefly under the North Sea, built under EU-level planning from the 2020s onwards, as implied by the Commission’s 2050 roadmap scenarios in which CCS was applied widely by 2030. The authors already noted that the EU’s CCS demonstration programme had suffered setbacks.</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Deployment on the assumed timescale did not happen. In its February 2024 Industrial Carbon Management Strategy the Commission acknowledged that operational large-scale projects were limited in Europe; draft national plans then projected only about 34 Mt of CO₂ captured in 2030. The Net-Zero Industry Act of June 2024 set a binding Union objective of at least 50 Mt a year of CO₂ injection capacity by 2030 — equal to the lowest of the paper’s 2030 scenarios, and a target rather than an outcome.</w:t>
      </w:r>
    </w:p>
    <w:p>
      <w:r>
        <w:t xml:space="preserve">The infrastructure that is emerging has a different shape from the integrated pipeline system modelled in 2014. The Commission expects the early phase to be organised around industrial clusters, with CO₂ moved to the coast by various means and then shipped to offshore storage; a Commission study it cites estimates a combined pipeline and shipping network of up to 7,300 km by 2030 and around 19,000 km by 2040. The first cross-border transport-and-storage service in operation is ship-based: Norway’s Northern Lights began injecting CO₂ in August 2025, starting with captured emissions from a cement plant in Brevik, with a first-phase capacity of 1.5 Mt a year and a second phase of at least 5 Mt a year planned. A 2026 modelling study for Germany states that pipeline roll-out there had not yet begun.</w:t>
      </w:r>
    </w:p>
    <w:p>
      <w:r>
        <w:t xml:space="preserve">Some of the paper’s recommendations were adopted. CO₂ networks now appear on the Union lists of projects of common and mutual interest, and later modelling continues to find system-cost savings from a European CO₂ network, increasingly planned together with hydrogen networks. Long-term expectations were retained but pushed back: Commission modelling for the 2040 target foresees about 280 Mt captured in 2040 and about 450 Mt in 2050, comparable to the paper’s low-to-medium 2050 scenarios.</w:t>
      </w:r>
    </w:p>
    <w:p>
      <w:pPr>
        <w:spacing w:after="100"/>
      </w:pPr>
      <w:r>
        <w:rPr>
          <w:rFonts w:ascii="Calibri" w:cs="Calibri" w:eastAsia="Calibri" w:hAnsi="Calibri"/>
          <w:b/>
          <w:bCs/>
          <w:color w:val="1F3A5F"/>
          <w:sz w:val="20"/>
          <w:szCs w:val="20"/>
        </w:rPr>
        <w:t xml:space="preserve">Interpretation. </w:t>
      </w:r>
      <w:r>
        <w:t xml:space="preserve">The study’s core insight — that CCS at scale in Europe requires transboundary transport and offshore storage — has been absorbed into EU policy, but the envisaged integrated pipeline network has been delayed by roughly a decade and reshaped into clusters linked by shipping, with 2030 ambitions at the low end of the 2014 scenarios. The 2050 horizon remains open.</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Regulation (EU) 2024/1735 (Net-Zero Industry Act), 13 June 2024, Article 20. </w:t>
      </w:r>
      <w:hyperlink w:history="1" r:id="rIdgdzdve5tvyr5gjkcp2jpd">
        <w:r>
          <w:rPr>
            <w:rStyle w:val="Hyperlink"/>
            <w:sz w:val="19"/>
            <w:szCs w:val="19"/>
          </w:rPr>
          <w:t xml:space="preserve">https://eur-lex.europa.eu/eli/reg/2024/1735/oj</w:t>
        </w:r>
      </w:hyperlink>
      <w:r>
        <w:rPr>
          <w:sz w:val="19"/>
          <w:szCs w:val="19"/>
        </w:rPr>
        <w:t xml:space="preserve"> — Union objective of at least 50 Mt a year of CO₂ injection capacity by 2030; Commission estimates that up to 550 Mt a year may need to be captured by 2050. Full text read; direct and reframing evidence (target).</w:t>
      </w:r>
    </w:p>
    <w:p>
      <w:pPr>
        <w:spacing w:after="80"/>
        <w:ind w:left="360" w:hanging="360"/>
      </w:pPr>
      <w:r>
        <w:rPr>
          <w:sz w:val="19"/>
          <w:szCs w:val="19"/>
        </w:rPr>
        <w:t xml:space="preserve">European Commission (2024). </w:t>
      </w:r>
      <w:r>
        <w:rPr>
          <w:i/>
          <w:iCs/>
          <w:sz w:val="19"/>
          <w:szCs w:val="19"/>
        </w:rPr>
        <w:t xml:space="preserve">Towards an ambitious Industrial Carbon Management for the EU</w:t>
      </w:r>
      <w:r>
        <w:rPr>
          <w:sz w:val="19"/>
          <w:szCs w:val="19"/>
        </w:rPr>
        <w:t xml:space="preserve">, COM(2024) 62 final, 6 February 2024. </w:t>
      </w:r>
      <w:hyperlink w:history="1" r:id="rIdfbmpz5nfs-jvooomp6qz1">
        <w:r>
          <w:rPr>
            <w:rStyle w:val="Hyperlink"/>
            <w:sz w:val="19"/>
            <w:szCs w:val="19"/>
          </w:rPr>
          <w:t xml:space="preserve">https://eur-lex.europa.eu/legal-content/EN/TXT/?uri=CELEX:52024DC0062</w:t>
        </w:r>
      </w:hyperlink>
      <w:r>
        <w:rPr>
          <w:sz w:val="19"/>
          <w:szCs w:val="19"/>
        </w:rPr>
        <w:t xml:space="preserve"> — limited operational projects; early transport largely by shipping from clusters; up to 7,300 km of pipelines and shipping routes by 2030 and about 19,000 km by 2040; about 280 Mt captured in 2040 and 450 Mt in 2050. Full text read; direct, explanatory and later-foresight evidence.</w:t>
      </w:r>
    </w:p>
    <w:p>
      <w:pPr>
        <w:spacing w:after="80"/>
        <w:ind w:left="360" w:hanging="360"/>
      </w:pPr>
      <w:r>
        <w:rPr>
          <w:sz w:val="19"/>
          <w:szCs w:val="19"/>
        </w:rPr>
        <w:t xml:space="preserve">Pipe Line &amp; Gas Journal (25 August 2025). </w:t>
      </w:r>
      <w:r>
        <w:rPr>
          <w:i/>
          <w:iCs/>
          <w:sz w:val="19"/>
          <w:szCs w:val="19"/>
        </w:rPr>
        <w:t xml:space="preserve">Norway’s Northern Lights CCS project starts operations with first CO₂ injected</w:t>
      </w:r>
      <w:r>
        <w:rPr>
          <w:sz w:val="19"/>
          <w:szCs w:val="19"/>
        </w:rPr>
        <w:t xml:space="preserve">. </w:t>
      </w:r>
      <w:hyperlink w:history="1" r:id="rIdcyea5ggc35v9rbuoq0gxg">
        <w:r>
          <w:rPr>
            <w:rStyle w:val="Hyperlink"/>
            <w:sz w:val="19"/>
            <w:szCs w:val="19"/>
          </w:rPr>
          <w:t xml:space="preserve">https://pgjonline.com/news/2025/august/norways-northern-lights-ccs-project-starts-operations-with-first-co2-injected</w:t>
        </w:r>
      </w:hyperlink>
      <w:r>
        <w:rPr>
          <w:sz w:val="19"/>
          <w:szCs w:val="19"/>
        </w:rPr>
        <w:t xml:space="preserve"> — operations begun with CO₂ from the Brevik cement plant; phase 1 capacity 1.5 Mt a year; phase 2 at least 5 Mt a year. Trade-press web page; direct evidence on first operation.</w:t>
      </w:r>
    </w:p>
    <w:p>
      <w:pPr>
        <w:spacing w:after="80"/>
        <w:ind w:left="360" w:hanging="360"/>
      </w:pPr>
      <w:r>
        <w:rPr>
          <w:sz w:val="19"/>
          <w:szCs w:val="19"/>
        </w:rPr>
        <w:t xml:space="preserve">Hofmann, F., Tries, C., Neumann, F., Zeyen, E. &amp; Brown, T. (2024). H2 and CO2 network strategies for the European energy system. arXiv:2402.19042 (later published in </w:t>
      </w:r>
      <w:r>
        <w:rPr>
          <w:i/>
          <w:iCs/>
          <w:sz w:val="19"/>
          <w:szCs w:val="19"/>
        </w:rPr>
        <w:t xml:space="preserve">Nature Energy</w:t>
      </w:r>
      <w:r>
        <w:rPr>
          <w:sz w:val="19"/>
          <w:szCs w:val="19"/>
        </w:rPr>
        <w:t xml:space="preserve">, 2025). </w:t>
      </w:r>
      <w:hyperlink w:history="1" r:id="rIdhnupsyc4lfogp9p90stml">
        <w:r>
          <w:rPr>
            <w:rStyle w:val="Hyperlink"/>
            <w:sz w:val="19"/>
            <w:szCs w:val="19"/>
          </w:rPr>
          <w:t xml:space="preserve">https://arxiv.org/abs/2402.19042</w:t>
        </w:r>
      </w:hyperlink>
      <w:r>
        <w:rPr>
          <w:sz w:val="19"/>
          <w:szCs w:val="19"/>
        </w:rPr>
        <w:t xml:space="preserve"> — in a carbon-neutral European model a CO₂ network lowers system costs by 3.1%, a combined hydrogen and CO₂ network by 5.2%. Full text read (preprint); later foresight.</w:t>
      </w:r>
    </w:p>
    <w:p>
      <w:pPr>
        <w:spacing w:after="80"/>
        <w:ind w:left="360" w:hanging="360"/>
      </w:pPr>
      <w:r>
        <w:rPr>
          <w:sz w:val="19"/>
          <w:szCs w:val="19"/>
        </w:rPr>
        <w:t xml:space="preserve">Anvari, M. et al. (2026). From carbon management strategies to implementation: Modeling and physical simulation of CO₂ pipeline infrastructure – a case study for Germany. arXiv:2601.15090. </w:t>
      </w:r>
      <w:hyperlink w:history="1" r:id="rIdq7e0gbplbqavfmtaalexj">
        <w:r>
          <w:rPr>
            <w:rStyle w:val="Hyperlink"/>
            <w:sz w:val="19"/>
            <w:szCs w:val="19"/>
          </w:rPr>
          <w:t xml:space="preserve">https://arxiv.org/abs/2601.15090</w:t>
        </w:r>
      </w:hyperlink>
      <w:r>
        <w:rPr>
          <w:sz w:val="19"/>
          <w:szCs w:val="19"/>
        </w:rPr>
        <w:t xml:space="preserve"> — designs a German network of about 7,000 km and states that actual roll-out of CO₂ pipelines had not yet begun. Full text read (preprint); later foresight with status statements.</w:t>
      </w:r>
    </w:p>
    <w:p>
      <w:pPr>
        <w:spacing w:after="100"/>
      </w:pPr>
      <w:r>
        <w:rPr>
          <w:rFonts w:ascii="Calibri" w:cs="Calibri" w:eastAsia="Calibri" w:hAnsi="Calibri"/>
          <w:b/>
          <w:bCs/>
          <w:color w:val="1F3A5F"/>
          <w:sz w:val="20"/>
          <w:szCs w:val="20"/>
        </w:rPr>
        <w:t xml:space="preserve">Evidence limitations. </w:t>
      </w:r>
      <w:r>
        <w:t xml:space="preserve">The original was read as an accepted manuscript; its abstract and body give inconsistent figures for the cost increase without onshore storage. Cost figures are not comparable across sources (2010 pipeline capital costs versus 2024 estimates that include shipping). The status of other flagship projects (Porthos, Greensand, UK cluster investments) and total operational CCS capacity in Europe were not verified. The Northern Lights information comes from trade press rather than the operator.</w:t>
      </w:r>
    </w:p>
    <w:p>
      <w:pPr>
        <w:spacing w:after="100"/>
      </w:pPr>
      <w:r>
        <w:rPr>
          <w:rFonts w:ascii="Calibri" w:cs="Calibri" w:eastAsia="Calibri" w:hAnsi="Calibri"/>
          <w:b/>
          <w:bCs/>
          <w:color w:val="1F3A5F"/>
          <w:sz w:val="20"/>
          <w:szCs w:val="20"/>
        </w:rPr>
        <w:t xml:space="preserve">Review status. </w:t>
      </w:r>
      <w:r>
        <w:t xml:space="preserve">Source-verified for the original paper and the EU policy documents; project-level status beyond Northern Lights not verified.</w:t>
      </w:r>
    </w:p>
    <w:p>
      <w:r>
        <w:br w:type="page"/>
      </w:r>
    </w:p>
    <w:p>
      <w:pPr>
        <w:pStyle w:val="Heading1"/>
      </w:pPr>
      <w:r>
        <w:t xml:space="preserve">Europe’s security role and strategic culture</w:t>
      </w:r>
    </w:p>
    <w:p>
      <w:r>
        <w:t xml:space="preserve">Three security-foresight publications from 2011–2013 imagined the European Union’s future as a security and military actor. The earlier VV Futures accounts relied in part on a public-health editorial for defence facts and treated the “up to €800 billion” of the 2025 ReArm Europe plan as money mobilised. The revisions below return to the original texts, distinguish methodological from substantive claims, and use official monitoring sources.</w:t>
      </w:r>
    </w:p>
    <w:p>
      <w:pPr>
        <w:pStyle w:val="Heading2"/>
      </w:pPr>
      <w:r>
        <w:t xml:space="preserve">Account 04 — Foresight for EU roles as a global security actor to 2035 (2013)</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02 (“EU as a global security actor (FOCUS, 2013)”).</w:t>
      </w:r>
    </w:p>
    <w:p>
      <w:pPr>
        <w:spacing w:after="100"/>
      </w:pPr>
      <w:r>
        <w:rPr>
          <w:rFonts w:ascii="Calibri" w:cs="Calibri" w:eastAsia="Calibri" w:hAnsi="Calibri"/>
          <w:b/>
          <w:bCs/>
          <w:color w:val="1F3A5F"/>
          <w:sz w:val="20"/>
          <w:szCs w:val="20"/>
        </w:rPr>
        <w:t xml:space="preserve">Original study. </w:t>
      </w:r>
      <w:r>
        <w:t xml:space="preserve">Tagarev, Todor &amp; Ivanova, Petya (2013). Analytical support to foresighting EU roles as a Global Security Actor. </w:t>
      </w:r>
      <w:r>
        <w:rPr>
          <w:i/>
          <w:iCs/>
        </w:rPr>
        <w:t xml:space="preserve">Information &amp; Security: An International Journal</w:t>
      </w:r>
      <w:r>
        <w:t xml:space="preserve"> 29, 21–33 (EU FP7 project FOCUS, 2011–2013). </w:t>
      </w:r>
      <w:hyperlink w:history="1" r:id="rIdndnmudrdt2g5oxbwdfnba">
        <w:r>
          <w:rPr>
            <w:rStyle w:val="Hyperlink"/>
          </w:rPr>
          <w:t xml:space="preserve">https://doi.org/10.11610/isij.2902</w:t>
        </w:r>
      </w:hyperlink>
      <w:r>
        <w:t xml:space="preserve"> (open access; full text read via a mirror copy).</w:t>
      </w:r>
    </w:p>
    <w:p>
      <w:pPr>
        <w:spacing w:after="100"/>
      </w:pPr>
      <w:r>
        <w:rPr>
          <w:rFonts w:ascii="Calibri" w:cs="Calibri" w:eastAsia="Calibri" w:hAnsi="Calibri"/>
          <w:b/>
          <w:bCs/>
          <w:color w:val="1F3A5F"/>
          <w:sz w:val="20"/>
          <w:szCs w:val="20"/>
        </w:rPr>
        <w:t xml:space="preserve">Original future claim. </w:t>
      </w:r>
      <w:r>
        <w:t xml:space="preserve">Key phrase (conclusion): scenario-based foresight “cannot be rigorously performed without adequate analytical support”. Paraphrase: the paper describes how expert groups and formal tools built three context scenarios for 2035 — Constructive, Fragmented and Confusing World — and explored possible new EU roles as a global security actor beyond the Petersberg tasks of the Lisbon Treaty, clustered in cybersecurity, protection of sea lines of communication, energy security, space and solidarity/defence, with control of CBRN proliferation, extended air defence against advanced drones and Responsibility-to-Protect tasks added by the project team. These were plausible options for security-research planning, not predictions. Catalogue excerpt: HISTORICAL-CLAIMS record 437 (a methods passage).</w:t>
      </w:r>
    </w:p>
    <w:p>
      <w:pPr>
        <w:spacing w:after="100"/>
      </w:pPr>
      <w:r>
        <w:rPr>
          <w:rFonts w:ascii="Calibri" w:cs="Calibri" w:eastAsia="Calibri" w:hAnsi="Calibri"/>
          <w:b/>
          <w:bCs/>
          <w:color w:val="1F3A5F"/>
          <w:sz w:val="20"/>
          <w:szCs w:val="20"/>
        </w:rPr>
        <w:t xml:space="preserve">What was envisioned. </w:t>
      </w:r>
      <w:r>
        <w:t xml:space="preserve">A widening space of possible EU security roles by 2035, to be explored systematically so that EU security research could anticipate them; the substantive content is a possibility space under three contrasting world configurations rather than a forecast.</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Several of the role areas identified in 2012 became established EU security fields within a decade, largely in the form of policies, coordination and financing rather than autonomous EU operations. The Strategic Compass approved in March 2022 and its first progress report record an EU cyber-defence policy and a hybrid toolbox, coordinated naval presences in the Gulf of Guinea and the north-western Indian Ocean with an updated maritime security strategy, a first EU space strategy for security and defence, and exercises of the treaty’s mutual-assistance clause built around cyber, hybrid and space scenarios.</w:t>
      </w:r>
    </w:p>
    <w:p>
      <w:r>
        <w:t xml:space="preserve">From 2022, Russia’s full-scale invasion of Ukraine shifted attention to conventional defence and to support for a state at war. Through the European Peace Facility the EU mobilised €11.1 billion for Ukraine by 2024, although one member state has blocked further use of the instrument for Ukraine since 2023. The Commission presented a first defence-industrial strategy in 2024, a Commissioner for Defence and Space took office in December 2024, and the ReArm Europe/Readiness 2030 package of March 2025 introduced up to €150 billion of SAFE defence loans; its headline “up to €800 billion” is an estimate of spending the package would enable, not money raised. Defence nevertheless remains mainly national: EU-27 spending reached €418 billion in 2025 (2.2% of GDP), but collaborative purchases were only about a quarter of equipment procurement.</w:t>
      </w:r>
    </w:p>
    <w:p>
      <w:pPr>
        <w:spacing w:after="100"/>
      </w:pPr>
      <w:r>
        <w:rPr>
          <w:rFonts w:ascii="Calibri" w:cs="Calibri" w:eastAsia="Calibri" w:hAnsi="Calibri"/>
          <w:b/>
          <w:bCs/>
          <w:color w:val="1F3A5F"/>
          <w:sz w:val="20"/>
          <w:szCs w:val="20"/>
        </w:rPr>
        <w:t xml:space="preserve">Interpretation. </w:t>
      </w:r>
      <w:r>
        <w:t xml:space="preserve">The EU’s security role developed partly along the role areas the exercise identified — cyber, maritime, space and solidarity/defence — but mainly through regulatory, financial and industrial instruments, and since 2022 under conditions closer to the project’s fragmented or conflict-dominated configurations than to its “Constructive World” (the reviewer’s mapping, not the authors’). Whether the EU will perform wider roles itself by 2035 remains open.</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European External Action Service / High Representative (2023). </w:t>
      </w:r>
      <w:r>
        <w:rPr>
          <w:i/>
          <w:iCs/>
          <w:sz w:val="19"/>
          <w:szCs w:val="19"/>
        </w:rPr>
        <w:t xml:space="preserve">Annual Progress Report on the Implementation of the Strategic Compass for Security and Defence</w:t>
      </w:r>
      <w:r>
        <w:rPr>
          <w:sz w:val="19"/>
          <w:szCs w:val="19"/>
        </w:rPr>
        <w:t xml:space="preserve">, Council document 6891/23, 27 February 2023. </w:t>
      </w:r>
      <w:hyperlink w:history="1" r:id="rId26ymc3clyspzjtxkrp3mx">
        <w:r>
          <w:rPr>
            <w:rStyle w:val="Hyperlink"/>
            <w:sz w:val="19"/>
            <w:szCs w:val="19"/>
          </w:rPr>
          <w:t xml:space="preserve">https://data.consilium.europa.eu/doc/document/ST-6891-2023-INIT/en/pdf</w:t>
        </w:r>
      </w:hyperlink>
      <w:r>
        <w:rPr>
          <w:sz w:val="19"/>
          <w:szCs w:val="19"/>
        </w:rPr>
        <w:t xml:space="preserve"> — cyber-defence policy, hybrid toolbox, coordinated maritime presences, first EU space strategy for security and defence, mutual-assistance exercises with cyber, hybrid and space scenarios. Full text read; direct evidence (official self-assessment).</w:t>
      </w:r>
    </w:p>
    <w:p>
      <w:pPr>
        <w:spacing w:after="80"/>
        <w:ind w:left="360" w:hanging="360"/>
      </w:pPr>
      <w:r>
        <w:rPr>
          <w:sz w:val="19"/>
          <w:szCs w:val="19"/>
        </w:rPr>
        <w:t xml:space="preserve">Council of the European Union. </w:t>
      </w:r>
      <w:r>
        <w:rPr>
          <w:i/>
          <w:iCs/>
          <w:sz w:val="19"/>
          <w:szCs w:val="19"/>
        </w:rPr>
        <w:t xml:space="preserve">European Peace Facility</w:t>
      </w:r>
      <w:r>
        <w:rPr>
          <w:sz w:val="19"/>
          <w:szCs w:val="19"/>
        </w:rPr>
        <w:t xml:space="preserve"> (web page, reviewed 4 December 2024). </w:t>
      </w:r>
      <w:hyperlink w:history="1" r:id="rId_qjbzo3e0mrn8j48gjepw">
        <w:r>
          <w:rPr>
            <w:rStyle w:val="Hyperlink"/>
            <w:sz w:val="19"/>
            <w:szCs w:val="19"/>
          </w:rPr>
          <w:t xml:space="preserve">https://www.consilium.europa.eu/en/policies/european-peace-facility/</w:t>
        </w:r>
      </w:hyperlink>
      <w:r>
        <w:rPr>
          <w:sz w:val="19"/>
          <w:szCs w:val="19"/>
        </w:rPr>
        <w:t xml:space="preserve"> — €11.1 billion for Ukraine in 2022–2024 including the Ukraine Assistance Fund; further use for Ukraine blocked by one member state since 2023 (European Parliamentary Research Service, April 2025). Web pages; direct evidence.</w:t>
      </w:r>
    </w:p>
    <w:p>
      <w:pPr>
        <w:spacing w:after="80"/>
        <w:ind w:left="360" w:hanging="360"/>
      </w:pPr>
      <w:r>
        <w:rPr>
          <w:sz w:val="19"/>
          <w:szCs w:val="19"/>
        </w:rPr>
        <w:t xml:space="preserve">European Parliament, Economic Governance and EMU Scrutiny Unit (March 2025). </w:t>
      </w:r>
      <w:r>
        <w:rPr>
          <w:i/>
          <w:iCs/>
          <w:sz w:val="19"/>
          <w:szCs w:val="19"/>
        </w:rPr>
        <w:t xml:space="preserve">Defence financing and spending under the Economic Governance Framework</w:t>
      </w:r>
      <w:r>
        <w:rPr>
          <w:sz w:val="19"/>
          <w:szCs w:val="19"/>
        </w:rPr>
        <w:t xml:space="preserve">. </w:t>
      </w:r>
      <w:hyperlink w:history="1" r:id="rId4pr5a7cx-vwetjvsg3hf6">
        <w:r>
          <w:rPr>
            <w:rStyle w:val="Hyperlink"/>
            <w:sz w:val="19"/>
            <w:szCs w:val="19"/>
          </w:rPr>
          <w:t xml:space="preserve">https://www.europarl.europa.eu/RegData/etudes/IDAN/2025/764354/ECTI_IDA(2025</w:t>
        </w:r>
      </w:hyperlink>
      <w:r>
        <w:rPr>
          <w:sz w:val="19"/>
          <w:szCs w:val="19"/>
        </w:rPr>
        <w:t xml:space="preserve">)764354_EN.pdf — the “up to €800 billion” of ReArm Europe/Readiness 2030 is a Commission projection of enabled spending (SAFE loans of up to €150 billion, national escape clause and other channels), not money raised. Full text read; explanatory evidence.</w:t>
      </w:r>
    </w:p>
    <w:p>
      <w:pPr>
        <w:spacing w:after="80"/>
        <w:ind w:left="360" w:hanging="360"/>
      </w:pPr>
      <w:r>
        <w:rPr>
          <w:sz w:val="19"/>
          <w:szCs w:val="19"/>
        </w:rPr>
        <w:t xml:space="preserve">European Defence Agency (2026). </w:t>
      </w:r>
      <w:r>
        <w:rPr>
          <w:i/>
          <w:iCs/>
          <w:sz w:val="19"/>
          <w:szCs w:val="19"/>
        </w:rPr>
        <w:t xml:space="preserve">Defence Data 2025–2026</w:t>
      </w:r>
      <w:r>
        <w:rPr>
          <w:sz w:val="19"/>
          <w:szCs w:val="19"/>
        </w:rPr>
        <w:t xml:space="preserve"> (data cut-off 20 April 2026). </w:t>
      </w:r>
      <w:hyperlink w:history="1" r:id="rIdzo2lvw3fiyr_p91sggh2m">
        <w:r>
          <w:rPr>
            <w:rStyle w:val="Hyperlink"/>
            <w:sz w:val="19"/>
            <w:szCs w:val="19"/>
          </w:rPr>
          <w:t xml:space="preserve">https://eda.europa.eu/docs/default-source/eda-publications/2026-eda_defencedata_webpublic.pdf</w:t>
        </w:r>
      </w:hyperlink>
      <w:r>
        <w:rPr>
          <w:sz w:val="19"/>
          <w:szCs w:val="19"/>
        </w:rPr>
        <w:t xml:space="preserve"> — EU-27 defence spending €418 billion in 2025 (2.2% of GDP), estimated €454 billion in 2026; collaborative spending 24% of equipment procurement. Full text read; direct evidence (national aggregates).</w:t>
      </w:r>
    </w:p>
    <w:p>
      <w:pPr>
        <w:spacing w:after="80"/>
        <w:ind w:left="360" w:hanging="360"/>
      </w:pPr>
      <w:r>
        <w:rPr>
          <w:sz w:val="19"/>
          <w:szCs w:val="19"/>
        </w:rPr>
        <w:t xml:space="preserve">NATO (25 June 2025). </w:t>
      </w:r>
      <w:r>
        <w:rPr>
          <w:i/>
          <w:iCs/>
          <w:sz w:val="19"/>
          <w:szCs w:val="19"/>
        </w:rPr>
        <w:t xml:space="preserve">The Hague Summit Declaration</w:t>
      </w:r>
      <w:r>
        <w:rPr>
          <w:sz w:val="19"/>
          <w:szCs w:val="19"/>
        </w:rPr>
        <w:t xml:space="preserve">. </w:t>
      </w:r>
      <w:hyperlink w:history="1" r:id="rIdpnz4j7g9ld7amwrvbpkqe">
        <w:r>
          <w:rPr>
            <w:rStyle w:val="Hyperlink"/>
            <w:sz w:val="19"/>
            <w:szCs w:val="19"/>
          </w:rPr>
          <w:t xml:space="preserve">https://www.nato.int</w:t>
        </w:r>
      </w:hyperlink>
      <w:r>
        <w:rPr>
          <w:sz w:val="19"/>
          <w:szCs w:val="19"/>
        </w:rPr>
        <w:t xml:space="preserve"> — allies commit to 5% of GDP for defence and security-related spending by 2035 (at least 3.5% for core defence). Web page; explanatory evidence on the transatlantic condition.</w:t>
      </w:r>
    </w:p>
    <w:p>
      <w:pPr>
        <w:spacing w:after="80"/>
        <w:ind w:left="360" w:hanging="360"/>
      </w:pPr>
      <w:r>
        <w:rPr>
          <w:sz w:val="19"/>
          <w:szCs w:val="19"/>
        </w:rPr>
        <w:t xml:space="preserve">European Commission, CORDIS (2013). </w:t>
      </w:r>
      <w:r>
        <w:rPr>
          <w:i/>
          <w:iCs/>
          <w:sz w:val="19"/>
          <w:szCs w:val="19"/>
        </w:rPr>
        <w:t xml:space="preserve">FOCUS – Foresight Security Scenarios: Mapping Research to a Comprehensive Approach to Exogenous EU Roles</w:t>
      </w:r>
      <w:r>
        <w:rPr>
          <w:sz w:val="19"/>
          <w:szCs w:val="19"/>
        </w:rPr>
        <w:t xml:space="preserve">, project 261633, final report summary. </w:t>
      </w:r>
      <w:hyperlink w:history="1" r:id="rIdsawzonzltdxvruvvgyauj">
        <w:r>
          <w:rPr>
            <w:rStyle w:val="Hyperlink"/>
            <w:sz w:val="19"/>
            <w:szCs w:val="19"/>
          </w:rPr>
          <w:t xml:space="preserve">https://cordis.europa.eu/project/id/261633</w:t>
        </w:r>
      </w:hyperlink>
      <w:r>
        <w:rPr>
          <w:sz w:val="19"/>
          <w:szCs w:val="19"/>
        </w:rPr>
        <w:t xml:space="preserve"> — project aims and reference scenario; foresight framed as neither prediction nor normative design. Web page; context.</w:t>
      </w:r>
    </w:p>
    <w:p>
      <w:pPr>
        <w:spacing w:after="100"/>
      </w:pPr>
      <w:r>
        <w:rPr>
          <w:rFonts w:ascii="Calibri" w:cs="Calibri" w:eastAsia="Calibri" w:hAnsi="Calibri"/>
          <w:b/>
          <w:bCs/>
          <w:color w:val="1F3A5F"/>
          <w:sz w:val="20"/>
          <w:szCs w:val="20"/>
        </w:rPr>
        <w:t xml:space="preserve">Evidence limitations. </w:t>
      </w:r>
      <w:r>
        <w:t xml:space="preserve">The original was read through text extraction of a mirror copy, and the full FOCUS scenario deliverables were not read. Much of the later evidence is official self-reporting or national spending aggregates. No evaluation was found of whether FOCUS shaped EU security-research planning, and the operational status of the EU Rapid Deployment Capacity in 2025 was not verified.</w:t>
      </w:r>
    </w:p>
    <w:p>
      <w:pPr>
        <w:spacing w:after="100"/>
      </w:pPr>
      <w:r>
        <w:rPr>
          <w:rFonts w:ascii="Calibri" w:cs="Calibri" w:eastAsia="Calibri" w:hAnsi="Calibri"/>
          <w:b/>
          <w:bCs/>
          <w:color w:val="1F3A5F"/>
          <w:sz w:val="20"/>
          <w:szCs w:val="20"/>
        </w:rPr>
        <w:t xml:space="preserve">Review status. </w:t>
      </w:r>
      <w:r>
        <w:t xml:space="preserve">Source-verified, with the caveats stated.</w:t>
      </w:r>
    </w:p>
    <w:p>
      <w:pPr>
        <w:keepNext/>
        <w:spacing w:after="60" w:before="160"/>
      </w:pPr>
      <w:r>
        <w:rPr>
          <w:rFonts w:ascii="Calibri" w:cs="Calibri" w:eastAsia="Calibri" w:hAnsi="Calibri"/>
          <w:b/>
          <w:bCs/>
          <w:color w:val="1F3A5F"/>
          <w:spacing w:val="20"/>
          <w:sz w:val="17"/>
          <w:szCs w:val="17"/>
        </w:rPr>
        <w:t xml:space="preserve">EARLIER ACCOUNT 02 — PRESERVED VERBATIM</w:t>
      </w:r>
    </w:p>
    <w:p>
      <w:pPr>
        <w:pBdr>
          <w:left w:val="single" w:color="B8C2CC" w:sz="12" w:space="8"/>
        </w:pBdr>
        <w:shd w:fill="F2F4F6" w:color="auto" w:val="clear"/>
        <w:spacing w:after="60" w:before="40"/>
        <w:ind w:left="200" w:right="120"/>
      </w:pPr>
      <w:r>
        <w:rPr>
          <w:sz w:val="19"/>
          <w:szCs w:val="19"/>
        </w:rPr>
        <w:t xml:space="preserve">Partly. The EU’s security role grew, but mainly through rearmament after 2022. A 2025 editorial describes ReArm Europe’s roughly €800bn defence push, and a 2026 study finds NATO back to collective defence.</w:t>
      </w:r>
    </w:p>
    <w:p>
      <w:pPr>
        <w:pBdr>
          <w:left w:val="single" w:color="B8C2CC" w:sz="12" w:space="8"/>
        </w:pBdr>
        <w:shd w:fill="F2F4F6" w:color="auto" w:val="clear"/>
        <w:spacing w:after="140" w:before="0"/>
        <w:ind w:left="200" w:right="120"/>
      </w:pPr>
      <w:r>
        <w:rPr>
          <w:sz w:val="19"/>
          <w:szCs w:val="19"/>
        </w:rPr>
        <w:t xml:space="preserve">Later sources: From Reaction to Foresight: EUPHA’s vision for health security in Europe (2025), </w:t>
      </w:r>
      <w:hyperlink w:history="1" r:id="rIdp2-uxmvwsx3x1yjzkb_j-">
        <w:r>
          <w:rPr>
            <w:rStyle w:val="Hyperlink"/>
            <w:sz w:val="19"/>
            <w:szCs w:val="19"/>
          </w:rPr>
          <w:t xml:space="preserve">https://doi.org/10.1093/eurpub/ckaf071</w:t>
        </w:r>
      </w:hyperlink>
      <w:r>
        <w:rPr>
          <w:sz w:val="19"/>
          <w:szCs w:val="19"/>
        </w:rPr>
        <w:t xml:space="preserve">;</w:t>
      </w:r>
      <w:r>
        <w:rPr>
          <w:sz w:val="19"/>
          <w:szCs w:val="19"/>
        </w:rPr>
        <w:t xml:space="preserve"> NATO’s evolution and European security dynamics (2026), </w:t>
      </w:r>
      <w:hyperlink w:history="1" r:id="rIdeh3n45heazaaz54hmv6m_">
        <w:r>
          <w:rPr>
            <w:rStyle w:val="Hyperlink"/>
            <w:sz w:val="19"/>
            <w:szCs w:val="19"/>
          </w:rPr>
          <w:t xml:space="preserve">https://doi.org/10.1007/s44282-026-00594-1</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verdict misreads an exploratory role-space exercise as a forecast. The growth of the EU’s security role is supported by official sources, but the account cites none of them; rearmament is mainly national spending, while EU-level growth came through financing, industrial and regulatory tools, some of it before 2022. The editorial does mention ReArm Europe, but it is a public-health advocacy piece and not appropriate evidence for defence developments, and the €800 billion is a projection of enabled spending. The 2026 NATO study exists and supports its narrow statement but does not assess EU roles.</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remove the verdict, replace the editorial with official sources, and describe the €800 billion accurately; </w:t>
      </w:r>
      <w:r>
        <w:rPr>
          <w:b/>
          <w:bCs/>
        </w:rPr>
        <w:t xml:space="preserve">strengthen with new evidence</w:t>
      </w:r>
      <w:r>
        <w:t xml:space="preserve"> that maps the FOCUS role areas onto documented developments.</w:t>
      </w:r>
    </w:p>
    <w:p>
      <w:pPr>
        <w:pBdr>
          <w:bottom w:val="single" w:color="B8C2CC" w:sz="6" w:space="1"/>
        </w:pBdr>
        <w:spacing w:after="120"/>
      </w:pPr>
    </w:p>
    <w:p>
      <w:pPr>
        <w:pStyle w:val="Heading2"/>
      </w:pPr>
      <w:r>
        <w:t xml:space="preserve">Account 05 — Towards Europe 2035: decline, dependence and strategic unity (2013)</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16 (“Towards Europe 2035 (FOCUS, 2013)”).</w:t>
      </w:r>
    </w:p>
    <w:p>
      <w:pPr>
        <w:spacing w:after="100"/>
      </w:pPr>
      <w:r>
        <w:rPr>
          <w:rFonts w:ascii="Calibri" w:cs="Calibri" w:eastAsia="Calibri" w:hAnsi="Calibri"/>
          <w:b/>
          <w:bCs/>
          <w:color w:val="1F3A5F"/>
          <w:sz w:val="20"/>
          <w:szCs w:val="20"/>
        </w:rPr>
        <w:t xml:space="preserve">Original study. </w:t>
      </w:r>
      <w:r>
        <w:t xml:space="preserve">Nerlich, Uwe (2013). Towards Europe 2035 – In Search of the Archimedean Screw: FOCUS in Perspective. </w:t>
      </w:r>
      <w:r>
        <w:rPr>
          <w:i/>
          <w:iCs/>
        </w:rPr>
        <w:t xml:space="preserve">Information &amp; Security: An International Journal</w:t>
      </w:r>
      <w:r>
        <w:t xml:space="preserve"> 29, 161–183. </w:t>
      </w:r>
      <w:hyperlink w:history="1" r:id="rIdghcxh4wrmzsbyrfoo2fbp">
        <w:r>
          <w:rPr>
            <w:rStyle w:val="Hyperlink"/>
          </w:rPr>
          <w:t xml:space="preserve">https://doi.org/10.11610/isij.2912</w:t>
        </w:r>
      </w:hyperlink>
      <w:r>
        <w:t xml:space="preserve"> (open access; key passages read via a mirror copy).</w:t>
      </w:r>
    </w:p>
    <w:p>
      <w:pPr>
        <w:spacing w:after="100"/>
      </w:pPr>
      <w:r>
        <w:rPr>
          <w:rFonts w:ascii="Calibri" w:cs="Calibri" w:eastAsia="Calibri" w:hAnsi="Calibri"/>
          <w:b/>
          <w:bCs/>
          <w:color w:val="1F3A5F"/>
          <w:sz w:val="20"/>
          <w:szCs w:val="20"/>
        </w:rPr>
        <w:t xml:space="preserve">Original future claim. </w:t>
      </w:r>
      <w:r>
        <w:t xml:space="preserve">Key phrase (p. 166): reliance on the United States “can no longer be taken for granted”. Paraphrase: setting the FOCUS 2035 scenarios against the US National Intelligence Council’s </w:t>
      </w:r>
      <w:r>
        <w:rPr>
          <w:i/>
          <w:iCs/>
        </w:rPr>
        <w:t xml:space="preserve">Global Trends 2030</w:t>
      </w:r>
      <w:r>
        <w:t xml:space="preserve">, Nerlich described a Europe seen by other powers as in relative decline, with signs of renationalisation; he warned that the EU would appear marginal if some $300 billion of annual collective defence spending kept failing to buy strategic freedom of action, and argued that the EU had to stabilise itself as a strategic unit combining its dual civil–military nature with strategic assertiveness. He proposed repeating FOCUS-type analysis about every five years. Catalogue excerpt: HISTORICAL-CLAIMS record 460 (framework-oriented).</w:t>
      </w:r>
    </w:p>
    <w:p>
      <w:pPr>
        <w:spacing w:after="100"/>
      </w:pPr>
      <w:r>
        <w:rPr>
          <w:rFonts w:ascii="Calibri" w:cs="Calibri" w:eastAsia="Calibri" w:hAnsi="Calibri"/>
          <w:b/>
          <w:bCs/>
          <w:color w:val="1F3A5F"/>
          <w:sz w:val="20"/>
          <w:szCs w:val="20"/>
        </w:rPr>
        <w:t xml:space="preserve">What was envisioned. </w:t>
      </w:r>
      <w:r>
        <w:t xml:space="preserve">A conditional warning and a prescription: without deliberate long-term effort, Europe would continue to decline strategically, remain dependent on an increasingly unreliable United States and fragment along national lines; with it, the EU could become a strategically assertive actor by the 2030s.</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conditions Nerlich highlighted became central after 2022, triggered mainly by Russia’s full-scale invasion of Ukraine and by shifts in US policy rather than by deliberate planning. At NATO’s 2025 summit, allies committed to spend 5% of GDP on defence and related security by 2035 under strong US pressure. Defence spending by the 27 EU states rose to €418 billion in 2025 (2.2% of GDP), a figure not directly comparable with his 2013 estimate because of differences in currency, prices and membership.</w:t>
      </w:r>
    </w:p>
    <w:p>
      <w:r>
        <w:t xml:space="preserve">The EU did not fragment as a security actor; instead it created new instruments — military-support financing for Ukraine, a defence-industrial strategy and programme, up to €150 billion of joint-procurement loans and a defence commissioner — while unanimity still constrained it, as one member state’s blocking of European Peace Facility support for Ukraine shows. Whether higher spending now buys the strategic freedom to act he called for remains open, since procurement remains largely national. Scholarship describes the EU’s security role as growing through expertise and rules as a regulatory security state, and research on strategic culture points to partial convergence, stronger on threat perceptions than on goals and means. No evidence was found that the proposed five-yearly FOCUS–NIC exercise was implemented.</w:t>
      </w:r>
    </w:p>
    <w:p>
      <w:pPr>
        <w:spacing w:after="100"/>
      </w:pPr>
      <w:r>
        <w:rPr>
          <w:rFonts w:ascii="Calibri" w:cs="Calibri" w:eastAsia="Calibri" w:hAnsi="Calibri"/>
          <w:b/>
          <w:bCs/>
          <w:color w:val="1F3A5F"/>
          <w:sz w:val="20"/>
          <w:szCs w:val="20"/>
        </w:rPr>
        <w:t xml:space="preserve">Interpretation. </w:t>
      </w:r>
      <w:r>
        <w:t xml:space="preserve">The dependencies and weaknesses Nerlich flagged became the core of the EU’s security agenda, but the change was driven by an external shock and US policy rather than by the long-term strategic planning he advocated. Whether the EU becomes a strategic unit by 2035 remains open.</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European Defence Agency (2026). </w:t>
      </w:r>
      <w:r>
        <w:rPr>
          <w:i/>
          <w:iCs/>
          <w:sz w:val="19"/>
          <w:szCs w:val="19"/>
        </w:rPr>
        <w:t xml:space="preserve">Defence Data 2025–2026</w:t>
      </w:r>
      <w:r>
        <w:rPr>
          <w:sz w:val="19"/>
          <w:szCs w:val="19"/>
        </w:rPr>
        <w:t xml:space="preserve"> (data cut-off 20 April 2026). </w:t>
      </w:r>
      <w:hyperlink w:history="1" r:id="rId1aulfaxrjtilietahfdtw">
        <w:r>
          <w:rPr>
            <w:rStyle w:val="Hyperlink"/>
            <w:sz w:val="19"/>
            <w:szCs w:val="19"/>
          </w:rPr>
          <w:t xml:space="preserve">https://eda.europa.eu/docs/default-source/eda-publications/2026-eda_defencedata_webpublic.pdf</w:t>
        </w:r>
      </w:hyperlink>
      <w:r>
        <w:rPr>
          <w:sz w:val="19"/>
          <w:szCs w:val="19"/>
        </w:rPr>
        <w:t xml:space="preserve"> — EU-27 defence spending €418 billion in 2025 (2.2% of GDP), estimated €454 billion in 2026; collaborative spending 24% of equipment procurement. Full text read; direct evidence (national aggregates).</w:t>
      </w:r>
    </w:p>
    <w:p>
      <w:pPr>
        <w:spacing w:after="80"/>
        <w:ind w:left="360" w:hanging="360"/>
      </w:pPr>
      <w:r>
        <w:rPr>
          <w:sz w:val="19"/>
          <w:szCs w:val="19"/>
        </w:rPr>
        <w:t xml:space="preserve">NATO (25 June 2025). </w:t>
      </w:r>
      <w:r>
        <w:rPr>
          <w:i/>
          <w:iCs/>
          <w:sz w:val="19"/>
          <w:szCs w:val="19"/>
        </w:rPr>
        <w:t xml:space="preserve">The Hague Summit Declaration</w:t>
      </w:r>
      <w:r>
        <w:rPr>
          <w:sz w:val="19"/>
          <w:szCs w:val="19"/>
        </w:rPr>
        <w:t xml:space="preserve">. </w:t>
      </w:r>
      <w:hyperlink w:history="1" r:id="rIdthlpa1lfro1mle-o_uwtj">
        <w:r>
          <w:rPr>
            <w:rStyle w:val="Hyperlink"/>
            <w:sz w:val="19"/>
            <w:szCs w:val="19"/>
          </w:rPr>
          <w:t xml:space="preserve">https://www.nato.int</w:t>
        </w:r>
      </w:hyperlink>
      <w:r>
        <w:rPr>
          <w:sz w:val="19"/>
          <w:szCs w:val="19"/>
        </w:rPr>
        <w:t xml:space="preserve"> — allies commit to 5% of GDP for defence and security-related spending by 2035 (at least 3.5% for core defence). Web page; explanatory evidence on the transatlantic condition.</w:t>
      </w:r>
    </w:p>
    <w:p>
      <w:pPr>
        <w:spacing w:after="80"/>
        <w:ind w:left="360" w:hanging="360"/>
      </w:pPr>
      <w:r>
        <w:rPr>
          <w:sz w:val="19"/>
          <w:szCs w:val="19"/>
        </w:rPr>
        <w:t xml:space="preserve">Council of the European Union. </w:t>
      </w:r>
      <w:r>
        <w:rPr>
          <w:i/>
          <w:iCs/>
          <w:sz w:val="19"/>
          <w:szCs w:val="19"/>
        </w:rPr>
        <w:t xml:space="preserve">European Peace Facility</w:t>
      </w:r>
      <w:r>
        <w:rPr>
          <w:sz w:val="19"/>
          <w:szCs w:val="19"/>
        </w:rPr>
        <w:t xml:space="preserve"> (web page, reviewed 4 December 2024). </w:t>
      </w:r>
      <w:hyperlink w:history="1" r:id="rIdaeggaz0eau5nwhxh_q2fb">
        <w:r>
          <w:rPr>
            <w:rStyle w:val="Hyperlink"/>
            <w:sz w:val="19"/>
            <w:szCs w:val="19"/>
          </w:rPr>
          <w:t xml:space="preserve">https://www.consilium.europa.eu/en/policies/european-peace-facility/</w:t>
        </w:r>
      </w:hyperlink>
      <w:r>
        <w:rPr>
          <w:sz w:val="19"/>
          <w:szCs w:val="19"/>
        </w:rPr>
        <w:t xml:space="preserve"> — €11.1 billion for Ukraine in 2022–2024 including the Ukraine Assistance Fund; further use for Ukraine blocked by one member state since 2023 (European Parliamentary Research Service, April 2025). Web pages; direct evidence.</w:t>
      </w:r>
    </w:p>
    <w:p>
      <w:pPr>
        <w:spacing w:after="80"/>
        <w:ind w:left="360" w:hanging="360"/>
      </w:pPr>
      <w:r>
        <w:rPr>
          <w:sz w:val="19"/>
          <w:szCs w:val="19"/>
        </w:rPr>
        <w:t xml:space="preserve">European Parliament, Economic Governance and EMU Scrutiny Unit (March 2025). </w:t>
      </w:r>
      <w:r>
        <w:rPr>
          <w:i/>
          <w:iCs/>
          <w:sz w:val="19"/>
          <w:szCs w:val="19"/>
        </w:rPr>
        <w:t xml:space="preserve">Defence financing and spending under the Economic Governance Framework</w:t>
      </w:r>
      <w:r>
        <w:rPr>
          <w:sz w:val="19"/>
          <w:szCs w:val="19"/>
        </w:rPr>
        <w:t xml:space="preserve">. </w:t>
      </w:r>
      <w:hyperlink w:history="1" r:id="rIdfe-p7x5sbsjjy_2wcc_vb">
        <w:r>
          <w:rPr>
            <w:rStyle w:val="Hyperlink"/>
            <w:sz w:val="19"/>
            <w:szCs w:val="19"/>
          </w:rPr>
          <w:t xml:space="preserve">https://www.europarl.europa.eu/RegData/etudes/IDAN/2025/764354/ECTI_IDA(2025</w:t>
        </w:r>
      </w:hyperlink>
      <w:r>
        <w:rPr>
          <w:sz w:val="19"/>
          <w:szCs w:val="19"/>
        </w:rPr>
        <w:t xml:space="preserve">)764354_EN.pdf — the “up to €800 billion” of ReArm Europe/Readiness 2030 is a Commission projection of enabled spending (SAFE loans of up to €150 billion, national escape clause and other channels), not money raised. Full text read; explanatory evidence.</w:t>
      </w:r>
    </w:p>
    <w:p>
      <w:pPr>
        <w:spacing w:after="80"/>
        <w:ind w:left="360" w:hanging="360"/>
      </w:pPr>
      <w:r>
        <w:rPr>
          <w:sz w:val="19"/>
          <w:szCs w:val="19"/>
        </w:rPr>
        <w:t xml:space="preserve">Kruck, A. &amp; Weiss, M. (2023). The regulatory security state in Europe. </w:t>
      </w:r>
      <w:r>
        <w:rPr>
          <w:i/>
          <w:iCs/>
          <w:sz w:val="19"/>
          <w:szCs w:val="19"/>
        </w:rPr>
        <w:t xml:space="preserve">Journal of European Public Policy</w:t>
      </w:r>
      <w:r>
        <w:rPr>
          <w:sz w:val="19"/>
          <w:szCs w:val="19"/>
        </w:rPr>
        <w:t xml:space="preserve"> 30(7), 1205–1229. </w:t>
      </w:r>
      <w:hyperlink w:history="1" r:id="rId8lr2cs3z52amwtd3dobz-">
        <w:r>
          <w:rPr>
            <w:rStyle w:val="Hyperlink"/>
            <w:sz w:val="19"/>
            <w:szCs w:val="19"/>
          </w:rPr>
          <w:t xml:space="preserve">https://doi.org/10.1080/13501763.2023.2172061</w:t>
        </w:r>
      </w:hyperlink>
      <w:r>
        <w:rPr>
          <w:sz w:val="19"/>
          <w:szCs w:val="19"/>
        </w:rPr>
        <w:t xml:space="preserve"> — the EU’s security role has grown through expertise and regulation rather than autonomous capacities. Abstract only; reframing evidence (also a Scanner pair candidate).</w:t>
      </w:r>
    </w:p>
    <w:p>
      <w:pPr>
        <w:spacing w:after="80"/>
        <w:ind w:left="360" w:hanging="360"/>
      </w:pPr>
      <w:r>
        <w:rPr>
          <w:sz w:val="19"/>
          <w:szCs w:val="19"/>
        </w:rPr>
        <w:t xml:space="preserve">Mi, Xue (2023). Strategic cultures between the EU member states: convergence or divergence? </w:t>
      </w:r>
      <w:r>
        <w:rPr>
          <w:i/>
          <w:iCs/>
          <w:sz w:val="19"/>
          <w:szCs w:val="19"/>
        </w:rPr>
        <w:t xml:space="preserve">European Security</w:t>
      </w:r>
      <w:r>
        <w:rPr>
          <w:sz w:val="19"/>
          <w:szCs w:val="19"/>
        </w:rPr>
        <w:t xml:space="preserve"> 32(4), 558–582. </w:t>
      </w:r>
      <w:hyperlink w:history="1" r:id="rIdkbenc_cffperspjd38eqd">
        <w:r>
          <w:rPr>
            <w:rStyle w:val="Hyperlink"/>
            <w:sz w:val="19"/>
            <w:szCs w:val="19"/>
          </w:rPr>
          <w:t xml:space="preserve">https://doi.org/10.1080/09662839.2022.2159384</w:t>
        </w:r>
      </w:hyperlink>
      <w:r>
        <w:rPr>
          <w:sz w:val="19"/>
          <w:szCs w:val="19"/>
        </w:rPr>
        <w:t xml:space="preserve"> — Germany, Poland and Ireland 2000–2020: convergence in threat perceptions, persistent divergence on goals and means. Abstract only; direct evidence.</w:t>
      </w:r>
    </w:p>
    <w:p>
      <w:pPr>
        <w:spacing w:after="80"/>
        <w:ind w:left="360" w:hanging="360"/>
      </w:pPr>
      <w:r>
        <w:rPr>
          <w:sz w:val="19"/>
          <w:szCs w:val="19"/>
        </w:rPr>
        <w:t xml:space="preserve">Mi, Xue (2026). </w:t>
      </w:r>
      <w:r>
        <w:rPr>
          <w:i/>
          <w:iCs/>
          <w:sz w:val="19"/>
          <w:szCs w:val="19"/>
        </w:rPr>
        <w:t xml:space="preserve">European Strategic Culture at a Crossroads: National Continuities or Convergence Towards the EU?</w:t>
      </w:r>
      <w:r>
        <w:rPr>
          <w:sz w:val="19"/>
          <w:szCs w:val="19"/>
        </w:rPr>
        <w:t xml:space="preserve"> Routledge. </w:t>
      </w:r>
      <w:hyperlink w:history="1" r:id="rIdlvsvvn3zbn37l1vex7eix">
        <w:r>
          <w:rPr>
            <w:rStyle w:val="Hyperlink"/>
            <w:sz w:val="19"/>
            <w:szCs w:val="19"/>
          </w:rPr>
          <w:t xml:space="preserve">https://doi.org/10.4324/9781032636566</w:t>
        </w:r>
      </w:hyperlink>
      <w:r>
        <w:rPr>
          <w:sz w:val="19"/>
          <w:szCs w:val="19"/>
        </w:rPr>
        <w:t xml:space="preserve"> — convergence between member states and with the EU under way before the 2022 war, which strengthened security and defence thinking. Abstract and chapter list only; direct evidence (cited in earlier accounts).</w:t>
      </w:r>
    </w:p>
    <w:p>
      <w:pPr>
        <w:spacing w:after="80"/>
        <w:ind w:left="360" w:hanging="360"/>
      </w:pPr>
      <w:r>
        <w:rPr>
          <w:sz w:val="19"/>
          <w:szCs w:val="19"/>
        </w:rPr>
        <w:t xml:space="preserve">Edmond (2026). NATO’s evolution and European security dynamics. </w:t>
      </w:r>
      <w:r>
        <w:rPr>
          <w:i/>
          <w:iCs/>
          <w:sz w:val="19"/>
          <w:szCs w:val="19"/>
        </w:rPr>
        <w:t xml:space="preserve">Discover Global Society</w:t>
      </w:r>
      <w:r>
        <w:rPr>
          <w:sz w:val="19"/>
          <w:szCs w:val="19"/>
        </w:rPr>
        <w:t xml:space="preserve"> 4. </w:t>
      </w:r>
      <w:hyperlink w:history="1" r:id="rIdl_or-hse6c6ojhdbdv0nc">
        <w:r>
          <w:rPr>
            <w:rStyle w:val="Hyperlink"/>
            <w:sz w:val="19"/>
            <w:szCs w:val="19"/>
          </w:rPr>
          <w:t xml:space="preserve">https://doi.org/10.1007/s44282-026-00594-1</w:t>
        </w:r>
      </w:hyperlink>
      <w:r>
        <w:rPr>
          <w:sz w:val="19"/>
          <w:szCs w:val="19"/>
        </w:rPr>
        <w:t xml:space="preserve"> — review of NATO strategic concepts 1991–2022, including burden-sharing and the autonomy–dependence trade-off. Abstract only; weak explanatory evidence (Scanner group member, kept at pair level).</w:t>
      </w:r>
    </w:p>
    <w:p>
      <w:pPr>
        <w:spacing w:after="100"/>
      </w:pPr>
      <w:r>
        <w:rPr>
          <w:rFonts w:ascii="Calibri" w:cs="Calibri" w:eastAsia="Calibri" w:hAnsi="Calibri"/>
          <w:b/>
          <w:bCs/>
          <w:color w:val="1F3A5F"/>
          <w:sz w:val="20"/>
          <w:szCs w:val="20"/>
        </w:rPr>
        <w:t xml:space="preserve">Evidence limitations. </w:t>
      </w:r>
      <w:r>
        <w:t xml:space="preserve">The original was read through extraction of a mirror copy and not every paragraph was read closely. The 2026 sources were assessed from abstracts. Spending figures are not comparable across 2013–2025, and the follow-up to FOCUS was not traced.</w:t>
      </w:r>
    </w:p>
    <w:p>
      <w:pPr>
        <w:spacing w:after="100"/>
      </w:pPr>
      <w:r>
        <w:rPr>
          <w:rFonts w:ascii="Calibri" w:cs="Calibri" w:eastAsia="Calibri" w:hAnsi="Calibri"/>
          <w:b/>
          <w:bCs/>
          <w:color w:val="1F3A5F"/>
          <w:sz w:val="20"/>
          <w:szCs w:val="20"/>
        </w:rPr>
        <w:t xml:space="preserve">Review status. </w:t>
      </w:r>
      <w:r>
        <w:t xml:space="preserve">Provisional interpretation. Key passages of the original and the official data were read; strategic-culture and transatlantic evidence rests partly on abstracts.</w:t>
      </w:r>
    </w:p>
    <w:p>
      <w:pPr>
        <w:keepNext/>
        <w:spacing w:after="60" w:before="160"/>
      </w:pPr>
      <w:r>
        <w:rPr>
          <w:rFonts w:ascii="Calibri" w:cs="Calibri" w:eastAsia="Calibri" w:hAnsi="Calibri"/>
          <w:b/>
          <w:bCs/>
          <w:color w:val="1F3A5F"/>
          <w:spacing w:val="20"/>
          <w:sz w:val="17"/>
          <w:szCs w:val="17"/>
        </w:rPr>
        <w:t xml:space="preserve">EARLIER ACCOUNT 16 — PRESERVED VERBATIM</w:t>
      </w:r>
    </w:p>
    <w:p>
      <w:pPr>
        <w:pBdr>
          <w:left w:val="single" w:color="B8C2CC" w:sz="12" w:space="8"/>
        </w:pBdr>
        <w:shd w:fill="F2F4F6" w:color="auto" w:val="clear"/>
        <w:spacing w:after="60" w:before="40"/>
        <w:ind w:left="200" w:right="120"/>
      </w:pPr>
      <w:r>
        <w:rPr>
          <w:sz w:val="19"/>
          <w:szCs w:val="19"/>
        </w:rPr>
        <w:t xml:space="preserve">Partly. Same evidence as 2, plus a 2026 book finding that EU strategic cultures were converging even before the Ukraine war.</w:t>
      </w:r>
    </w:p>
    <w:p>
      <w:pPr>
        <w:pBdr>
          <w:left w:val="single" w:color="B8C2CC" w:sz="12" w:space="8"/>
        </w:pBdr>
        <w:shd w:fill="F2F4F6" w:color="auto" w:val="clear"/>
        <w:spacing w:after="140" w:before="0"/>
        <w:ind w:left="200" w:right="120"/>
      </w:pPr>
      <w:r>
        <w:rPr>
          <w:sz w:val="19"/>
          <w:szCs w:val="19"/>
        </w:rPr>
        <w:t xml:space="preserve">Later sources: From Reaction to Foresight: EUPHA’s vision for health security in Europe (2025), </w:t>
      </w:r>
      <w:hyperlink w:history="1" r:id="rIdivtidcxghjx06qfh5axge">
        <w:r>
          <w:rPr>
            <w:rStyle w:val="Hyperlink"/>
            <w:sz w:val="19"/>
            <w:szCs w:val="19"/>
          </w:rPr>
          <w:t xml:space="preserve">https://doi.org/10.1093/eurpub/ckaf071</w:t>
        </w:r>
      </w:hyperlink>
      <w:r>
        <w:rPr>
          <w:sz w:val="19"/>
          <w:szCs w:val="19"/>
        </w:rPr>
        <w:t xml:space="preserve">;</w:t>
      </w:r>
      <w:r>
        <w:rPr>
          <w:sz w:val="19"/>
          <w:szCs w:val="19"/>
        </w:rPr>
        <w:t xml:space="preserve"> NATO’s evolution and European security dynamics (2026), </w:t>
      </w:r>
      <w:hyperlink w:history="1" r:id="rIdozrxsg1blvzfpw3mqsx3x">
        <w:r>
          <w:rPr>
            <w:rStyle w:val="Hyperlink"/>
            <w:sz w:val="19"/>
            <w:szCs w:val="19"/>
          </w:rPr>
          <w:t xml:space="preserve">https://doi.org/10.1007/s44282-026-00594-1</w:t>
        </w:r>
      </w:hyperlink>
      <w:r>
        <w:rPr>
          <w:sz w:val="19"/>
          <w:szCs w:val="19"/>
        </w:rPr>
        <w:t xml:space="preserve">;</w:t>
      </w:r>
      <w:r>
        <w:rPr>
          <w:sz w:val="19"/>
          <w:szCs w:val="19"/>
        </w:rPr>
        <w:t xml:space="preserve"> European Strategic Culture at a Crossroads (2026), </w:t>
      </w:r>
      <w:hyperlink w:history="1" r:id="rIdxny8cnfey37w73kuqeywg">
        <w:r>
          <w:rPr>
            <w:rStyle w:val="Hyperlink"/>
            <w:sz w:val="19"/>
            <w:szCs w:val="19"/>
          </w:rPr>
          <w:t xml:space="preserve">https://doi.org/10.4324/9781032636566</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account inherits the problems of earlier account 02, including reliance on a public-health editorial. It does not engage with Nerlich’s actual conditions — reliance on the United States, the link between spending and strategic freedom of action, and unity versus renationalisation. The 2026 book exists and is relevant to his point about a common strategic culture, though earlier work by the same author finds persistent divergence on goals and means.</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address the original’s conditional warning directly and remove the editorial; </w:t>
      </w:r>
      <w:r>
        <w:rPr>
          <w:b/>
          <w:bCs/>
        </w:rPr>
        <w:t xml:space="preserve">strengthen with new evidence</w:t>
      </w:r>
      <w:r>
        <w:t xml:space="preserve"> on spending, instruments and constraints.</w:t>
      </w:r>
    </w:p>
    <w:p>
      <w:pPr>
        <w:pBdr>
          <w:bottom w:val="single" w:color="B8C2CC" w:sz="6" w:space="1"/>
        </w:pBdr>
        <w:spacing w:after="120"/>
      </w:pPr>
    </w:p>
    <w:p>
      <w:pPr>
        <w:pStyle w:val="Heading2"/>
      </w:pPr>
      <w:r>
        <w:t xml:space="preserve">Account 06 — Constructivist forecasting and the EU as a military power (2011)</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57 (“Constructivist forecasting, EU as a military power (2011)”).</w:t>
      </w:r>
    </w:p>
    <w:p>
      <w:pPr>
        <w:spacing w:after="100"/>
      </w:pPr>
      <w:r>
        <w:rPr>
          <w:rFonts w:ascii="Calibri" w:cs="Calibri" w:eastAsia="Calibri" w:hAnsi="Calibri"/>
          <w:b/>
          <w:bCs/>
          <w:color w:val="1F3A5F"/>
          <w:sz w:val="20"/>
          <w:szCs w:val="20"/>
        </w:rPr>
        <w:t xml:space="preserve">Original study. </w:t>
      </w:r>
      <w:r>
        <w:t xml:space="preserve">Meyer, Christoph O. (2011). The Purpose and Pitfalls of Constructivist Forecasting: Insights from Strategic Culture Research for the European Union’s Evolution as a Military Power. </w:t>
      </w:r>
      <w:r>
        <w:rPr>
          <w:i/>
          <w:iCs/>
        </w:rPr>
        <w:t xml:space="preserve">International Studies Quarterly</w:t>
      </w:r>
      <w:r>
        <w:t xml:space="preserve"> 55(3), 669–690 (King’s College London). </w:t>
      </w:r>
      <w:hyperlink w:history="1" r:id="rIdysy5uzpbkdtfvzfp19wya">
        <w:r>
          <w:rPr>
            <w:rStyle w:val="Hyperlink"/>
          </w:rPr>
          <w:t xml:space="preserve">https://doi.org/10.1111/j.1468-2478.2011.00648.x</w:t>
        </w:r>
      </w:hyperlink>
      <w:r>
        <w:t xml:space="preserve"> (paywalled; abstract and reference list used).</w:t>
      </w:r>
    </w:p>
    <w:p>
      <w:pPr>
        <w:spacing w:after="100"/>
      </w:pPr>
      <w:r>
        <w:rPr>
          <w:rFonts w:ascii="Calibri" w:cs="Calibri" w:eastAsia="Calibri" w:hAnsi="Calibri"/>
          <w:b/>
          <w:bCs/>
          <w:color w:val="1F3A5F"/>
          <w:sz w:val="20"/>
          <w:szCs w:val="20"/>
        </w:rPr>
        <w:t xml:space="preserve">Original future claim. </w:t>
      </w:r>
      <w:r>
        <w:t xml:space="preserve">Key phrase (abstract): strategic culture research suits outlining “trajectories of the likely” when combined with drivers, discontinuities and key uncertainties. Paraphrase: the article argues that forecasting is scientifically rewarding and normatively desirable for constructivist scholars and uses the EU’s evolution as a military power as its example. The specific trajectories and uncertainties it identified for the EU could not be verified, so the claim is treated here mainly as methodological. Catalogue excerpt: HISTORICAL-CLAIMS record 501.</w:t>
      </w:r>
    </w:p>
    <w:p>
      <w:pPr>
        <w:spacing w:after="100"/>
      </w:pPr>
      <w:r>
        <w:rPr>
          <w:rFonts w:ascii="Calibri" w:cs="Calibri" w:eastAsia="Calibri" w:hAnsi="Calibri"/>
          <w:b/>
          <w:bCs/>
          <w:color w:val="1F3A5F"/>
          <w:sz w:val="20"/>
          <w:szCs w:val="20"/>
        </w:rPr>
        <w:t xml:space="preserve">What was envisioned. </w:t>
      </w:r>
      <w:r>
        <w:t xml:space="preserve">A research programme in which constructivist scholars outline likely trajectories of the EU as a military power by combining strategic-culture analysis with material and ideational drivers, possible discontinuities and key uncertainties — together with an unverified set of substantive trajectories for the EU.</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Research since 2011 points to partial and uneven convergence of European strategic cultures. Studies before 2022 generally saw an EU strategic culture developing alongside, rather than replacing, national ones; a content analysis of German, Polish and Irish discourse for 2000–2020 found convergence in threat perceptions but persistent differences over goals and means. Meyer’s own 2023 handbook chapter describes an EU culture centred on civilian instruments and human security, shaped and limited by member-state cultures. A 2026 monograph argues that convergence was already under way before Russia’s full-scale invasion of Ukraine and that the war strengthened European security and defence thinking.</w:t>
      </w:r>
    </w:p>
    <w:p>
      <w:r>
        <w:t xml:space="preserve">On the material side, member states’ defence spending rose to €418 billion in 2025 and the EU acquired financing and industrial roles in Ukraine support, joint procurement and industrial programmes, while defence remained largely national. The debate itself was reframed from “military power” towards “strategic autonomy” and defence readiness — concepts that a 2026 study treats as internally contradictory rather than as confirmation of a trajectory. The methodological programme continued in Meyer’s later work on strategic-cultural change and on warning failures in European foreign policy.</w:t>
      </w:r>
    </w:p>
    <w:p>
      <w:pPr>
        <w:spacing w:after="100"/>
      </w:pPr>
      <w:r>
        <w:rPr>
          <w:rFonts w:ascii="Calibri" w:cs="Calibri" w:eastAsia="Calibri" w:hAnsi="Calibri"/>
          <w:b/>
          <w:bCs/>
          <w:color w:val="1F3A5F"/>
          <w:sz w:val="20"/>
          <w:szCs w:val="20"/>
        </w:rPr>
        <w:t xml:space="preserve">Interpretation. </w:t>
      </w:r>
      <w:r>
        <w:t xml:space="preserve">This record cannot be scored as held or failed. The EU’s military role grew after 2022, mainly through money and industry and under the shock of war; national strategic cultures shifted unevenly; and the methodological programme of combining strategic culture with material drivers has been carried forward by the author. Meyer’s substantive trajectories remain to be checked against the full text.</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Mi, Xue (2023). Strategic cultures between the EU member states: convergence or divergence? </w:t>
      </w:r>
      <w:r>
        <w:rPr>
          <w:i/>
          <w:iCs/>
          <w:sz w:val="19"/>
          <w:szCs w:val="19"/>
        </w:rPr>
        <w:t xml:space="preserve">European Security</w:t>
      </w:r>
      <w:r>
        <w:rPr>
          <w:sz w:val="19"/>
          <w:szCs w:val="19"/>
        </w:rPr>
        <w:t xml:space="preserve"> 32(4), 558–582. </w:t>
      </w:r>
      <w:hyperlink w:history="1" r:id="rIdyh3lihacvuab8mzcecjpp">
        <w:r>
          <w:rPr>
            <w:rStyle w:val="Hyperlink"/>
            <w:sz w:val="19"/>
            <w:szCs w:val="19"/>
          </w:rPr>
          <w:t xml:space="preserve">https://doi.org/10.1080/09662839.2022.2159384</w:t>
        </w:r>
      </w:hyperlink>
      <w:r>
        <w:rPr>
          <w:sz w:val="19"/>
          <w:szCs w:val="19"/>
        </w:rPr>
        <w:t xml:space="preserve"> — Germany, Poland and Ireland 2000–2020: convergence in threat perceptions, persistent divergence on goals and means. Abstract only; direct evidence.</w:t>
      </w:r>
    </w:p>
    <w:p>
      <w:pPr>
        <w:spacing w:after="80"/>
        <w:ind w:left="360" w:hanging="360"/>
      </w:pPr>
      <w:r>
        <w:rPr>
          <w:sz w:val="19"/>
          <w:szCs w:val="19"/>
        </w:rPr>
        <w:t xml:space="preserve">Mi, Xue (2026). </w:t>
      </w:r>
      <w:r>
        <w:rPr>
          <w:i/>
          <w:iCs/>
          <w:sz w:val="19"/>
          <w:szCs w:val="19"/>
        </w:rPr>
        <w:t xml:space="preserve">European Strategic Culture at a Crossroads: National Continuities or Convergence Towards the EU?</w:t>
      </w:r>
      <w:r>
        <w:rPr>
          <w:sz w:val="19"/>
          <w:szCs w:val="19"/>
        </w:rPr>
        <w:t xml:space="preserve"> Routledge. </w:t>
      </w:r>
      <w:hyperlink w:history="1" r:id="rIdud7yxu3tjchmijqbq81lw">
        <w:r>
          <w:rPr>
            <w:rStyle w:val="Hyperlink"/>
            <w:sz w:val="19"/>
            <w:szCs w:val="19"/>
          </w:rPr>
          <w:t xml:space="preserve">https://doi.org/10.4324/9781032636566</w:t>
        </w:r>
      </w:hyperlink>
      <w:r>
        <w:rPr>
          <w:sz w:val="19"/>
          <w:szCs w:val="19"/>
        </w:rPr>
        <w:t xml:space="preserve"> — convergence between member states and with the EU under way before the 2022 war, which strengthened security and defence thinking. Abstract and chapter list only; direct evidence (cited in earlier accounts).</w:t>
      </w:r>
    </w:p>
    <w:p>
      <w:pPr>
        <w:spacing w:after="80"/>
        <w:ind w:left="360" w:hanging="360"/>
      </w:pPr>
      <w:r>
        <w:rPr>
          <w:sz w:val="19"/>
          <w:szCs w:val="19"/>
        </w:rPr>
        <w:t xml:space="preserve">Meyer, C. O. (2023). Nature, emergence, and limitations of an EU strategic culture. In Kartchner, K. M., Bowen, B. A. &amp; Johnson, J. L. (eds), </w:t>
      </w:r>
      <w:r>
        <w:rPr>
          <w:i/>
          <w:iCs/>
          <w:sz w:val="19"/>
          <w:szCs w:val="19"/>
        </w:rPr>
        <w:t xml:space="preserve">Routledge Handbook of Strategic Culture</w:t>
      </w:r>
      <w:r>
        <w:rPr>
          <w:sz w:val="19"/>
          <w:szCs w:val="19"/>
        </w:rPr>
        <w:t xml:space="preserve">, 106–120. </w:t>
      </w:r>
      <w:hyperlink w:history="1" r:id="rIdavdu-wtoax-mx3vjygsck">
        <w:r>
          <w:rPr>
            <w:rStyle w:val="Hyperlink"/>
            <w:sz w:val="19"/>
            <w:szCs w:val="19"/>
          </w:rPr>
          <w:t xml:space="preserve">https://doi.org/10.4324/9781003010302-10</w:t>
        </w:r>
      </w:hyperlink>
      <w:r>
        <w:rPr>
          <w:sz w:val="19"/>
          <w:szCs w:val="19"/>
        </w:rPr>
        <w:t xml:space="preserve"> — EU strategic culture centred on civilian tools, shaped and limited by member-state cultures. Abstract only; later foresight and explanatory evidence by the same author.</w:t>
      </w:r>
    </w:p>
    <w:p>
      <w:pPr>
        <w:spacing w:after="80"/>
        <w:ind w:left="360" w:hanging="360"/>
      </w:pPr>
      <w:r>
        <w:rPr>
          <w:sz w:val="19"/>
          <w:szCs w:val="19"/>
        </w:rPr>
        <w:t xml:space="preserve">Herborth, B. (2026). European strategic antinomy. </w:t>
      </w:r>
      <w:r>
        <w:rPr>
          <w:i/>
          <w:iCs/>
          <w:sz w:val="19"/>
          <w:szCs w:val="19"/>
        </w:rPr>
        <w:t xml:space="preserve">Political Geography</w:t>
      </w:r>
      <w:r>
        <w:rPr>
          <w:sz w:val="19"/>
          <w:szCs w:val="19"/>
        </w:rPr>
        <w:t xml:space="preserve"> 129, 103616. </w:t>
      </w:r>
      <w:hyperlink w:history="1" r:id="rIdqwcfrkhocaf8gie2mbsz5">
        <w:r>
          <w:rPr>
            <w:rStyle w:val="Hyperlink"/>
            <w:sz w:val="19"/>
            <w:szCs w:val="19"/>
          </w:rPr>
          <w:t xml:space="preserve">https://doi.org/10.1016/j.polgeo.2026.103616</w:t>
        </w:r>
      </w:hyperlink>
      <w:r>
        <w:rPr>
          <w:sz w:val="19"/>
          <w:szCs w:val="19"/>
        </w:rPr>
        <w:t xml:space="preserve"> — strategic autonomy as a key but internally contradictory geonarrative. Abstract only; reframing evidence (cited in the earlier account).</w:t>
      </w:r>
    </w:p>
    <w:p>
      <w:pPr>
        <w:spacing w:after="80"/>
        <w:ind w:left="360" w:hanging="360"/>
      </w:pPr>
      <w:r>
        <w:rPr>
          <w:sz w:val="19"/>
          <w:szCs w:val="19"/>
        </w:rPr>
        <w:t xml:space="preserve">Li &amp; Meyer, C. O. (2026). A realist-constructivist framework for explaining change in strategic culture: the four pathways model. </w:t>
      </w:r>
      <w:r>
        <w:rPr>
          <w:i/>
          <w:iCs/>
          <w:sz w:val="19"/>
          <w:szCs w:val="19"/>
        </w:rPr>
        <w:t xml:space="preserve">Cooperation and Conflict</w:t>
      </w:r>
      <w:r>
        <w:rPr>
          <w:sz w:val="19"/>
          <w:szCs w:val="19"/>
        </w:rPr>
        <w:t xml:space="preserve">. </w:t>
      </w:r>
      <w:hyperlink w:history="1" r:id="rIdfreo_lytuatexrm8uhie8">
        <w:r>
          <w:rPr>
            <w:rStyle w:val="Hyperlink"/>
            <w:sz w:val="19"/>
            <w:szCs w:val="19"/>
          </w:rPr>
          <w:t xml:space="preserve">https://doi.org/10.1177/00108367261490365</w:t>
        </w:r>
      </w:hyperlink>
      <w:r>
        <w:rPr>
          <w:sz w:val="19"/>
          <w:szCs w:val="19"/>
        </w:rPr>
        <w:t xml:space="preserve"> — four pathways and three forms of strategic-cultural change. Abstract only; reframing evidence (methodological continuation).</w:t>
      </w:r>
    </w:p>
    <w:p>
      <w:pPr>
        <w:spacing w:after="80"/>
        <w:ind w:left="360" w:hanging="360"/>
      </w:pPr>
      <w:r>
        <w:rPr>
          <w:sz w:val="19"/>
          <w:szCs w:val="19"/>
        </w:rPr>
        <w:t xml:space="preserve">European Defence Agency (2026). </w:t>
      </w:r>
      <w:r>
        <w:rPr>
          <w:i/>
          <w:iCs/>
          <w:sz w:val="19"/>
          <w:szCs w:val="19"/>
        </w:rPr>
        <w:t xml:space="preserve">Defence Data 2025–2026</w:t>
      </w:r>
      <w:r>
        <w:rPr>
          <w:sz w:val="19"/>
          <w:szCs w:val="19"/>
        </w:rPr>
        <w:t xml:space="preserve"> (data cut-off 20 April 2026). </w:t>
      </w:r>
      <w:hyperlink w:history="1" r:id="rId7lcsx9lul_mzxttcak12l">
        <w:r>
          <w:rPr>
            <w:rStyle w:val="Hyperlink"/>
            <w:sz w:val="19"/>
            <w:szCs w:val="19"/>
          </w:rPr>
          <w:t xml:space="preserve">https://eda.europa.eu/docs/default-source/eda-publications/2026-eda_defencedata_webpublic.pdf</w:t>
        </w:r>
      </w:hyperlink>
      <w:r>
        <w:rPr>
          <w:sz w:val="19"/>
          <w:szCs w:val="19"/>
        </w:rPr>
        <w:t xml:space="preserve"> — EU-27 defence spending €418 billion in 2025 (2.2% of GDP), estimated €454 billion in 2026; collaborative spending 24% of equipment procurement. Full text read; direct evidence (national aggregates).</w:t>
      </w:r>
    </w:p>
    <w:p>
      <w:pPr>
        <w:spacing w:after="100"/>
      </w:pPr>
      <w:r>
        <w:rPr>
          <w:rFonts w:ascii="Calibri" w:cs="Calibri" w:eastAsia="Calibri" w:hAnsi="Calibri"/>
          <w:b/>
          <w:bCs/>
          <w:color w:val="1F3A5F"/>
          <w:sz w:val="20"/>
          <w:szCs w:val="20"/>
        </w:rPr>
        <w:t xml:space="preserve">Evidence limitations. </w:t>
      </w:r>
      <w:r>
        <w:t xml:space="preserve">Only the abstract and reference list of the original were read; an accepted manuscript appears to exist in the King’s College London repository but could not be opened. Most later sources were assessed from abstracts. The first-author initials of two 2026 items were not verified.</w:t>
      </w:r>
    </w:p>
    <w:p>
      <w:pPr>
        <w:spacing w:after="100"/>
      </w:pPr>
      <w:r>
        <w:rPr>
          <w:rFonts w:ascii="Calibri" w:cs="Calibri" w:eastAsia="Calibri" w:hAnsi="Calibri"/>
          <w:b/>
          <w:bCs/>
          <w:color w:val="1F3A5F"/>
          <w:sz w:val="20"/>
          <w:szCs w:val="20"/>
        </w:rPr>
        <w:t xml:space="preserve">Review status. </w:t>
      </w:r>
      <w:r>
        <w:t xml:space="preserve">Abstract-only assessment. Flagged for source verification of the original’s substantive trajectories.</w:t>
      </w:r>
    </w:p>
    <w:p>
      <w:pPr>
        <w:keepNext/>
        <w:spacing w:after="60" w:before="160"/>
      </w:pPr>
      <w:r>
        <w:rPr>
          <w:rFonts w:ascii="Calibri" w:cs="Calibri" w:eastAsia="Calibri" w:hAnsi="Calibri"/>
          <w:b/>
          <w:bCs/>
          <w:color w:val="1F3A5F"/>
          <w:spacing w:val="20"/>
          <w:sz w:val="17"/>
          <w:szCs w:val="17"/>
        </w:rPr>
        <w:t xml:space="preserve">EARLIER ACCOUNT 57 — PRESERVED VERBATIM</w:t>
      </w:r>
    </w:p>
    <w:p>
      <w:pPr>
        <w:pBdr>
          <w:left w:val="single" w:color="B8C2CC" w:sz="12" w:space="8"/>
        </w:pBdr>
        <w:shd w:fill="F2F4F6" w:color="auto" w:val="clear"/>
        <w:spacing w:after="60" w:before="40"/>
        <w:ind w:left="200" w:right="120"/>
      </w:pPr>
      <w:r>
        <w:rPr>
          <w:sz w:val="19"/>
          <w:szCs w:val="19"/>
        </w:rPr>
        <w:t xml:space="preserve">Held. EU strategic cultures were converging even before the Ukraine war, which then boosted EU defence thinking (2026). ReArm Europe brought a roughly €800bn defence push (2025), and “strategic autonomy” became the EU’s key frame (2026).</w:t>
      </w:r>
    </w:p>
    <w:p>
      <w:pPr>
        <w:pBdr>
          <w:left w:val="single" w:color="B8C2CC" w:sz="12" w:space="8"/>
        </w:pBdr>
        <w:shd w:fill="F2F4F6" w:color="auto" w:val="clear"/>
        <w:spacing w:after="140" w:before="0"/>
        <w:ind w:left="200" w:right="120"/>
      </w:pPr>
      <w:r>
        <w:rPr>
          <w:sz w:val="19"/>
          <w:szCs w:val="19"/>
        </w:rPr>
        <w:t xml:space="preserve">Later sources: European Strategic Culture at a Crossroads (2026), </w:t>
      </w:r>
      <w:hyperlink w:history="1" r:id="rIdcv_kdyggyw2b1tn_awp1e">
        <w:r>
          <w:rPr>
            <w:rStyle w:val="Hyperlink"/>
            <w:sz w:val="19"/>
            <w:szCs w:val="19"/>
          </w:rPr>
          <w:t xml:space="preserve">https://doi.org/10.4324/9781032636566</w:t>
        </w:r>
      </w:hyperlink>
      <w:r>
        <w:rPr>
          <w:sz w:val="19"/>
          <w:szCs w:val="19"/>
        </w:rPr>
        <w:t xml:space="preserve">;</w:t>
      </w:r>
      <w:r>
        <w:rPr>
          <w:sz w:val="19"/>
          <w:szCs w:val="19"/>
        </w:rPr>
        <w:t xml:space="preserve"> From Reaction to Foresight: EUPHA’s vision for health security in Europe (2025), </w:t>
      </w:r>
      <w:hyperlink w:history="1" r:id="rIdio1wdeenhg02llddwlfew">
        <w:r>
          <w:rPr>
            <w:rStyle w:val="Hyperlink"/>
            <w:sz w:val="19"/>
            <w:szCs w:val="19"/>
          </w:rPr>
          <w:t xml:space="preserve">https://doi.org/10.1093/eurpub/ckaf071</w:t>
        </w:r>
      </w:hyperlink>
      <w:r>
        <w:rPr>
          <w:sz w:val="19"/>
          <w:szCs w:val="19"/>
        </w:rPr>
        <w:t xml:space="preserve">;</w:t>
      </w:r>
      <w:r>
        <w:rPr>
          <w:sz w:val="19"/>
          <w:szCs w:val="19"/>
        </w:rPr>
        <w:t xml:space="preserve"> European strategic antinomy (2026), </w:t>
      </w:r>
      <w:hyperlink w:history="1" r:id="rIddewkcjiywcowlcbxqkn7i">
        <w:r>
          <w:rPr>
            <w:rStyle w:val="Hyperlink"/>
            <w:sz w:val="19"/>
            <w:szCs w:val="19"/>
          </w:rPr>
          <w:t xml:space="preserve">https://doi.org/10.1016/j.polgeo.2026.103616</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“Held” asserts an outcome for a forecast whose substantive content was not read; the claim is mainly methodological. The convergence statement reflects the 2026 book’s abstract but omits evidence of persistent divergence on goals and means. “ReArm Europe brought a roughly €800bn defence push” is inaccurate: the figure is a projection of enabled spending, and the editorial cited is not appropriate evidence. The 2026 Political Geography article does call strategic autonomy a key geonarrative, but its argument is critical, so citing it as confirmation misrepresents it.</w:t>
      </w:r>
    </w:p>
    <w:p>
      <w:pPr>
        <w:spacing w:after="100"/>
      </w:pPr>
      <w:r>
        <w:rPr>
          <w:rFonts w:ascii="Calibri" w:cs="Calibri" w:eastAsia="Calibri" w:hAnsi="Calibri"/>
          <w:b/>
          <w:bCs/>
          <w:color w:val="1F3A5F"/>
          <w:sz w:val="20"/>
          <w:szCs w:val="20"/>
        </w:rPr>
        <w:t xml:space="preserve">Proposed action. </w:t>
      </w:r>
      <w:r>
        <w:rPr>
          <w:b/>
          <w:bCs/>
        </w:rPr>
        <w:t xml:space="preserve">Flag for source verification</w:t>
      </w:r>
      <w:r>
        <w:t xml:space="preserve">: obtain the accepted manuscript to identify Meyer’s actual trajectories; </w:t>
      </w:r>
      <w:r>
        <w:rPr>
          <w:b/>
          <w:bCs/>
        </w:rPr>
        <w:t xml:space="preserve">correct or qualify</w:t>
      </w:r>
      <w:r>
        <w:t xml:space="preserve">: drop the verdict, correct the €800 billion wording and remove the editorial.</w:t>
      </w:r>
    </w:p>
    <w:p>
      <w:r>
        <w:br w:type="page"/>
      </w:r>
    </w:p>
    <w:p>
      <w:pPr>
        <w:pStyle w:val="Heading1"/>
      </w:pPr>
      <w:r>
        <w:t xml:space="preserve">Air quality, ozone and climate</w:t>
      </w:r>
    </w:p>
    <w:p>
      <w:r>
        <w:t xml:space="preserve">Three modelling studies from 2012–2013 asked how European ozone exposure would develop under emission policy and climate change. Their horizons (2030, 2050 and 2041–2060) have not arrived, so later evidence can describe intermediate trends and changes in the framing of the question, not outcomes. The earlier VV Futures accounts compared all three with a 2024 study whose model comparison is a hindcast, not a test of these projections; that correction runs through all three revisions.</w:t>
      </w:r>
    </w:p>
    <w:p>
      <w:pPr>
        <w:pStyle w:val="Heading2"/>
      </w:pPr>
      <w:r>
        <w:t xml:space="preserve">Account 07 — European air quality and climate in 2050 (2013)</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07 (“European atmosphere in 2050 (2013)”).</w:t>
      </w:r>
    </w:p>
    <w:p>
      <w:pPr>
        <w:spacing w:after="100"/>
      </w:pPr>
      <w:r>
        <w:rPr>
          <w:rFonts w:ascii="Calibri" w:cs="Calibri" w:eastAsia="Calibri" w:hAnsi="Calibri"/>
          <w:b/>
          <w:bCs/>
          <w:color w:val="1F3A5F"/>
          <w:sz w:val="20"/>
          <w:szCs w:val="20"/>
        </w:rPr>
        <w:t xml:space="preserve">Original study. </w:t>
      </w:r>
      <w:r>
        <w:t xml:space="preserve">Colette, Augustin, Bessagnet, Bertrand, Vautard, Robert, Szopa, Sophie, Rao, Shilpa, Schucht, Simone, Klimont, Zbigniew, Menut, Laurent, Clain, Gaëlle, Meleux, Frédérik, Curci, Gabriele &amp; Rouïl, Laurence (2013). European atmosphere in 2050, a regional air quality and climate perspective under CMIP5 scenarios. </w:t>
      </w:r>
      <w:r>
        <w:rPr>
          <w:i/>
          <w:iCs/>
        </w:rPr>
        <w:t xml:space="preserve">Atmospheric Chemistry and Physics</w:t>
      </w:r>
      <w:r>
        <w:t xml:space="preserve"> 13, 7451–7471 (INERIS, LSCE/IPSL, IIASA and others). </w:t>
      </w:r>
      <w:hyperlink w:history="1" r:id="rIdcx0fiqhhrmibltti8x365">
        <w:r>
          <w:rPr>
            <w:rStyle w:val="Hyperlink"/>
          </w:rPr>
          <w:t xml:space="preserve">https://doi.org/10.5194/acp-13-7451-2013</w:t>
        </w:r>
      </w:hyperlink>
      <w:r>
        <w:t xml:space="preserve"> (open access; full text read).</w:t>
      </w:r>
    </w:p>
    <w:p>
      <w:pPr>
        <w:spacing w:after="100"/>
      </w:pPr>
      <w:r>
        <w:rPr>
          <w:rFonts w:ascii="Calibri" w:cs="Calibri" w:eastAsia="Calibri" w:hAnsi="Calibri"/>
          <w:b/>
          <w:bCs/>
          <w:color w:val="1F3A5F"/>
          <w:sz w:val="20"/>
          <w:szCs w:val="20"/>
        </w:rPr>
        <w:t xml:space="preserve">Original future claim. </w:t>
      </w:r>
      <w:r>
        <w:t xml:space="preserve">Key phrase (final abstract): the main driver of future air quality is “air pollutant emissions, rather than climate change”. Paraphrase: comparing a reference world without climate policy with a 2°C mitigation world, population-weighted ozone exposure (SOMO35) rises about 7% by 2050 in the reference case but falls about 80% under mitigation, and PM2.5 falls by about 62% and 78% respectively; the ozone climate penalty is confirmed but modest, while rising hemispheric background ozone may matter more. Note: the catalogued excerpt (HISTORICAL-CLAIMS record 444) is a methods sentence, and the indexed abstract is that of the discussion paper, which said the climate penalty had been overstated; the final published abstract states that it is confirmed.</w:t>
      </w:r>
    </w:p>
    <w:p>
      <w:pPr>
        <w:spacing w:after="100"/>
      </w:pPr>
      <w:r>
        <w:rPr>
          <w:rFonts w:ascii="Calibri" w:cs="Calibri" w:eastAsia="Calibri" w:hAnsi="Calibri"/>
          <w:b/>
          <w:bCs/>
          <w:color w:val="1F3A5F"/>
          <w:sz w:val="20"/>
          <w:szCs w:val="20"/>
        </w:rPr>
        <w:t xml:space="preserve">What was envisioned. </w:t>
      </w:r>
      <w:r>
        <w:t xml:space="preserve">Two linked pathways to 2050 for European air: in both, pollutant emissions dominate the outcome; under 2°C mitigation, ozone exposure falls dramatically, while without climate policy it edges up because rising global background ozone and a modest climate penalty offset European controls.</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2050 horizon lies ahead, so only intermediate trends can be compared. Precursor emissions moved in the expected direction: European NOx emissions fell by about half between 2000 and 2019, and PM2.5 and NO₂ concentrations declined, although NO₂ fell less than reported emissions. Ozone behaved less simply. At rural EMEP monitoring sites the highest summer values fell only 0.3–0.6% a year while the lowest percentiles rose, and the EMEP model run with reported emissions simulated somewhat stronger declines than were observed, particularly in southern Europe. Reconstructed population exposure for 2003–2019 shows daily maximum ozone rising by about 0.5% a year, and urban records to 2021 show falling peaks alongside rising median values.</w:t>
      </w:r>
    </w:p>
    <w:p>
      <w:r>
        <w:t xml:space="preserve">The paper’s emphasis on background ozone has gained weight. A source-apportionment study for the 2015–2017 warm seasons associated 56.7% of ozone-attributable deaths in 35 European countries with ozone entering the European modelling domain from outside. Newer projects are re-running the emission-versus-climate decomposition with CMIP6 scenarios for 2030 and 2050, but had published no results that could be checked. For PM2.5, newer work still projects large health co-benefits from ambitious mitigation.</w:t>
      </w:r>
    </w:p>
    <w:p>
      <w:pPr>
        <w:spacing w:after="100"/>
      </w:pPr>
      <w:r>
        <w:rPr>
          <w:rFonts w:ascii="Calibri" w:cs="Calibri" w:eastAsia="Calibri" w:hAnsi="Calibri"/>
          <w:b/>
          <w:bCs/>
          <w:color w:val="1F3A5F"/>
          <w:sz w:val="20"/>
          <w:szCs w:val="20"/>
        </w:rPr>
        <w:t xml:space="preserve">Interpretation. </w:t>
      </w:r>
      <w:r>
        <w:t xml:space="preserve">Open: the horizon has not been reached and the two pathways cannot yet be distinguished by observation. Intermediate evidence fits the paper’s core claim that emissions control the trajectory, but ozone exposure has responded more weakly to precursor cuts than models suggest, and the hemispheric background concern has become more central rather than less.</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Aas, W. et al. (2024). Trends in Air Pollution in Europe, 2000–2019. </w:t>
      </w:r>
      <w:r>
        <w:rPr>
          <w:i/>
          <w:iCs/>
          <w:sz w:val="19"/>
          <w:szCs w:val="19"/>
        </w:rPr>
        <w:t xml:space="preserve">Aerosol and Air Quality Research</w:t>
      </w:r>
      <w:r>
        <w:rPr>
          <w:sz w:val="19"/>
          <w:szCs w:val="19"/>
        </w:rPr>
        <w:t xml:space="preserve"> 24, 230237. </w:t>
      </w:r>
      <w:hyperlink w:history="1" r:id="rIdhq-mfyk6tnq3khiwmbtv_">
        <w:r>
          <w:rPr>
            <w:rStyle w:val="Hyperlink"/>
            <w:sz w:val="19"/>
            <w:szCs w:val="19"/>
          </w:rPr>
          <w:t xml:space="preserve">https://doi.org/10.4209/aaqr.230237</w:t>
        </w:r>
      </w:hyperlink>
      <w:r>
        <w:rPr>
          <w:sz w:val="19"/>
          <w:szCs w:val="19"/>
        </w:rPr>
        <w:t xml:space="preserve"> — European NOx emissions fell 48% (2000–2019); the highest ozone values at EMEP sites fell only 0.3–0.6% a year while low percentiles rose; the EMEP model run with reported emissions simulated stronger declines than observed, especially south of 49°N. Full text read; direct evidence on intermediate trends (the model comparison is a hindcast).</w:t>
      </w:r>
    </w:p>
    <w:p>
      <w:pPr>
        <w:spacing w:after="80"/>
        <w:ind w:left="360" w:hanging="360"/>
      </w:pPr>
      <w:r>
        <w:rPr>
          <w:sz w:val="19"/>
          <w:szCs w:val="19"/>
        </w:rPr>
        <w:t xml:space="preserve">Chen, Z.-Y. et al. (2024). Population exposure to multiple air pollutants and its compound episodes in Europe. </w:t>
      </w:r>
      <w:r>
        <w:rPr>
          <w:i/>
          <w:iCs/>
          <w:sz w:val="19"/>
          <w:szCs w:val="19"/>
        </w:rPr>
        <w:t xml:space="preserve">Nature Communications</w:t>
      </w:r>
      <w:r>
        <w:rPr>
          <w:sz w:val="19"/>
          <w:szCs w:val="19"/>
        </w:rPr>
        <w:t xml:space="preserve"> 15, 2094. </w:t>
      </w:r>
      <w:hyperlink w:history="1" r:id="rIdx46ekttxgdnrqj29ls2on">
        <w:r>
          <w:rPr>
            <w:rStyle w:val="Hyperlink"/>
            <w:sz w:val="19"/>
            <w:szCs w:val="19"/>
          </w:rPr>
          <w:t xml:space="preserve">https://doi.org/10.1038/s41467-024-46103-3</w:t>
        </w:r>
      </w:hyperlink>
      <w:r>
        <w:rPr>
          <w:sz w:val="19"/>
          <w:szCs w:val="19"/>
        </w:rPr>
        <w:t xml:space="preserve"> — population-weighted daily maximum 8-hour ozone rose about 0.5% a year in 2003–2019 (excluding the 2003 heatwave), faster in southern Europe. Full text read; direct evidence on exposure.</w:t>
      </w:r>
    </w:p>
    <w:p>
      <w:pPr>
        <w:spacing w:after="80"/>
        <w:ind w:left="360" w:hanging="360"/>
      </w:pPr>
      <w:r>
        <w:rPr>
          <w:sz w:val="19"/>
          <w:szCs w:val="19"/>
        </w:rPr>
        <w:t xml:space="preserve">Nelson, B. S. &amp; Drysdale, W. S. (2025). Urban ozone trends in Europe and the USA (2000–2021). </w:t>
      </w:r>
      <w:r>
        <w:rPr>
          <w:i/>
          <w:iCs/>
          <w:sz w:val="19"/>
          <w:szCs w:val="19"/>
        </w:rPr>
        <w:t xml:space="preserve">Atmospheric Chemistry and Physics</w:t>
      </w:r>
      <w:r>
        <w:rPr>
          <w:sz w:val="19"/>
          <w:szCs w:val="19"/>
        </w:rPr>
        <w:t xml:space="preserve"> 25. </w:t>
      </w:r>
      <w:hyperlink w:history="1" r:id="rIdty6trg7cjm4p4e3pccgwh">
        <w:r>
          <w:rPr>
            <w:rStyle w:val="Hyperlink"/>
            <w:sz w:val="19"/>
            <w:szCs w:val="19"/>
          </w:rPr>
          <w:t xml:space="preserve">https://doi.org/10.5194/acp-25-16009-2025</w:t>
        </w:r>
      </w:hyperlink>
      <w:r>
        <w:rPr>
          <w:sz w:val="19"/>
          <w:szCs w:val="19"/>
        </w:rPr>
        <w:t xml:space="preserve"> — European urban series show mostly decreasing high-percentile trends but increasing median and low-percentile trends. Abstract only; direct evidence.</w:t>
      </w:r>
    </w:p>
    <w:p>
      <w:pPr>
        <w:spacing w:after="80"/>
        <w:ind w:left="360" w:hanging="360"/>
      </w:pPr>
      <w:r>
        <w:rPr>
          <w:sz w:val="19"/>
          <w:szCs w:val="19"/>
        </w:rPr>
        <w:t xml:space="preserve">Achebak, H. et al. (2024). Geographic sources of ozone air pollution and mortality burden in Europe. </w:t>
      </w:r>
      <w:r>
        <w:rPr>
          <w:i/>
          <w:iCs/>
          <w:sz w:val="19"/>
          <w:szCs w:val="19"/>
        </w:rPr>
        <w:t xml:space="preserve">Nature Medicine</w:t>
      </w:r>
      <w:r>
        <w:rPr>
          <w:sz w:val="19"/>
          <w:szCs w:val="19"/>
        </w:rPr>
        <w:t xml:space="preserve"> 30, 1732–1738. </w:t>
      </w:r>
      <w:hyperlink w:history="1" r:id="rIdhv94izjuz6vprzu5av8nc">
        <w:r>
          <w:rPr>
            <w:rStyle w:val="Hyperlink"/>
            <w:sz w:val="19"/>
            <w:szCs w:val="19"/>
          </w:rPr>
          <w:t xml:space="preserve">https://doi.org/10.1038/s41591-024-02976-x</w:t>
        </w:r>
      </w:hyperlink>
      <w:r>
        <w:rPr>
          <w:sz w:val="19"/>
          <w:szCs w:val="19"/>
        </w:rPr>
        <w:t xml:space="preserve"> — 56.7% of ozone-attributable deaths in 35 countries in the 2015–2017 warm seasons associated with ozone entering the modelling domain from outside, mostly hemispheric background. Full text read; explanatory and reframing evidence.</w:t>
      </w:r>
    </w:p>
    <w:p>
      <w:pPr>
        <w:spacing w:after="80"/>
        <w:ind w:left="360" w:hanging="360"/>
      </w:pPr>
      <w:r>
        <w:rPr>
          <w:sz w:val="19"/>
          <w:szCs w:val="19"/>
        </w:rPr>
        <w:t xml:space="preserve">Pisoni, E. et al. (2025). High resolution assessment of air quality and health in Europe under different climate mitigation scenarios. </w:t>
      </w:r>
      <w:r>
        <w:rPr>
          <w:i/>
          <w:iCs/>
          <w:sz w:val="19"/>
          <w:szCs w:val="19"/>
        </w:rPr>
        <w:t xml:space="preserve">Nature Communications</w:t>
      </w:r>
      <w:r>
        <w:rPr>
          <w:sz w:val="19"/>
          <w:szCs w:val="19"/>
        </w:rPr>
        <w:t xml:space="preserve"> 16. </w:t>
      </w:r>
      <w:hyperlink w:history="1" r:id="rIdz0knxzzrhtgvhr_ziuc-o">
        <w:r>
          <w:rPr>
            <w:rStyle w:val="Hyperlink"/>
            <w:sz w:val="19"/>
            <w:szCs w:val="19"/>
          </w:rPr>
          <w:t xml:space="preserve">https://doi.org/10.1038/s41467-025-60449-2</w:t>
        </w:r>
      </w:hyperlink>
      <w:r>
        <w:rPr>
          <w:sz w:val="19"/>
          <w:szCs w:val="19"/>
        </w:rPr>
        <w:t xml:space="preserve"> — re-projects PM2.5 health impacts under SSP scenarios; ozone not modelled. Full text read; later foresight (PM2.5 only).</w:t>
      </w:r>
    </w:p>
    <w:p>
      <w:pPr>
        <w:spacing w:after="80"/>
        <w:ind w:left="360" w:hanging="360"/>
      </w:pPr>
      <w:r>
        <w:rPr>
          <w:sz w:val="19"/>
          <w:szCs w:val="19"/>
        </w:rPr>
        <w:t xml:space="preserve">Mertens, M. et al. (2026). Climate &amp; Air Quality projections over Europe for 2030 and 2050. DLR conference paper, </w:t>
      </w:r>
      <w:hyperlink w:history="1" r:id="rIdwxbmhracwd7anajgkaztu">
        <w:r>
          <w:rPr>
            <w:rStyle w:val="Hyperlink"/>
            <w:sz w:val="19"/>
            <w:szCs w:val="19"/>
          </w:rPr>
          <w:t xml:space="preserve">https://openalex.org/W7213705154</w:t>
        </w:r>
      </w:hyperlink>
      <w:r>
        <w:rPr>
          <w:sz w:val="19"/>
          <w:szCs w:val="19"/>
        </w:rPr>
        <w:t xml:space="preserve">;</w:t>
      </w:r>
      <w:r>
        <w:rPr>
          <w:sz w:val="19"/>
          <w:szCs w:val="19"/>
        </w:rPr>
        <w:t xml:space="preserve"> and Tarín-Carrasco, P. et al. (2025). Quantifying the Climate Penalty on Air Quality in Europe – Insights from INSPEnCaT Project. EGU25-17230. </w:t>
      </w:r>
      <w:hyperlink w:history="1" r:id="rIdv8wqulzwddx3jqywrvhai">
        <w:r>
          <w:rPr>
            <w:rStyle w:val="Hyperlink"/>
            <w:sz w:val="19"/>
            <w:szCs w:val="19"/>
          </w:rPr>
          <w:t xml:space="preserve">https://doi.org/10.5194/egusphere-egu25-17230</w:t>
        </w:r>
      </w:hyperlink>
      <w:r>
        <w:rPr>
          <w:sz w:val="19"/>
          <w:szCs w:val="19"/>
        </w:rPr>
        <w:t xml:space="preserve"> — new CMIP6/SSP-based projections of the same question; no results reported. Abstracts only; later foresight.</w:t>
      </w:r>
    </w:p>
    <w:p>
      <w:pPr>
        <w:spacing w:after="100"/>
      </w:pPr>
      <w:r>
        <w:rPr>
          <w:rFonts w:ascii="Calibri" w:cs="Calibri" w:eastAsia="Calibri" w:hAnsi="Calibri"/>
          <w:b/>
          <w:bCs/>
          <w:color w:val="1F3A5F"/>
          <w:sz w:val="20"/>
          <w:szCs w:val="20"/>
        </w:rPr>
        <w:t xml:space="preserve">Evidence limitations. </w:t>
      </w:r>
      <w:r>
        <w:t xml:space="preserve">No observational study isolating the climate penalty in Europe was verified. Monitoring after 2021, including EEA status reports and the 2022–2025 heat summers, was not checked. Some table values were read through text extraction of the publisher PDF and should be spot-checked.</w:t>
      </w:r>
    </w:p>
    <w:p>
      <w:pPr>
        <w:spacing w:after="100"/>
      </w:pPr>
      <w:r>
        <w:rPr>
          <w:rFonts w:ascii="Calibri" w:cs="Calibri" w:eastAsia="Calibri" w:hAnsi="Calibri"/>
          <w:b/>
          <w:bCs/>
          <w:color w:val="1F3A5F"/>
          <w:sz w:val="20"/>
          <w:szCs w:val="20"/>
        </w:rPr>
        <w:t xml:space="preserve">Review status. </w:t>
      </w:r>
      <w:r>
        <w:t xml:space="preserve">Provisional interpretation. The original and the key later evidence were read in full; horizon not reached.</w:t>
      </w:r>
    </w:p>
    <w:p>
      <w:pPr>
        <w:keepNext/>
        <w:spacing w:after="60" w:before="160"/>
      </w:pPr>
      <w:r>
        <w:rPr>
          <w:rFonts w:ascii="Calibri" w:cs="Calibri" w:eastAsia="Calibri" w:hAnsi="Calibri"/>
          <w:b/>
          <w:bCs/>
          <w:color w:val="1F3A5F"/>
          <w:spacing w:val="20"/>
          <w:sz w:val="17"/>
          <w:szCs w:val="17"/>
        </w:rPr>
        <w:t xml:space="preserve">EARLIER ACCOUNT 07 — PRESERVED VERBATIM</w:t>
      </w:r>
    </w:p>
    <w:p>
      <w:pPr>
        <w:pBdr>
          <w:left w:val="single" w:color="B8C2CC" w:sz="12" w:space="8"/>
        </w:pBdr>
        <w:shd w:fill="F2F4F6" w:color="auto" w:val="clear"/>
        <w:spacing w:after="60" w:before="40"/>
        <w:ind w:left="200" w:right="120"/>
      </w:pPr>
      <w:r>
        <w:rPr>
          <w:sz w:val="19"/>
          <w:szCs w:val="19"/>
        </w:rPr>
        <w:t xml:space="preserve">Mostly held. Observed 2000–2019 declines track emission cuts, as its mitigation path implied, but summer ozone peaks fell less than modelled (2024).</w:t>
      </w:r>
    </w:p>
    <w:p>
      <w:pPr>
        <w:pBdr>
          <w:left w:val="single" w:color="B8C2CC" w:sz="12" w:space="8"/>
        </w:pBdr>
        <w:shd w:fill="F2F4F6" w:color="auto" w:val="clear"/>
        <w:spacing w:after="140" w:before="0"/>
        <w:ind w:left="200" w:right="120"/>
      </w:pPr>
      <w:r>
        <w:rPr>
          <w:sz w:val="19"/>
          <w:szCs w:val="19"/>
        </w:rPr>
        <w:t xml:space="preserve">Later source: Trends in Air Pollution in Europe, 2000–2019 (2024), </w:t>
      </w:r>
      <w:hyperlink w:history="1" r:id="rIdibmvf21abbfbs3onrjmgl">
        <w:r>
          <w:rPr>
            <w:rStyle w:val="Hyperlink"/>
            <w:sz w:val="19"/>
            <w:szCs w:val="19"/>
          </w:rPr>
          <w:t xml:space="preserve">https://doi.org/10.4209/aaqr.230237</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“Mostly held” is not appropriate for a two-pathway scenario set whose 2050 horizon has not arrived. Large NOx cuts occur in both of the paper’s scenarios, so observations to 2019 cannot show that the mitigation pathway was followed. The statement that summer peaks fell less than modelled accurately reports Aas et al. (2024), but the comparison there is with an EMEP hindcast, not with this paper’s projections. The cited source exists and is suitable as intermediate evidence.</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remove the verdict, clarify that “modelled” refers to a hindcast, and note the discussion-paper versus final-abstract difference in the catalogue; </w:t>
      </w:r>
      <w:r>
        <w:rPr>
          <w:b/>
          <w:bCs/>
        </w:rPr>
        <w:t xml:space="preserve">strengthen with new evidence</w:t>
      </w:r>
      <w:r>
        <w:t xml:space="preserve"> on exposure trends and background ozone.</w:t>
      </w:r>
    </w:p>
    <w:p>
      <w:pPr>
        <w:pBdr>
          <w:bottom w:val="single" w:color="B8C2CC" w:sz="6" w:space="1"/>
        </w:pBdr>
        <w:spacing w:after="120"/>
      </w:pPr>
    </w:p>
    <w:p>
      <w:pPr>
        <w:pStyle w:val="Heading2"/>
      </w:pPr>
      <w:r>
        <w:t xml:space="preserve">Account 08 — Projected ozone exposure in Europe by 2030 (2012)</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24 (“Future ozone exposure (2012)”).</w:t>
      </w:r>
    </w:p>
    <w:p>
      <w:pPr>
        <w:spacing w:after="100"/>
      </w:pPr>
      <w:r>
        <w:rPr>
          <w:rFonts w:ascii="Calibri" w:cs="Calibri" w:eastAsia="Calibri" w:hAnsi="Calibri"/>
          <w:b/>
          <w:bCs/>
          <w:color w:val="1F3A5F"/>
          <w:sz w:val="20"/>
          <w:szCs w:val="20"/>
        </w:rPr>
        <w:t xml:space="preserve">Original study. </w:t>
      </w:r>
      <w:r>
        <w:t xml:space="preserve">Colette, Augustin, Granier, Claire, Hodnebrog, Øivind, Jakobs, Hermann, Maurizi, Alberto, Nyiri, Agnes, Rao, Shilpa, Amann, Markus et al. (23 authors) (2012). Future air quality in Europe: a multi-model assessment of projected exposure to ozone. </w:t>
      </w:r>
      <w:r>
        <w:rPr>
          <w:i/>
          <w:iCs/>
        </w:rPr>
        <w:t xml:space="preserve">Atmospheric Chemistry and Physics</w:t>
      </w:r>
      <w:r>
        <w:t xml:space="preserve"> 12, 10613–10630. </w:t>
      </w:r>
      <w:hyperlink w:history="1" r:id="rIdyd6dlnnybglcq29rv-mlt">
        <w:r>
          <w:rPr>
            <w:rStyle w:val="Hyperlink"/>
          </w:rPr>
          <w:t xml:space="preserve">https://doi.org/10.5194/acp-12-10613-2012</w:t>
        </w:r>
      </w:hyperlink>
      <w:r>
        <w:t xml:space="preserve"> (open access; full text read).</w:t>
      </w:r>
    </w:p>
    <w:p>
      <w:pPr>
        <w:spacing w:after="100"/>
      </w:pPr>
      <w:r>
        <w:rPr>
          <w:rFonts w:ascii="Calibri" w:cs="Calibri" w:eastAsia="Calibri" w:hAnsi="Calibri"/>
          <w:b/>
          <w:bCs/>
          <w:color w:val="1F3A5F"/>
          <w:sz w:val="20"/>
          <w:szCs w:val="20"/>
        </w:rPr>
        <w:t xml:space="preserve">Original future claim. </w:t>
      </w:r>
      <w:r>
        <w:t xml:space="preserve">Key phrase (abstract): air pollution mitigation measures “are the main factors leading to the improvement”. Paraphrase: under two Global Energy Assessment scenarios, NOx emissions fall to 30–50% of current levels by 2030; ozone exposure (SOMO35) falls to 45–70% of current levels and the share of stations with more than 25 days above 120 µg/m³ drops from 43% to 2–8%, while annual mean ozone rises slightly in NOx-saturated areas; climate policy adds a co-benefit of at least 40% depending on the indicator. Catalogue excerpt: HISTORICAL-CLAIMS record 468.</w:t>
      </w:r>
    </w:p>
    <w:p>
      <w:pPr>
        <w:spacing w:after="100"/>
      </w:pPr>
      <w:r>
        <w:rPr>
          <w:rFonts w:ascii="Calibri" w:cs="Calibri" w:eastAsia="Calibri" w:hAnsi="Calibri"/>
          <w:b/>
          <w:bCs/>
          <w:color w:val="1F3A5F"/>
          <w:sz w:val="20"/>
          <w:szCs w:val="20"/>
        </w:rPr>
        <w:t xml:space="preserve">What was envisioned. </w:t>
      </w:r>
      <w:r>
        <w:t xml:space="preserve">A substantial improvement in Europe’s ozone exposure by 2030, driven mainly by air-pollution legislation and amplified by climate policy, computed with six chemistry-transport models under present-day weather and unchanged background ozone.</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2030 horizon has not been reached; the evidence verified here runs to 2019–2021. Precursor emissions moved in the assumed direction, with European NOx emissions about 48% lower in 2019 than in 2000. Ozone improved more slowly than the projections implied: at EMEP sites the highest values fell 0.3–0.6% a year and the exposure indicators SOMO35 and AOT40 by 1–2% a year, often without statistical significance, and a model run with reported emissions simulated stronger declines than were observed, especially in southern Europe. The divergence the paper anticipated between falling peaks and rising mean ozone near NOx sources did appear in urban monitoring.</w:t>
      </w:r>
    </w:p>
    <w:p>
      <w:r>
        <w:t xml:space="preserve">The study held background ozone constant and acknowledged that this hid part of the benefits. Later source-apportionment work associates more than half of the ozone-attributable deaths of the 2015–2017 warm seasons with ozone entering the European modelling domain from outside, mainly hemispheric background. Under that study’s assumptions, European measures act on a minority of the ozone mortality burden, which shifts the policy question from regional precursors towards hemispheric and methane-related controls.</w:t>
      </w:r>
    </w:p>
    <w:p>
      <w:pPr>
        <w:spacing w:after="100"/>
      </w:pPr>
      <w:r>
        <w:rPr>
          <w:rFonts w:ascii="Calibri" w:cs="Calibri" w:eastAsia="Calibri" w:hAnsi="Calibri"/>
          <w:b/>
          <w:bCs/>
          <w:color w:val="1F3A5F"/>
          <w:sz w:val="20"/>
          <w:szCs w:val="20"/>
        </w:rPr>
        <w:t xml:space="preserve">Interpretation. </w:t>
      </w:r>
      <w:r>
        <w:t xml:space="preserve">Open, with intermediate signals pointing two ways. Precursor cuts proceeded broadly as projected and the predicted pattern of declining peaks with rising means has materialised, but exposure indicators have improved more slowly than modelled and the question has been reframed towards hemispheric background ozone, which the study held fixed. No later study evaluated the climate-policy co-benefit itself.</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Aas, W. et al. (2024). Trends in Air Pollution in Europe, 2000–2019. </w:t>
      </w:r>
      <w:r>
        <w:rPr>
          <w:i/>
          <w:iCs/>
          <w:sz w:val="19"/>
          <w:szCs w:val="19"/>
        </w:rPr>
        <w:t xml:space="preserve">Aerosol and Air Quality Research</w:t>
      </w:r>
      <w:r>
        <w:rPr>
          <w:sz w:val="19"/>
          <w:szCs w:val="19"/>
        </w:rPr>
        <w:t xml:space="preserve"> 24, 230237. </w:t>
      </w:r>
      <w:hyperlink w:history="1" r:id="rIdu02rfscuyt1v5z8ef3vqb">
        <w:r>
          <w:rPr>
            <w:rStyle w:val="Hyperlink"/>
            <w:sz w:val="19"/>
            <w:szCs w:val="19"/>
          </w:rPr>
          <w:t xml:space="preserve">https://doi.org/10.4209/aaqr.230237</w:t>
        </w:r>
      </w:hyperlink>
      <w:r>
        <w:rPr>
          <w:sz w:val="19"/>
          <w:szCs w:val="19"/>
        </w:rPr>
        <w:t xml:space="preserve"> — European NOx emissions fell 48% (2000–2019); the highest ozone values at EMEP sites fell only 0.3–0.6% a year while low percentiles rose; the EMEP model run with reported emissions simulated stronger declines than observed, especially south of 49°N. Full text read; direct evidence on intermediate trends (the model comparison is a hindcast).</w:t>
      </w:r>
    </w:p>
    <w:p>
      <w:pPr>
        <w:spacing w:after="80"/>
        <w:ind w:left="360" w:hanging="360"/>
      </w:pPr>
      <w:r>
        <w:rPr>
          <w:sz w:val="19"/>
          <w:szCs w:val="19"/>
        </w:rPr>
        <w:t xml:space="preserve">Nelson, B. S. &amp; Drysdale, W. S. (2025). Urban ozone trends in Europe and the USA (2000–2021). </w:t>
      </w:r>
      <w:r>
        <w:rPr>
          <w:i/>
          <w:iCs/>
          <w:sz w:val="19"/>
          <w:szCs w:val="19"/>
        </w:rPr>
        <w:t xml:space="preserve">Atmospheric Chemistry and Physics</w:t>
      </w:r>
      <w:r>
        <w:rPr>
          <w:sz w:val="19"/>
          <w:szCs w:val="19"/>
        </w:rPr>
        <w:t xml:space="preserve"> 25. </w:t>
      </w:r>
      <w:hyperlink w:history="1" r:id="rIdhblkuwthjkuzgknlhnq6z">
        <w:r>
          <w:rPr>
            <w:rStyle w:val="Hyperlink"/>
            <w:sz w:val="19"/>
            <w:szCs w:val="19"/>
          </w:rPr>
          <w:t xml:space="preserve">https://doi.org/10.5194/acp-25-16009-2025</w:t>
        </w:r>
      </w:hyperlink>
      <w:r>
        <w:rPr>
          <w:sz w:val="19"/>
          <w:szCs w:val="19"/>
        </w:rPr>
        <w:t xml:space="preserve"> — European urban series show mostly decreasing high-percentile trends but increasing median and low-percentile trends. Abstract only; direct evidence.</w:t>
      </w:r>
    </w:p>
    <w:p>
      <w:pPr>
        <w:spacing w:after="80"/>
        <w:ind w:left="360" w:hanging="360"/>
      </w:pPr>
      <w:r>
        <w:rPr>
          <w:sz w:val="19"/>
          <w:szCs w:val="19"/>
        </w:rPr>
        <w:t xml:space="preserve">Achebak, H. et al. (2024). Geographic sources of ozone air pollution and mortality burden in Europe. </w:t>
      </w:r>
      <w:r>
        <w:rPr>
          <w:i/>
          <w:iCs/>
          <w:sz w:val="19"/>
          <w:szCs w:val="19"/>
        </w:rPr>
        <w:t xml:space="preserve">Nature Medicine</w:t>
      </w:r>
      <w:r>
        <w:rPr>
          <w:sz w:val="19"/>
          <w:szCs w:val="19"/>
        </w:rPr>
        <w:t xml:space="preserve"> 30, 1732–1738. </w:t>
      </w:r>
      <w:hyperlink w:history="1" r:id="rIdv7wyfhw977qdtawat1iae">
        <w:r>
          <w:rPr>
            <w:rStyle w:val="Hyperlink"/>
            <w:sz w:val="19"/>
            <w:szCs w:val="19"/>
          </w:rPr>
          <w:t xml:space="preserve">https://doi.org/10.1038/s41591-024-02976-x</w:t>
        </w:r>
      </w:hyperlink>
      <w:r>
        <w:rPr>
          <w:sz w:val="19"/>
          <w:szCs w:val="19"/>
        </w:rPr>
        <w:t xml:space="preserve"> — 56.7% of ozone-attributable deaths in 35 countries in the 2015–2017 warm seasons associated with ozone entering the modelling domain from outside, mostly hemispheric background. Full text read; explanatory and reframing evidence.</w:t>
      </w:r>
    </w:p>
    <w:p>
      <w:pPr>
        <w:spacing w:after="80"/>
        <w:ind w:left="360" w:hanging="360"/>
      </w:pPr>
      <w:r>
        <w:rPr>
          <w:sz w:val="19"/>
          <w:szCs w:val="19"/>
        </w:rPr>
        <w:t xml:space="preserve">Chen, Z.-Y. et al. (2024). Population exposure to multiple air pollutants and its compound episodes in Europe. </w:t>
      </w:r>
      <w:r>
        <w:rPr>
          <w:i/>
          <w:iCs/>
          <w:sz w:val="19"/>
          <w:szCs w:val="19"/>
        </w:rPr>
        <w:t xml:space="preserve">Nature Communications</w:t>
      </w:r>
      <w:r>
        <w:rPr>
          <w:sz w:val="19"/>
          <w:szCs w:val="19"/>
        </w:rPr>
        <w:t xml:space="preserve"> 15, 2094. </w:t>
      </w:r>
      <w:hyperlink w:history="1" r:id="rIdtzv26zn3kyls9dhbwpf6t">
        <w:r>
          <w:rPr>
            <w:rStyle w:val="Hyperlink"/>
            <w:sz w:val="19"/>
            <w:szCs w:val="19"/>
          </w:rPr>
          <w:t xml:space="preserve">https://doi.org/10.1038/s41467-024-46103-3</w:t>
        </w:r>
      </w:hyperlink>
      <w:r>
        <w:rPr>
          <w:sz w:val="19"/>
          <w:szCs w:val="19"/>
        </w:rPr>
        <w:t xml:space="preserve"> — population-weighted daily maximum 8-hour ozone rose about 0.5% a year in 2003–2019 (excluding the 2003 heatwave), faster in southern Europe. Full text read; direct evidence on exposure.</w:t>
      </w:r>
    </w:p>
    <w:p>
      <w:pPr>
        <w:spacing w:after="100"/>
      </w:pPr>
      <w:r>
        <w:rPr>
          <w:rFonts w:ascii="Calibri" w:cs="Calibri" w:eastAsia="Calibri" w:hAnsi="Calibri"/>
          <w:b/>
          <w:bCs/>
          <w:color w:val="1F3A5F"/>
          <w:sz w:val="20"/>
          <w:szCs w:val="20"/>
        </w:rPr>
        <w:t xml:space="preserve">Evidence limitations. </w:t>
      </w:r>
      <w:r>
        <w:t xml:space="preserve">Monitoring data for 2020–2025, including EEA status reports and the 2022–2023 heat summers, were not verified. The model comparison in Aas et al. concerns a hindcast, not this ensemble. The SOMO35 figures in the original differ slightly between tables and abstract.</w:t>
      </w:r>
    </w:p>
    <w:p>
      <w:pPr>
        <w:spacing w:after="100"/>
      </w:pPr>
      <w:r>
        <w:rPr>
          <w:rFonts w:ascii="Calibri" w:cs="Calibri" w:eastAsia="Calibri" w:hAnsi="Calibri"/>
          <w:b/>
          <w:bCs/>
          <w:color w:val="1F3A5F"/>
          <w:sz w:val="20"/>
          <w:szCs w:val="20"/>
        </w:rPr>
        <w:t xml:space="preserve">Review status. </w:t>
      </w:r>
      <w:r>
        <w:t xml:space="preserve">Provisional interpretation. The original and the key later evidence were read in full; horizon not reached.</w:t>
      </w:r>
    </w:p>
    <w:p>
      <w:pPr>
        <w:keepNext/>
        <w:spacing w:after="60" w:before="160"/>
      </w:pPr>
      <w:r>
        <w:rPr>
          <w:rFonts w:ascii="Calibri" w:cs="Calibri" w:eastAsia="Calibri" w:hAnsi="Calibri"/>
          <w:b/>
          <w:bCs/>
          <w:color w:val="1F3A5F"/>
          <w:spacing w:val="20"/>
          <w:sz w:val="17"/>
          <w:szCs w:val="17"/>
        </w:rPr>
        <w:t xml:space="preserve">EARLIER ACCOUNT 24 — PRESERVED VERBATIM</w:t>
      </w:r>
    </w:p>
    <w:p>
      <w:pPr>
        <w:pBdr>
          <w:left w:val="single" w:color="B8C2CC" w:sz="12" w:space="8"/>
        </w:pBdr>
        <w:shd w:fill="F2F4F6" w:color="auto" w:val="clear"/>
        <w:spacing w:after="60" w:before="40"/>
        <w:ind w:left="200" w:right="120"/>
      </w:pPr>
      <w:r>
        <w:rPr>
          <w:sz w:val="19"/>
          <w:szCs w:val="19"/>
        </w:rPr>
        <w:t xml:space="preserve">Partly. Emission cuts drove the improvement as claimed, but ozone peaks fell less than modelled (2024). Over half of ozone deaths now come from ozone formed outside Europe (2024).</w:t>
      </w:r>
    </w:p>
    <w:p>
      <w:pPr>
        <w:pBdr>
          <w:left w:val="single" w:color="B8C2CC" w:sz="12" w:space="8"/>
        </w:pBdr>
        <w:shd w:fill="F2F4F6" w:color="auto" w:val="clear"/>
        <w:spacing w:after="140" w:before="0"/>
        <w:ind w:left="200" w:right="120"/>
      </w:pPr>
      <w:r>
        <w:rPr>
          <w:sz w:val="19"/>
          <w:szCs w:val="19"/>
        </w:rPr>
        <w:t xml:space="preserve">Later sources: Trends in Air Pollution in Europe, 2000–2019 (2024), </w:t>
      </w:r>
      <w:hyperlink w:history="1" r:id="rIdiuyjzownh3rh8szna7p8x">
        <w:r>
          <w:rPr>
            <w:rStyle w:val="Hyperlink"/>
            <w:sz w:val="19"/>
            <w:szCs w:val="19"/>
          </w:rPr>
          <w:t xml:space="preserve">https://doi.org/10.4209/aaqr.230237</w:t>
        </w:r>
      </w:hyperlink>
      <w:r>
        <w:rPr>
          <w:sz w:val="19"/>
          <w:szCs w:val="19"/>
        </w:rPr>
        <w:t xml:space="preserve">;</w:t>
      </w:r>
      <w:r>
        <w:rPr>
          <w:sz w:val="19"/>
          <w:szCs w:val="19"/>
        </w:rPr>
        <w:t xml:space="preserve"> Geographic sources of ozone air pollution and mortality burden in Europe (2024), </w:t>
      </w:r>
      <w:hyperlink w:history="1" r:id="rIdsv7ujncs_4ik4t7uqbuey">
        <w:r>
          <w:rPr>
            <w:rStyle w:val="Hyperlink"/>
            <w:sz w:val="19"/>
            <w:szCs w:val="19"/>
          </w:rPr>
          <w:t xml:space="preserve">https://doi.org/10.1038/s41591-024-02976-x</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verdict is premature because the 2030 horizon has not arrived. Emission cuts did drive the decline in peaks, but an improvement in exposure is not clearly established, since exposure indicators barely moved and population-weighted ozone rose. “Less than modelled” refers to a hindcast. The statement on ozone deaths overstates Achebak et al. (2024): the figure (56.7%) concerns the 2015–2017 warm seasons, a modelling domain wider than Europe, and inflow that includes natural and stratospheric background as well as foreign anthropogenic ozone. Both cited sources exist and are appropriate as intermediate or explanatory evidence.</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the verdict, the “modelled” reference and the wording on ozone formed outside Europe; </w:t>
      </w:r>
      <w:r>
        <w:rPr>
          <w:b/>
          <w:bCs/>
        </w:rPr>
        <w:t xml:space="preserve">strengthen with new evidence</w:t>
      </w:r>
      <w:r>
        <w:t xml:space="preserve"> on exposure trends.</w:t>
      </w:r>
    </w:p>
    <w:p>
      <w:pPr>
        <w:pBdr>
          <w:bottom w:val="single" w:color="B8C2CC" w:sz="6" w:space="1"/>
        </w:pBdr>
        <w:spacing w:after="120"/>
      </w:pPr>
    </w:p>
    <w:p>
      <w:pPr>
        <w:pStyle w:val="Heading2"/>
      </w:pPr>
      <w:r>
        <w:t xml:space="preserve">Account 09 — Climate change and ozone-related mortality in Europe (2012)</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25 (“Climate change and ozone mortality (2012)”).</w:t>
      </w:r>
    </w:p>
    <w:p>
      <w:pPr>
        <w:spacing w:after="100"/>
      </w:pPr>
      <w:r>
        <w:rPr>
          <w:rFonts w:ascii="Calibri" w:cs="Calibri" w:eastAsia="Calibri" w:hAnsi="Calibri"/>
          <w:b/>
          <w:bCs/>
          <w:color w:val="1F3A5F"/>
          <w:sz w:val="20"/>
          <w:szCs w:val="20"/>
        </w:rPr>
        <w:t xml:space="preserve">Original study. </w:t>
      </w:r>
      <w:r>
        <w:t xml:space="preserve">Orru, Hans, Andersson, Camilla, Ebi, Kristie L., Langner, Joakim, Åström, Christofer &amp; Forsberg, Bertil (2013; online 27 June 2012). Impact of climate change on ozone-related mortality and morbidity in Europe. </w:t>
      </w:r>
      <w:r>
        <w:rPr>
          <w:i/>
          <w:iCs/>
        </w:rPr>
        <w:t xml:space="preserve">European Respiratory Journal</w:t>
      </w:r>
      <w:r>
        <w:t xml:space="preserve"> 41(2), 285–294. </w:t>
      </w:r>
      <w:hyperlink w:history="1" r:id="rIdttyfhg8ncwuyp7-tova_8">
        <w:r>
          <w:rPr>
            <w:rStyle w:val="Hyperlink"/>
          </w:rPr>
          <w:t xml:space="preserve">https://doi.org/10.1183/09031936.00210411</w:t>
        </w:r>
      </w:hyperlink>
      <w:r>
        <w:t xml:space="preserve"> (full text could not be opened; abstract used, with design details confirmed through the authors’ 2017 review).</w:t>
      </w:r>
    </w:p>
    <w:p>
      <w:pPr>
        <w:spacing w:after="100"/>
      </w:pPr>
      <w:r>
        <w:rPr>
          <w:rFonts w:ascii="Calibri" w:cs="Calibri" w:eastAsia="Calibri" w:hAnsi="Calibri"/>
          <w:b/>
          <w:bCs/>
          <w:color w:val="1F3A5F"/>
          <w:sz w:val="20"/>
          <w:szCs w:val="20"/>
        </w:rPr>
        <w:t xml:space="preserve">Original future claim. </w:t>
      </w:r>
      <w:r>
        <w:t xml:space="preserve">Key phrase (abstract): all else being equal, ground-level ozone is “expected to increase due to climate change”. Paraphrase: compared with 1961–1990, much larger increases in ozone-related mortality and morbidity are projected for 2021–2050 and 2041–2060 in Belgium, France, Spain and Portugal, stronger under the ECHAM4 (A2) climate projection, with decreases of similar size in Nordic and Baltic countries; precursor emissions were held at present-day levels. The authors’ later review gives Europe-wide increases of about 14% (A2) and 9% (A1B) for 2021–2050. Catalogue excerpt: HISTORICAL-CLAIMS record 469.</w:t>
      </w:r>
    </w:p>
    <w:p>
      <w:pPr>
        <w:spacing w:after="100"/>
      </w:pPr>
      <w:r>
        <w:rPr>
          <w:rFonts w:ascii="Calibri" w:cs="Calibri" w:eastAsia="Calibri" w:hAnsi="Calibri"/>
          <w:b/>
          <w:bCs/>
          <w:color w:val="1F3A5F"/>
          <w:sz w:val="20"/>
          <w:szCs w:val="20"/>
        </w:rPr>
        <w:t xml:space="preserve">What was envisioned. </w:t>
      </w:r>
      <w:r>
        <w:t xml:space="preserve">A climate-only warning: with everything else held equal, warming would raise ozone-related deaths and hospital admissions across western and southern Europe while lowering them in the north. It was a conditional sensitivity projection, not a forecast of actual mortality.</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Because the projection held emissions constant, observed trends cannot test it directly: actual ozone reflects falling precursor emissions, hemispheric background ozone and weather together. Observations show summer peaks declining slowly to 2019, while population-weighted daily maximum ozone rose by about 0.5% a year between 2003 and 2019, faster in southern Europe; the authors of that analysis link the rise to temperature and sunlight as well as reduced NOx titration, without formal attribution. No observational study isolating a climate-driven rise in European ozone mortality was verified in this review.</w:t>
      </w:r>
    </w:p>
    <w:p>
      <w:r>
        <w:t xml:space="preserve">Later projections reframed the question. Studies that added projected emission cuts and population ageing found the climate penalty persisting, most strongly in southern and central Europe — about 8–11% for acute deaths by the 2050s in a 2015 study, and up to 11% in some countries by 2050 in a 2019 study by the same team — but precursor reductions were expected to outweigh it, giving EU-average decreases of roughly a quarter to a third. A 2025 conference abstract repeats a figure of about 15% more ozone deaths in southern Europe by mid-century, but it cites no source and reports no new results.</w:t>
      </w:r>
    </w:p>
    <w:p>
      <w:pPr>
        <w:spacing w:after="100"/>
      </w:pPr>
      <w:r>
        <w:rPr>
          <w:rFonts w:ascii="Calibri" w:cs="Calibri" w:eastAsia="Calibri" w:hAnsi="Calibri"/>
          <w:b/>
          <w:bCs/>
          <w:color w:val="1F3A5F"/>
          <w:sz w:val="20"/>
          <w:szCs w:val="20"/>
        </w:rPr>
        <w:t xml:space="preserve">Interpretation. </w:t>
      </w:r>
      <w:r>
        <w:t xml:space="preserve">Open: the horizon has not been reached and the climate-only design cannot be observed directly. Later work by the same team kept the direction and geography of the climate penalty but moved the question from climate alone to the combined effects of climate, emissions and demography, in which emission cuts dominate the European average by mid-century.</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Aas, W. et al. (2024). Trends in Air Pollution in Europe, 2000–2019. </w:t>
      </w:r>
      <w:r>
        <w:rPr>
          <w:i/>
          <w:iCs/>
          <w:sz w:val="19"/>
          <w:szCs w:val="19"/>
        </w:rPr>
        <w:t xml:space="preserve">Aerosol and Air Quality Research</w:t>
      </w:r>
      <w:r>
        <w:rPr>
          <w:sz w:val="19"/>
          <w:szCs w:val="19"/>
        </w:rPr>
        <w:t xml:space="preserve"> 24, 230237. </w:t>
      </w:r>
      <w:hyperlink w:history="1" r:id="rIdeyo1pe9sppkdavafau8ts">
        <w:r>
          <w:rPr>
            <w:rStyle w:val="Hyperlink"/>
            <w:sz w:val="19"/>
            <w:szCs w:val="19"/>
          </w:rPr>
          <w:t xml:space="preserve">https://doi.org/10.4209/aaqr.230237</w:t>
        </w:r>
      </w:hyperlink>
      <w:r>
        <w:rPr>
          <w:sz w:val="19"/>
          <w:szCs w:val="19"/>
        </w:rPr>
        <w:t xml:space="preserve"> — European NOx emissions fell 48% (2000–2019); the highest ozone values at EMEP sites fell only 0.3–0.6% a year while low percentiles rose; the EMEP model run with reported emissions simulated stronger declines than observed, especially south of 49°N. Full text read; direct evidence on intermediate trends (the model comparison is a hindcast).</w:t>
      </w:r>
    </w:p>
    <w:p>
      <w:pPr>
        <w:spacing w:after="80"/>
        <w:ind w:left="360" w:hanging="360"/>
      </w:pPr>
      <w:r>
        <w:rPr>
          <w:sz w:val="19"/>
          <w:szCs w:val="19"/>
        </w:rPr>
        <w:t xml:space="preserve">Chen, Z.-Y. et al. (2024). Population exposure to multiple air pollutants and its compound episodes in Europe. </w:t>
      </w:r>
      <w:r>
        <w:rPr>
          <w:i/>
          <w:iCs/>
          <w:sz w:val="19"/>
          <w:szCs w:val="19"/>
        </w:rPr>
        <w:t xml:space="preserve">Nature Communications</w:t>
      </w:r>
      <w:r>
        <w:rPr>
          <w:sz w:val="19"/>
          <w:szCs w:val="19"/>
        </w:rPr>
        <w:t xml:space="preserve"> 15, 2094. </w:t>
      </w:r>
      <w:hyperlink w:history="1" r:id="rIds39fuhju8zrbwvclcmyno">
        <w:r>
          <w:rPr>
            <w:rStyle w:val="Hyperlink"/>
            <w:sz w:val="19"/>
            <w:szCs w:val="19"/>
          </w:rPr>
          <w:t xml:space="preserve">https://doi.org/10.1038/s41467-024-46103-3</w:t>
        </w:r>
      </w:hyperlink>
      <w:r>
        <w:rPr>
          <w:sz w:val="19"/>
          <w:szCs w:val="19"/>
        </w:rPr>
        <w:t xml:space="preserve"> — population-weighted daily maximum 8-hour ozone rose about 0.5% a year in 2003–2019 (excluding the 2003 heatwave), faster in southern Europe. Full text read; direct evidence on exposure.</w:t>
      </w:r>
    </w:p>
    <w:p>
      <w:pPr>
        <w:spacing w:after="80"/>
        <w:ind w:left="360" w:hanging="360"/>
      </w:pPr>
      <w:r>
        <w:rPr>
          <w:sz w:val="19"/>
          <w:szCs w:val="19"/>
        </w:rPr>
        <w:t xml:space="preserve">Orru, H., Åström, C., Andersson, C., Tamm, T., Ebi, K. L. &amp; Forsberg, B. (2019). Ozone and heat-related mortality in Europe in 2050 significantly affected by changes in climate, population and greenhouse gas emission. </w:t>
      </w:r>
      <w:r>
        <w:rPr>
          <w:i/>
          <w:iCs/>
          <w:sz w:val="19"/>
          <w:szCs w:val="19"/>
        </w:rPr>
        <w:t xml:space="preserve">Environmental Research Letters</w:t>
      </w:r>
      <w:r>
        <w:rPr>
          <w:sz w:val="19"/>
          <w:szCs w:val="19"/>
        </w:rPr>
        <w:t xml:space="preserve"> 14, 074013. </w:t>
      </w:r>
      <w:hyperlink w:history="1" r:id="rIdfs-tn4mliw_ktheu2qj64">
        <w:r>
          <w:rPr>
            <w:rStyle w:val="Hyperlink"/>
            <w:sz w:val="19"/>
            <w:szCs w:val="19"/>
          </w:rPr>
          <w:t xml:space="preserve">https://doi.org/10.1088/1748-9326/ab1cd9</w:t>
        </w:r>
      </w:hyperlink>
      <w:r>
        <w:rPr>
          <w:sz w:val="19"/>
          <w:szCs w:val="19"/>
        </w:rPr>
        <w:t xml:space="preserve"> — climate penalty up to about 11% in some countries by 2050, outweighed by emission cuts. Abstract only; later foresight.</w:t>
      </w:r>
    </w:p>
    <w:p>
      <w:pPr>
        <w:spacing w:after="80"/>
        <w:ind w:left="360" w:hanging="360"/>
      </w:pPr>
      <w:r>
        <w:rPr>
          <w:sz w:val="19"/>
          <w:szCs w:val="19"/>
        </w:rPr>
        <w:t xml:space="preserve">Geels, C. et al. (2015). Future premature mortality due to O3, secondary inorganic aerosols and primary PM in Europe. </w:t>
      </w:r>
      <w:r>
        <w:rPr>
          <w:i/>
          <w:iCs/>
          <w:sz w:val="19"/>
          <w:szCs w:val="19"/>
        </w:rPr>
        <w:t xml:space="preserve">International Journal of Environmental Research and Public Health</w:t>
      </w:r>
      <w:r>
        <w:rPr>
          <w:sz w:val="19"/>
          <w:szCs w:val="19"/>
        </w:rPr>
        <w:t xml:space="preserve"> 12, 2837–2869. </w:t>
      </w:r>
      <w:hyperlink w:history="1" r:id="rIde5k2b8rprekswlmmoncxp">
        <w:r>
          <w:rPr>
            <w:rStyle w:val="Hyperlink"/>
            <w:sz w:val="19"/>
            <w:szCs w:val="19"/>
          </w:rPr>
          <w:t xml:space="preserve">https://doi.org/10.3390/ijerph120302837</w:t>
        </w:r>
      </w:hyperlink>
      <w:r>
        <w:rPr>
          <w:sz w:val="19"/>
          <w:szCs w:val="19"/>
        </w:rPr>
        <w:t xml:space="preserve"> — climate-only increases of 8–11% in acute deaths by the 2050s, outweighed by projected emission reductions. Full text read; later foresight.</w:t>
      </w:r>
    </w:p>
    <w:p>
      <w:pPr>
        <w:spacing w:after="80"/>
        <w:ind w:left="360" w:hanging="360"/>
      </w:pPr>
      <w:r>
        <w:rPr>
          <w:sz w:val="19"/>
          <w:szCs w:val="19"/>
        </w:rPr>
        <w:t xml:space="preserve">Orru, H., Ebi, K. L. &amp; Forsberg, B. (2017). The interplay of climate change and air pollution on health. </w:t>
      </w:r>
      <w:r>
        <w:rPr>
          <w:i/>
          <w:iCs/>
          <w:sz w:val="19"/>
          <w:szCs w:val="19"/>
        </w:rPr>
        <w:t xml:space="preserve">Current Environmental Health Reports</w:t>
      </w:r>
      <w:r>
        <w:rPr>
          <w:sz w:val="19"/>
          <w:szCs w:val="19"/>
        </w:rPr>
        <w:t xml:space="preserve"> 4, 504–513. </w:t>
      </w:r>
      <w:hyperlink w:history="1" r:id="rIdxdnnmtepecrsj0gs-vbia">
        <w:r>
          <w:rPr>
            <w:rStyle w:val="Hyperlink"/>
            <w:sz w:val="19"/>
            <w:szCs w:val="19"/>
          </w:rPr>
          <w:t xml:space="preserve">https://doi.org/10.1007/s40572-017-0168-6</w:t>
        </w:r>
      </w:hyperlink>
      <w:r>
        <w:rPr>
          <w:sz w:val="19"/>
          <w:szCs w:val="19"/>
        </w:rPr>
        <w:t xml:space="preserve"> — confirms the constant-emissions design of the 2013 study and its Europe-wide figures. Full text read; explanatory evidence by the original authors.</w:t>
      </w:r>
    </w:p>
    <w:p>
      <w:pPr>
        <w:spacing w:after="80"/>
        <w:ind w:left="360" w:hanging="360"/>
      </w:pPr>
      <w:r>
        <w:rPr>
          <w:sz w:val="19"/>
          <w:szCs w:val="19"/>
        </w:rPr>
        <w:t xml:space="preserve">Achebak, H. et al. (2024). Geographic sources of ozone air pollution and mortality burden in Europe. </w:t>
      </w:r>
      <w:r>
        <w:rPr>
          <w:i/>
          <w:iCs/>
          <w:sz w:val="19"/>
          <w:szCs w:val="19"/>
        </w:rPr>
        <w:t xml:space="preserve">Nature Medicine</w:t>
      </w:r>
      <w:r>
        <w:rPr>
          <w:sz w:val="19"/>
          <w:szCs w:val="19"/>
        </w:rPr>
        <w:t xml:space="preserve"> 30, 1732–1738. </w:t>
      </w:r>
      <w:hyperlink w:history="1" r:id="rIdkfv2stqi6iuik6wa3hffq">
        <w:r>
          <w:rPr>
            <w:rStyle w:val="Hyperlink"/>
            <w:sz w:val="19"/>
            <w:szCs w:val="19"/>
          </w:rPr>
          <w:t xml:space="preserve">https://doi.org/10.1038/s41591-024-02976-x</w:t>
        </w:r>
      </w:hyperlink>
      <w:r>
        <w:rPr>
          <w:sz w:val="19"/>
          <w:szCs w:val="19"/>
        </w:rPr>
        <w:t xml:space="preserve"> — 56.7% of ozone-attributable deaths in 35 countries in the 2015–2017 warm seasons associated with ozone entering the modelling domain from outside, mostly hemispheric background. Full text read; explanatory and reframing evidence.</w:t>
      </w:r>
    </w:p>
    <w:p>
      <w:pPr>
        <w:spacing w:after="100"/>
      </w:pPr>
      <w:r>
        <w:rPr>
          <w:rFonts w:ascii="Calibri" w:cs="Calibri" w:eastAsia="Calibri" w:hAnsi="Calibri"/>
          <w:b/>
          <w:bCs/>
          <w:color w:val="1F3A5F"/>
          <w:sz w:val="20"/>
          <w:szCs w:val="20"/>
        </w:rPr>
        <w:t xml:space="preserve">Evidence limitations. </w:t>
      </w:r>
      <w:r>
        <w:t xml:space="preserve">The original full text was not accessed, so its assumptions are confirmed only through the authors’ 2017 review. No observational attribution of the climate penalty was verified. EEA burden-of-disease series for ozone were not checked, and estimates differ widely by method.</w:t>
      </w:r>
    </w:p>
    <w:p>
      <w:pPr>
        <w:spacing w:after="100"/>
      </w:pPr>
      <w:r>
        <w:rPr>
          <w:rFonts w:ascii="Calibri" w:cs="Calibri" w:eastAsia="Calibri" w:hAnsi="Calibri"/>
          <w:b/>
          <w:bCs/>
          <w:color w:val="1F3A5F"/>
          <w:sz w:val="20"/>
          <w:szCs w:val="20"/>
        </w:rPr>
        <w:t xml:space="preserve">Review status. </w:t>
      </w:r>
      <w:r>
        <w:t xml:space="preserve">Abstract-only assessment (original); later evidence read in full or in abstract as stated.</w:t>
      </w:r>
    </w:p>
    <w:p>
      <w:pPr>
        <w:keepNext/>
        <w:spacing w:after="60" w:before="160"/>
      </w:pPr>
      <w:r>
        <w:rPr>
          <w:rFonts w:ascii="Calibri" w:cs="Calibri" w:eastAsia="Calibri" w:hAnsi="Calibri"/>
          <w:b/>
          <w:bCs/>
          <w:color w:val="1F3A5F"/>
          <w:spacing w:val="20"/>
          <w:sz w:val="17"/>
          <w:szCs w:val="17"/>
        </w:rPr>
        <w:t xml:space="preserve">EARLIER ACCOUNT 25 — PRESERVED VERBATIM</w:t>
      </w:r>
    </w:p>
    <w:p>
      <w:pPr>
        <w:pBdr>
          <w:left w:val="single" w:color="B8C2CC" w:sz="12" w:space="8"/>
        </w:pBdr>
        <w:shd w:fill="F2F4F6" w:color="auto" w:val="clear"/>
        <w:spacing w:after="60" w:before="40"/>
        <w:ind w:left="200" w:right="120"/>
      </w:pPr>
      <w:r>
        <w:rPr>
          <w:sz w:val="19"/>
          <w:szCs w:val="19"/>
        </w:rPr>
        <w:t xml:space="preserve">Open. Through 2019, summer ozone peaks were still falling, just less than modelled (2024). A 2025 projection still expects about 15% more ozone deaths in southern Europe by mid-century.</w:t>
      </w:r>
    </w:p>
    <w:p>
      <w:pPr>
        <w:pBdr>
          <w:left w:val="single" w:color="B8C2CC" w:sz="12" w:space="8"/>
        </w:pBdr>
        <w:shd w:fill="F2F4F6" w:color="auto" w:val="clear"/>
        <w:spacing w:after="140" w:before="0"/>
        <w:ind w:left="200" w:right="120"/>
      </w:pPr>
      <w:r>
        <w:rPr>
          <w:sz w:val="19"/>
          <w:szCs w:val="19"/>
        </w:rPr>
        <w:t xml:space="preserve">Later sources: Trends in Air Pollution in Europe, 2000–2019 (2024), </w:t>
      </w:r>
      <w:hyperlink w:history="1" r:id="rIdyd8frdhwhtgcqn-e-b8fe">
        <w:r>
          <w:rPr>
            <w:rStyle w:val="Hyperlink"/>
            <w:sz w:val="19"/>
            <w:szCs w:val="19"/>
          </w:rPr>
          <w:t xml:space="preserve">https://doi.org/10.4209/aaqr.230237</w:t>
        </w:r>
      </w:hyperlink>
      <w:r>
        <w:rPr>
          <w:sz w:val="19"/>
          <w:szCs w:val="19"/>
        </w:rPr>
        <w:t xml:space="preserve">;</w:t>
      </w:r>
      <w:r>
        <w:rPr>
          <w:sz w:val="19"/>
          <w:szCs w:val="19"/>
        </w:rPr>
        <w:t xml:space="preserve"> Quantifying the Climate Penalty on Air Quality in Europe – Insights from INSPEnCaT Project (2025), </w:t>
      </w:r>
      <w:hyperlink w:history="1" r:id="rIdx_ymhny5lyuos9g5rcls5">
        <w:r>
          <w:rPr>
            <w:rStyle w:val="Hyperlink"/>
            <w:sz w:val="19"/>
            <w:szCs w:val="19"/>
          </w:rPr>
          <w:t xml:space="preserve">https://doi.org/10.5194/egusphere-egu25-17230</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“Open” is appropriate. The statement about falling peaks reports Aas et al. (2024) accurately, but “modelled” refers to a hindcast, and observed peaks mainly reflect emission cuts, so they do not bear on a climate-only projection. The “2025 projection” is misattributed: the EGU abstract states the 15% figure without citation and reports no results of its own; it may restate earlier literature, possibly this very study (not verified).</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replace the 15% sentence and remove the “modelled” implication; </w:t>
      </w:r>
      <w:r>
        <w:rPr>
          <w:b/>
          <w:bCs/>
        </w:rPr>
        <w:t xml:space="preserve">strengthen with new evidence</w:t>
      </w:r>
      <w:r>
        <w:t xml:space="preserve"> from later projections by the same team and from exposure trends.</w:t>
      </w:r>
    </w:p>
    <w:p>
      <w:r>
        <w:br w:type="page"/>
      </w:r>
    </w:p>
    <w:p>
      <w:pPr>
        <w:pStyle w:val="Heading1"/>
      </w:pPr>
      <w:r>
        <w:t xml:space="preserve">Climate, vectors and forests</w:t>
      </w:r>
    </w:p>
    <w:p>
      <w:r>
        <w:t xml:space="preserve">Two climate-impact studies from 2012–2013 concerned living systems: the climatic envelope of an invasive disease vector and the carbon balance of Europe’s forests. In both cases later evidence shows processes the models largely left out — human-mediated introduction of the mosquito, and natural disturbance in forests — shaping what happened.</w:t>
      </w:r>
    </w:p>
    <w:p>
      <w:pPr>
        <w:pStyle w:val="Heading2"/>
      </w:pPr>
      <w:r>
        <w:t xml:space="preserve">Account 10 — Climatic suitability of Europe for the Asian tiger mosquito (2012)</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31 (“Aedes albopictus suitability (2012)”).</w:t>
      </w:r>
    </w:p>
    <w:p>
      <w:pPr>
        <w:spacing w:after="100"/>
      </w:pPr>
      <w:r>
        <w:rPr>
          <w:rFonts w:ascii="Calibri" w:cs="Calibri" w:eastAsia="Calibri" w:hAnsi="Calibri"/>
          <w:b/>
          <w:bCs/>
          <w:color w:val="1F3A5F"/>
          <w:sz w:val="20"/>
          <w:szCs w:val="20"/>
        </w:rPr>
        <w:t xml:space="preserve">Original study. </w:t>
      </w:r>
      <w:r>
        <w:t xml:space="preserve">Caminade, Cyril, Medlock, Jolyon M., Ducheyne, Els, McIntyre, K. Marie, Leach, Steve, Baylis, Matthew &amp; Morse, Andrew P. (2012). Suitability of European climate for the Asian tiger mosquito </w:t>
      </w:r>
      <w:r>
        <w:rPr>
          <w:i/>
          <w:iCs/>
        </w:rPr>
        <w:t xml:space="preserve">Aedes albopictus</w:t>
      </w:r>
      <w:r>
        <w:t xml:space="preserve">: recent trends and future scenarios. </w:t>
      </w:r>
      <w:r>
        <w:rPr>
          <w:i/>
          <w:iCs/>
        </w:rPr>
        <w:t xml:space="preserve">Journal of the Royal Society Interface</w:t>
      </w:r>
      <w:r>
        <w:t xml:space="preserve"> 9(75), 2708–2717 (University of Liverpool; Health Protection Agency; Avia-GIS). </w:t>
      </w:r>
      <w:hyperlink w:history="1" r:id="rId8rg-xp0c-6e1w8su_cxkt">
        <w:r>
          <w:rPr>
            <w:rStyle w:val="Hyperlink"/>
          </w:rPr>
          <w:t xml:space="preserve">https://doi.org/10.1098/rsif.2012.0138</w:t>
        </w:r>
      </w:hyperlink>
      <w:r>
        <w:t xml:space="preserve"> (open access; full text read).</w:t>
      </w:r>
    </w:p>
    <w:p>
      <w:pPr>
        <w:spacing w:after="100"/>
      </w:pPr>
      <w:r>
        <w:rPr>
          <w:rFonts w:ascii="Calibri" w:cs="Calibri" w:eastAsia="Calibri" w:hAnsi="Calibri"/>
          <w:b/>
          <w:bCs/>
          <w:color w:val="1F3A5F"/>
          <w:sz w:val="20"/>
          <w:szCs w:val="20"/>
        </w:rPr>
        <w:t xml:space="preserve">Original future claim. </w:t>
      </w:r>
      <w:r>
        <w:t xml:space="preserve">Key phrase (abstract): “increased risk simulated over northern Europe and slightly decreased risk over southern Europe”. Paraphrase: using three climate-based suitability models and ten regional climate models under the SRES A1B scenario, the authors projected for 2030–2050 (against 1990–2009) rising climatic suitability over the southern UK, Benelux, western Germany and the Balkans, and a slight, partly significant decline concentrated in southern Spain, southern Portugal and Sardinia, because wetter, milder winters favour overwintering in the north while hotter, drier summers limit the species in the south. “Risk” here means climatic suitability for establishment, conditional on prior introduction, not presence or disease. Catalogue excerpt: HISTORICAL-CLAIMS record 475.</w:t>
      </w:r>
    </w:p>
    <w:p>
      <w:pPr>
        <w:spacing w:after="100"/>
      </w:pPr>
      <w:r>
        <w:rPr>
          <w:rFonts w:ascii="Calibri" w:cs="Calibri" w:eastAsia="Calibri" w:hAnsi="Calibri"/>
          <w:b/>
          <w:bCs/>
          <w:color w:val="1F3A5F"/>
          <w:sz w:val="20"/>
          <w:szCs w:val="20"/>
        </w:rPr>
        <w:t xml:space="preserve">What was envisioned. </w:t>
      </w:r>
      <w:r>
        <w:t xml:space="preserve">A north- and eastward shift of the climate envelope in which the tiger mosquito could establish once introduced, with surveillance recommended in newly suitable countries such as Cyprus, Bulgaria, Slovakia, Portugal, the Benelux, Germany and the UK, and a modest contraction at the arid southern margin. The authors stressed the spread among climate models and that introduction through trade was a precondition.</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Observed establishment has widened considerably. ECDC counted established populations in 8 EU/EEA countries and 114 regions in 2013, 13 countries and 337 regions in 2023, and 16 countries and 369 regions in June 2025, when Cyprus and Slovakia were newly recorded as established; the April 2026 map reports 384 regional units in the same 16 countries. Several countries the study singled out as future hot spots or surveillance priorities now have established populations, but establishment north of the Alps remains patchy (for example 12 of 38 German units in 2026). Kraemer and colleagues showed that the European spread follows human movement and accelerated once the species crossed the Alps, so much of the observed expansion reflects introduction pathways as well as climate.</w:t>
      </w:r>
    </w:p>
    <w:p>
      <w:r>
        <w:t xml:space="preserve">Expansion also continued in the south. In 2026 every Italian unit, including Sardinia, and 48 of 52 Greek units were occupied, and Spain (33 of 59) and Portugal (5 of 26) were still adding units. Local transmission of mosquito-borne viruses followed: ECDC recorded 304 locally acquired dengue cases in 2024, and France and Italy reported about 1,170 locally acquired chikungunya cases in 2025, a season ECDC described as record-breaking for the number of outbreaks.</w:t>
      </w:r>
    </w:p>
    <w:p>
      <w:r>
        <w:t xml:space="preserve">Later modelling has not reproduced a southern decline. A 2021 consensus of published suitability models, which included the 2012 study among its inputs, found northward and eastward expansion and no region with decreasing suitability, with only central Iberia uncertain. The Lancet Countdown’s European report estimated the largest absolute rise in climatic suitability for dengue transmission between 1951–1960 and 2013–2022 in southern Europe, and Kraemer and colleagues placed the main projected contraction in eastern Europe rather than the Mediterranean.</w:t>
      </w:r>
    </w:p>
    <w:p>
      <w:pPr>
        <w:spacing w:after="100"/>
      </w:pPr>
      <w:r>
        <w:rPr>
          <w:rFonts w:ascii="Calibri" w:cs="Calibri" w:eastAsia="Calibri" w:hAnsi="Calibri"/>
          <w:b/>
          <w:bCs/>
          <w:color w:val="1F3A5F"/>
          <w:sz w:val="20"/>
          <w:szCs w:val="20"/>
        </w:rPr>
        <w:t xml:space="preserve">Interpretation. </w:t>
      </w:r>
      <w:r>
        <w:t xml:space="preserve">The northward and eastward widening of the mosquito’s European range developed broadly in the direction envisaged, though driven at least as much by human-mediated introduction as by climate, and it did not come at the expense of the south. The projected slight decline in southern suitability has not appeared in observations or in later consensus modelling; it was, however, a conditional projection for 2030–2050 focused on the driest parts of Iberia and on Sardinia, and it remains open.</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ECDC &amp; EFSA (1 July 2025). </w:t>
      </w:r>
      <w:r>
        <w:rPr>
          <w:i/>
          <w:iCs/>
          <w:sz w:val="19"/>
          <w:szCs w:val="19"/>
        </w:rPr>
        <w:t xml:space="preserve">Aedes albopictus – current known distribution: June 2025</w:t>
      </w:r>
      <w:r>
        <w:rPr>
          <w:sz w:val="19"/>
          <w:szCs w:val="19"/>
        </w:rPr>
        <w:t xml:space="preserve">. </w:t>
      </w:r>
      <w:hyperlink w:history="1" r:id="rIdxqcm2vlg3_jzfz3ri9ak0">
        <w:r>
          <w:rPr>
            <w:rStyle w:val="Hyperlink"/>
            <w:sz w:val="19"/>
            <w:szCs w:val="19"/>
          </w:rPr>
          <w:t xml:space="preserve">https://www.ecdc.europa.eu/en/publications-data/aedes-albopictus-current-known-distribution-june-2025</w:t>
        </w:r>
      </w:hyperlink>
      <w:r>
        <w:rPr>
          <w:sz w:val="19"/>
          <w:szCs w:val="19"/>
        </w:rPr>
        <w:t xml:space="preserve"> — established in 369 regions in 16 EU/EEA countries; Cyprus and Slovakia newly established. Web page; direct evidence (establishment).</w:t>
      </w:r>
    </w:p>
    <w:p>
      <w:pPr>
        <w:spacing w:after="80"/>
        <w:ind w:left="360" w:hanging="360"/>
      </w:pPr>
      <w:r>
        <w:rPr>
          <w:sz w:val="19"/>
          <w:szCs w:val="19"/>
        </w:rPr>
        <w:t xml:space="preserve">ECDC &amp; EFSA (3 June 2026). </w:t>
      </w:r>
      <w:r>
        <w:rPr>
          <w:i/>
          <w:iCs/>
          <w:sz w:val="19"/>
          <w:szCs w:val="19"/>
        </w:rPr>
        <w:t xml:space="preserve">Aedes albopictus – current known distribution: April 2026</w:t>
      </w:r>
      <w:r>
        <w:rPr>
          <w:sz w:val="19"/>
          <w:szCs w:val="19"/>
        </w:rPr>
        <w:t xml:space="preserve">. </w:t>
      </w:r>
      <w:hyperlink w:history="1" r:id="rIdgtq-spl7_m4buasnbdmq2">
        <w:r>
          <w:rPr>
            <w:rStyle w:val="Hyperlink"/>
            <w:sz w:val="19"/>
            <w:szCs w:val="19"/>
          </w:rPr>
          <w:t xml:space="preserve">https://www.ecdc.europa.eu/en/publications-data/aedes-albopictus-current-known-distribution-april-2026</w:t>
        </w:r>
      </w:hyperlink>
      <w:r>
        <w:rPr>
          <w:sz w:val="19"/>
          <w:szCs w:val="19"/>
        </w:rPr>
        <w:t xml:space="preserve"> — established in 384 units; expansion of 14 units in Bulgaria, France, Greece, Portugal and Romania; Italy 107/107, Spain 33/59, Portugal 5/26, Greece 48/52. Web page; direct evidence.</w:t>
      </w:r>
    </w:p>
    <w:p>
      <w:pPr>
        <w:spacing w:after="80"/>
        <w:ind w:left="360" w:hanging="360"/>
      </w:pPr>
      <w:r>
        <w:rPr>
          <w:sz w:val="19"/>
          <w:szCs w:val="19"/>
        </w:rPr>
        <w:t xml:space="preserve">ECDC (22 June 2023). </w:t>
      </w:r>
      <w:r>
        <w:rPr>
          <w:i/>
          <w:iCs/>
          <w:sz w:val="19"/>
          <w:szCs w:val="19"/>
        </w:rPr>
        <w:t xml:space="preserve">Increasing risk of mosquito-borne diseases in EU/EEA following spread of Aedes species</w:t>
      </w:r>
      <w:r>
        <w:rPr>
          <w:sz w:val="19"/>
          <w:szCs w:val="19"/>
        </w:rPr>
        <w:t xml:space="preserve">; and ECDC (20 August 2025). </w:t>
      </w:r>
      <w:r>
        <w:rPr>
          <w:i/>
          <w:iCs/>
          <w:sz w:val="19"/>
          <w:szCs w:val="19"/>
        </w:rPr>
        <w:t xml:space="preserve">World Mosquito Day 2025: Europe sets new records for mosquito-borne diseases</w:t>
      </w:r>
      <w:r>
        <w:rPr>
          <w:sz w:val="19"/>
          <w:szCs w:val="19"/>
        </w:rPr>
        <w:t xml:space="preserve">. </w:t>
      </w:r>
      <w:hyperlink w:history="1" r:id="rId0puunw_usxreha8lfakvo">
        <w:r>
          <w:rPr>
            <w:rStyle w:val="Hyperlink"/>
            <w:sz w:val="19"/>
            <w:szCs w:val="19"/>
          </w:rPr>
          <w:t xml:space="preserve">https://www.ecdc.europa.eu/en/news-events/world-mosquito-day-2025-europe-sets-new-records-mosquito-borne-diseases</w:t>
        </w:r>
      </w:hyperlink>
      <w:r>
        <w:rPr>
          <w:sz w:val="19"/>
          <w:szCs w:val="19"/>
        </w:rPr>
        <w:t xml:space="preserve"> — 8 countries and 114 regions in 2013; 13 countries and 337 regions in 2023. Web pages; direct evidence on trend.</w:t>
      </w:r>
    </w:p>
    <w:p>
      <w:pPr>
        <w:spacing w:after="80"/>
        <w:ind w:left="360" w:hanging="360"/>
      </w:pPr>
      <w:r>
        <w:rPr>
          <w:sz w:val="19"/>
          <w:szCs w:val="19"/>
        </w:rPr>
        <w:t xml:space="preserve">ECDC. </w:t>
      </w:r>
      <w:r>
        <w:rPr>
          <w:i/>
          <w:iCs/>
          <w:sz w:val="19"/>
          <w:szCs w:val="19"/>
        </w:rPr>
        <w:t xml:space="preserve">Local transmission of dengue virus in mainland EU/EEA</w:t>
      </w:r>
      <w:r>
        <w:rPr>
          <w:sz w:val="19"/>
          <w:szCs w:val="19"/>
        </w:rPr>
        <w:t xml:space="preserve"> and seasonal chikungunya surveillance (accessed October 2026). </w:t>
      </w:r>
      <w:hyperlink w:history="1" r:id="rIdm3vpxmdls47hnuhnccjle">
        <w:r>
          <w:rPr>
            <w:rStyle w:val="Hyperlink"/>
            <w:sz w:val="19"/>
            <w:szCs w:val="19"/>
          </w:rPr>
          <w:t xml:space="preserve">https://www.ecdc.europa.eu/en/all-topics-z/Dengue/surveillance-and-disease-data/autochthonous-transmission-Dengue-virus-eueea</w:t>
        </w:r>
      </w:hyperlink>
      <w:r>
        <w:rPr>
          <w:sz w:val="19"/>
          <w:szCs w:val="19"/>
        </w:rPr>
        <w:t xml:space="preserve"> — 71 (2022), 130 (2023), 304 (2024) locally acquired dengue cases; about 1,170 locally acquired chikungunya cases in France and Italy in 2025. Web pages; explanatory evidence (consequences of establishment).</w:t>
      </w:r>
    </w:p>
    <w:p>
      <w:pPr>
        <w:spacing w:after="80"/>
        <w:ind w:left="360" w:hanging="360"/>
      </w:pPr>
      <w:r>
        <w:rPr>
          <w:sz w:val="19"/>
          <w:szCs w:val="19"/>
        </w:rPr>
        <w:t xml:space="preserve">Oliveira, S., Rocha, J., Sousa, C. A. &amp; Capinha, C. (2021). Wide and increasing suitability for </w:t>
      </w:r>
      <w:r>
        <w:rPr>
          <w:i/>
          <w:iCs/>
          <w:sz w:val="19"/>
          <w:szCs w:val="19"/>
        </w:rPr>
        <w:t xml:space="preserve">Aedes albopictus</w:t>
      </w:r>
      <w:r>
        <w:rPr>
          <w:sz w:val="19"/>
          <w:szCs w:val="19"/>
        </w:rPr>
        <w:t xml:space="preserve"> in Europe is congruent across distribution models. </w:t>
      </w:r>
      <w:r>
        <w:rPr>
          <w:i/>
          <w:iCs/>
          <w:sz w:val="19"/>
          <w:szCs w:val="19"/>
        </w:rPr>
        <w:t xml:space="preserve">Scientific Reports</w:t>
      </w:r>
      <w:r>
        <w:rPr>
          <w:sz w:val="19"/>
          <w:szCs w:val="19"/>
        </w:rPr>
        <w:t xml:space="preserve"> 11, 9916. </w:t>
      </w:r>
      <w:hyperlink w:history="1" r:id="rId358jge28um-z5vcsitbqv">
        <w:r>
          <w:rPr>
            <w:rStyle w:val="Hyperlink"/>
            <w:sz w:val="19"/>
            <w:szCs w:val="19"/>
          </w:rPr>
          <w:t xml:space="preserve">https://doi.org/10.1038/s41598-021-89096-5</w:t>
        </w:r>
      </w:hyperlink>
      <w:r>
        <w:rPr>
          <w:sz w:val="19"/>
          <w:szCs w:val="19"/>
        </w:rPr>
        <w:t xml:space="preserve"> — consensus of seven current and five future predictions: expansion north and east, no region with decreasing suitability. Full text read; later foresight and reframing.</w:t>
      </w:r>
    </w:p>
    <w:p>
      <w:pPr>
        <w:spacing w:after="80"/>
        <w:ind w:left="360" w:hanging="360"/>
      </w:pPr>
      <w:r>
        <w:rPr>
          <w:sz w:val="19"/>
          <w:szCs w:val="19"/>
        </w:rPr>
        <w:t xml:space="preserve">Kraemer, M. U. G. et al. (2019). Past and future spread of the arbovirus vectors </w:t>
      </w:r>
      <w:r>
        <w:rPr>
          <w:i/>
          <w:iCs/>
          <w:sz w:val="19"/>
          <w:szCs w:val="19"/>
        </w:rPr>
        <w:t xml:space="preserve">Aedes aegypti</w:t>
      </w:r>
      <w:r>
        <w:rPr>
          <w:sz w:val="19"/>
          <w:szCs w:val="19"/>
        </w:rPr>
        <w:t xml:space="preserve"> and </w:t>
      </w:r>
      <w:r>
        <w:rPr>
          <w:i/>
          <w:iCs/>
          <w:sz w:val="19"/>
          <w:szCs w:val="19"/>
        </w:rPr>
        <w:t xml:space="preserve">Aedes albopictus</w:t>
      </w:r>
      <w:r>
        <w:rPr>
          <w:sz w:val="19"/>
          <w:szCs w:val="19"/>
        </w:rPr>
        <w:t xml:space="preserve">. </w:t>
      </w:r>
      <w:r>
        <w:rPr>
          <w:i/>
          <w:iCs/>
          <w:sz w:val="19"/>
          <w:szCs w:val="19"/>
        </w:rPr>
        <w:t xml:space="preserve">Nature Microbiology</w:t>
      </w:r>
      <w:r>
        <w:rPr>
          <w:sz w:val="19"/>
          <w:szCs w:val="19"/>
        </w:rPr>
        <w:t xml:space="preserve"> 4, 854–863. </w:t>
      </w:r>
      <w:hyperlink w:history="1" r:id="rIdoxb_6vojvh2mud_jceepo">
        <w:r>
          <w:rPr>
            <w:rStyle w:val="Hyperlink"/>
            <w:sz w:val="19"/>
            <w:szCs w:val="19"/>
          </w:rPr>
          <w:t xml:space="preserve">https://doi.org/10.1038/s41564-019-0376-y</w:t>
        </w:r>
      </w:hyperlink>
      <w:r>
        <w:rPr>
          <w:sz w:val="19"/>
          <w:szCs w:val="19"/>
        </w:rPr>
        <w:t xml:space="preserve"> — spread in Europe explained by human movement, accelerating after crossing the Alps; projected contraction mainly in eastern Europe. Full text read; explanatory evidence and later foresight.</w:t>
      </w:r>
    </w:p>
    <w:p>
      <w:pPr>
        <w:spacing w:after="80"/>
        <w:ind w:left="360" w:hanging="360"/>
      </w:pPr>
      <w:r>
        <w:rPr>
          <w:sz w:val="19"/>
          <w:szCs w:val="19"/>
        </w:rPr>
        <w:t xml:space="preserve">van Daalen, K. R. et al. (2024). The 2024 Europe report of the Lancet Countdown on health and climate change. </w:t>
      </w:r>
      <w:r>
        <w:rPr>
          <w:i/>
          <w:iCs/>
          <w:sz w:val="19"/>
          <w:szCs w:val="19"/>
        </w:rPr>
        <w:t xml:space="preserve">The Lancet Public Health</w:t>
      </w:r>
      <w:r>
        <w:rPr>
          <w:sz w:val="19"/>
          <w:szCs w:val="19"/>
        </w:rPr>
        <w:t xml:space="preserve"> 9(7), e495–e522. </w:t>
      </w:r>
      <w:hyperlink w:history="1" r:id="rIdex_inlxp52hypy6rko4fl">
        <w:r>
          <w:rPr>
            <w:rStyle w:val="Hyperlink"/>
            <w:sz w:val="19"/>
            <w:szCs w:val="19"/>
          </w:rPr>
          <w:t xml:space="preserve">https://doi.org/10.1016/S2468-2667(24</w:t>
        </w:r>
      </w:hyperlink>
      <w:r>
        <w:rPr>
          <w:sz w:val="19"/>
          <w:szCs w:val="19"/>
        </w:rPr>
        <w:t xml:space="preserve">)00055-0 — largest absolute rise in modelled dengue transmission suitability in southern Europe. Full text read; direct evidence (modelled suitability under observed climate).</w:t>
      </w:r>
    </w:p>
    <w:p>
      <w:pPr>
        <w:spacing w:after="80"/>
        <w:ind w:left="360" w:hanging="360"/>
      </w:pPr>
      <w:r>
        <w:rPr>
          <w:sz w:val="19"/>
          <w:szCs w:val="19"/>
        </w:rPr>
        <w:t xml:space="preserve">Zardini, A. et al. (2024). Estimating the potential risk of transmission of arboviruses in the Americas and Europe: a modelling study. </w:t>
      </w:r>
      <w:r>
        <w:rPr>
          <w:i/>
          <w:iCs/>
          <w:sz w:val="19"/>
          <w:szCs w:val="19"/>
        </w:rPr>
        <w:t xml:space="preserve">The Lancet Planetary Health</w:t>
      </w:r>
      <w:r>
        <w:rPr>
          <w:sz w:val="19"/>
          <w:szCs w:val="19"/>
        </w:rPr>
        <w:t xml:space="preserve"> 8(1), e30–e40. </w:t>
      </w:r>
      <w:hyperlink w:history="1" r:id="rIda22xzfughq-vpzsow72gc">
        <w:r>
          <w:rPr>
            <w:rStyle w:val="Hyperlink"/>
            <w:sz w:val="19"/>
            <w:szCs w:val="19"/>
          </w:rPr>
          <w:t xml:space="preserve">https://doi.org/10.1016/S2542-5196(23</w:t>
        </w:r>
      </w:hyperlink>
      <w:r>
        <w:rPr>
          <w:sz w:val="19"/>
          <w:szCs w:val="19"/>
        </w:rPr>
        <w:t xml:space="preserve">)00252-8 — highest modelled abundance and transmission potential in Mediterranean Europe. Full text read (appendix not read); later foresight (also Scanner group member, kept at pair level).</w:t>
      </w:r>
    </w:p>
    <w:p>
      <w:pPr>
        <w:spacing w:after="100"/>
      </w:pPr>
      <w:r>
        <w:rPr>
          <w:rFonts w:ascii="Calibri" w:cs="Calibri" w:eastAsia="Calibri" w:hAnsi="Calibri"/>
          <w:b/>
          <w:bCs/>
          <w:color w:val="1F3A5F"/>
          <w:sz w:val="20"/>
          <w:szCs w:val="20"/>
        </w:rPr>
        <w:t xml:space="preserve">Evidence limitations. </w:t>
      </w:r>
      <w:r>
        <w:t xml:space="preserve">ECDC counts record reported establishment in administrative units; they depend on surveillance effort and unit definitions and cannot measure climatic suitability. The April 2026 total exceeds the June 2025 total by 15 units while ECDC reports 14 new units; the difference is unexplained. Suitability, establishment, abundance and transmission are distinct quantities measured differently by the later studies. The UK’s establishment status was not verified.</w:t>
      </w:r>
    </w:p>
    <w:p>
      <w:pPr>
        <w:spacing w:after="100"/>
      </w:pPr>
      <w:r>
        <w:rPr>
          <w:rFonts w:ascii="Calibri" w:cs="Calibri" w:eastAsia="Calibri" w:hAnsi="Calibri"/>
          <w:b/>
          <w:bCs/>
          <w:color w:val="1F3A5F"/>
          <w:sz w:val="20"/>
          <w:szCs w:val="20"/>
        </w:rPr>
        <w:t xml:space="preserve">Review status. </w:t>
      </w:r>
      <w:r>
        <w:t xml:space="preserve">Source-verified. The original was read in full, and the ECDC pages and key later studies were read directly.</w:t>
      </w:r>
    </w:p>
    <w:p>
      <w:pPr>
        <w:keepNext/>
        <w:spacing w:after="60" w:before="160"/>
      </w:pPr>
      <w:r>
        <w:rPr>
          <w:rFonts w:ascii="Calibri" w:cs="Calibri" w:eastAsia="Calibri" w:hAnsi="Calibri"/>
          <w:b/>
          <w:bCs/>
          <w:color w:val="1F3A5F"/>
          <w:spacing w:val="20"/>
          <w:sz w:val="17"/>
          <w:szCs w:val="17"/>
        </w:rPr>
        <w:t xml:space="preserve">EARLIER ACCOUNT 31 — PRESERVED VERBATIM</w:t>
      </w:r>
    </w:p>
    <w:p>
      <w:pPr>
        <w:pBdr>
          <w:left w:val="single" w:color="B8C2CC" w:sz="12" w:space="8"/>
        </w:pBdr>
        <w:shd w:fill="F2F4F6" w:color="auto" w:val="clear"/>
        <w:spacing w:after="60" w:before="40"/>
        <w:ind w:left="200" w:right="120"/>
      </w:pPr>
      <w:r>
        <w:rPr>
          <w:sz w:val="19"/>
          <w:szCs w:val="19"/>
        </w:rPr>
        <w:t xml:space="preserve">Partly. By June 2025 it was established in 369 regions in 16 EU/EEA countries. It was newly established in Slovakia and Cyprus and spreading in Belgium and Germany, but also in Spain, Portugal and Greece, up from 114 regions a decade earlier. The northward spread is confirmed, but there’s no sign of the predicted southern retreat.</w:t>
      </w:r>
    </w:p>
    <w:p>
      <w:pPr>
        <w:pBdr>
          <w:left w:val="single" w:color="B8C2CC" w:sz="12" w:space="8"/>
        </w:pBdr>
        <w:shd w:fill="F2F4F6" w:color="auto" w:val="clear"/>
        <w:spacing w:after="140" w:before="0"/>
        <w:ind w:left="200" w:right="120"/>
      </w:pPr>
      <w:r>
        <w:rPr>
          <w:sz w:val="19"/>
          <w:szCs w:val="19"/>
        </w:rPr>
        <w:t xml:space="preserve">Additional references (as supplied; links may be missing): europa (2 pages).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figures for June 2025 (369 regions, 16 countries, new establishment in Slovakia and Cyprus, spread in the listed countries) are verified, but superseded by the April 2026 map (384 units). The “114 regions” comparison refers to 2013, about twelve years earlier, and comes from ECDC news items rather than the June 2025 map page. “No sign of the predicted southern retreat” needs qualification: the paper projected a slight decline in climatic suitability for 2030–2050 in southern Iberia and Sardinia, not a retreat of populations, and observed establishment cannot show suitability. The verdict word “Partly” should be removed.</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state the 2013 baseline correctly, distinguish establishment from suitability, and make the southern-decline statement conditional on its horizon and geography; </w:t>
      </w:r>
      <w:r>
        <w:rPr>
          <w:b/>
          <w:bCs/>
        </w:rPr>
        <w:t xml:space="preserve">strengthen with new evidence</w:t>
      </w:r>
      <w:r>
        <w:t xml:space="preserve"> (April 2026 map, later consensus modelling, local transmission data).</w:t>
      </w:r>
    </w:p>
    <w:p>
      <w:pPr>
        <w:pBdr>
          <w:bottom w:val="single" w:color="B8C2CC" w:sz="6" w:space="1"/>
        </w:pBdr>
        <w:spacing w:after="120"/>
      </w:pPr>
    </w:p>
    <w:p>
      <w:pPr>
        <w:pStyle w:val="Heading2"/>
      </w:pPr>
      <w:r>
        <w:t xml:space="preserve">Account 11 — Stocks versus increments: managing EU forest biomass to 2100 (2013)</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11 (“Woody biomass, EU (2013)”).</w:t>
      </w:r>
    </w:p>
    <w:p>
      <w:pPr>
        <w:spacing w:after="100"/>
      </w:pPr>
      <w:r>
        <w:rPr>
          <w:rFonts w:ascii="Calibri" w:cs="Calibri" w:eastAsia="Calibri" w:hAnsi="Calibri"/>
          <w:b/>
          <w:bCs/>
          <w:color w:val="1F3A5F"/>
          <w:sz w:val="20"/>
          <w:szCs w:val="20"/>
        </w:rPr>
        <w:t xml:space="preserve">Original study. </w:t>
      </w:r>
      <w:r>
        <w:t xml:space="preserve">Kindermann, Georg E., Schörghuber, Stefan, Linkosalo, Tapio, Sánchez, Anabel, Rammer, Werner, Seidl, Rupert &amp; Lexer, Manfred J. (2013). Potential stocks and increments of woody biomass in the European Union under different management and climate scenarios. </w:t>
      </w:r>
      <w:r>
        <w:rPr>
          <w:i/>
          <w:iCs/>
        </w:rPr>
        <w:t xml:space="preserve">Carbon Balance and Management</w:t>
      </w:r>
      <w:r>
        <w:t xml:space="preserve"> 8, 2 (IIASA, BOKU, Metla, CREAF). </w:t>
      </w:r>
      <w:hyperlink w:history="1" r:id="rIdcamtdymj5-vd1gbemskqe">
        <w:r>
          <w:rPr>
            <w:rStyle w:val="Hyperlink"/>
          </w:rPr>
          <w:t xml:space="preserve">https://doi.org/10.1186/1750-0680-8-2</w:t>
        </w:r>
      </w:hyperlink>
      <w:r>
        <w:t xml:space="preserve"> (open access; full text read).</w:t>
      </w:r>
    </w:p>
    <w:p>
      <w:pPr>
        <w:spacing w:after="100"/>
      </w:pPr>
      <w:r>
        <w:rPr>
          <w:rFonts w:ascii="Calibri" w:cs="Calibri" w:eastAsia="Calibri" w:hAnsi="Calibri"/>
          <w:b/>
          <w:bCs/>
          <w:color w:val="1F3A5F"/>
          <w:sz w:val="20"/>
          <w:szCs w:val="20"/>
        </w:rPr>
        <w:t xml:space="preserve">Original future claim. </w:t>
      </w:r>
      <w:r>
        <w:t xml:space="preserve">Key phrase (abstract): forest management “should maximise increments, not stocks”. Paraphrase: simulating EU-27 forests to 2100 under four climate scenarios, the authors found that maximising standing stock would raise stem-wood carbon from about 30 to about 50 tC per hectare but halve increments by 2100 relative to increment-maximising management, which would lower stocks to about 20 tC per hectare while yielding more harvest; management choices mattered far more than climate. Counting harvested carbon as absorbed, they recommended avoiding incentives that raise standing biomass beyond the increment-optimal level. Natural disturbances were not modelled explicitly. Catalogue excerpt: HISTORICAL-CLAIMS record 452 (a research aim joined to the recommendation).</w:t>
      </w:r>
    </w:p>
    <w:p>
      <w:pPr>
        <w:spacing w:after="100"/>
      </w:pPr>
      <w:r>
        <w:rPr>
          <w:rFonts w:ascii="Calibri" w:cs="Calibri" w:eastAsia="Calibri" w:hAnsi="Calibri"/>
          <w:b/>
          <w:bCs/>
          <w:color w:val="1F3A5F"/>
          <w:sz w:val="20"/>
          <w:szCs w:val="20"/>
        </w:rPr>
        <w:t xml:space="preserve">What was envisioned. </w:t>
      </w:r>
      <w:r>
        <w:t xml:space="preserve">A choice for Europe’s forests between accumulating carbon in ageing stands, at the cost of declining growth and sequestration capacity, and keeping forests younger and productive through higher harvests; the authors favoured the latter and warned against policies that would reward high standing stocks.</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Europe’s forests continued along a stock-accumulating path, less through deliberate policy than because harvests long stayed below growth: average growing stock rose from 18.7 billion m³ (1950–2000) to 29.1 billion m³ (2001–2019). The ageing mechanism at the heart of the 2013 argument is visible in the data. An analysis of EU inventory data by Korosuo and colleagues (2023) shows the land-use sink weakening from at least −300 Mt CO₂e a year in 1995–2016 to −230 Mt CO₂e in 2021, driven by falling gross increment, rising natural mortality, rising harvests and less afforestation, and projects net increment falling by about 8% by 2050 if past management continues.</w:t>
      </w:r>
    </w:p>
    <w:p>
      <w:r>
        <w:t xml:space="preserve">What the 2013 model largely left out — natural disturbance — became decisive. Recorded disturbance damage nearly doubled between 1950–2000 and 2001–2019, with bark-beetle damage reaching 70 million m³ in 2019, and a satellite study published in 2026 reports that gross aboveground biomass losses across Europe rose by 46% from 2018 onward, coinciding with high disturbance activity in biomass-rich temperate forests (harvest accounted for 82% of losses over 1985–2023). Seidl and colleagues, two of whom co-authored the 2013 paper, had already projected in 2014 that longer rotations would raise disturbance damage and could erode the gains of carbon-oriented management.</w:t>
      </w:r>
    </w:p>
    <w:p>
      <w:r>
        <w:t xml:space="preserve">Policy moved in a different direction from the paper’s recommendation. The revised EU LULUCF framework sets a target of −310 Mt CO₂e net removals for 2030, which would require roughly 80 Mt CO₂e a year more than in 2021, and the 2023 analysis cites literature arguing that limiting harvests is the more effective short-to-medium-term lever because the current mix of wood products delivers modest substitution benefits. At the same time, several eastern member states encouraged more harvesting in older forests.</w:t>
      </w:r>
    </w:p>
    <w:p>
      <w:pPr>
        <w:spacing w:after="100"/>
      </w:pPr>
      <w:r>
        <w:rPr>
          <w:rFonts w:ascii="Calibri" w:cs="Calibri" w:eastAsia="Calibri" w:hAnsi="Calibri"/>
          <w:b/>
          <w:bCs/>
          <w:color w:val="1F3A5F"/>
          <w:sz w:val="20"/>
          <w:szCs w:val="20"/>
        </w:rPr>
        <w:t xml:space="preserve">Interpretation. </w:t>
      </w:r>
      <w:r>
        <w:t xml:space="preserve">The paper’s diagnosis — ageing forests with stagnating increment — developed partly along the envisioned pathway, but the question has been reframed. Policy now prioritises the in-forest sink, which runs against the recommendation, while climate-driven disturbance after 2018 erodes both stocks and increments, so the trade-off no longer behaves as the 2013 model described. The 2100 horizon remains open.</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Korosuo, A. et al. (2023). The role of forests in the EU climate policy: are we on the right track? </w:t>
      </w:r>
      <w:r>
        <w:rPr>
          <w:i/>
          <w:iCs/>
          <w:sz w:val="19"/>
          <w:szCs w:val="19"/>
        </w:rPr>
        <w:t xml:space="preserve">Carbon Balance and Management</w:t>
      </w:r>
      <w:r>
        <w:rPr>
          <w:sz w:val="19"/>
          <w:szCs w:val="19"/>
        </w:rPr>
        <w:t xml:space="preserve"> 18, 15. </w:t>
      </w:r>
      <w:hyperlink w:history="1" r:id="rId-actdugt-mlsf9e78kihw">
        <w:r>
          <w:rPr>
            <w:rStyle w:val="Hyperlink"/>
            <w:sz w:val="19"/>
            <w:szCs w:val="19"/>
          </w:rPr>
          <w:t xml:space="preserve">https://doi.org/10.1186/s13021-023-00234-0</w:t>
        </w:r>
      </w:hyperlink>
      <w:r>
        <w:rPr>
          <w:sz w:val="19"/>
          <w:szCs w:val="19"/>
        </w:rPr>
        <w:t xml:space="preserve"> — EU LULUCF sink from at least −300 Mt CO₂e/yr (1995–2016) to −230 Mt CO₂e (2021); drivers include decreased gross increment and increased mortality and harvest; −310 Mt target for 2030. Full text read; direct, explanatory and reframing evidence.</w:t>
      </w:r>
    </w:p>
    <w:p>
      <w:pPr>
        <w:spacing w:after="80"/>
        <w:ind w:left="360" w:hanging="360"/>
      </w:pPr>
      <w:r>
        <w:rPr>
          <w:sz w:val="19"/>
          <w:szCs w:val="19"/>
        </w:rPr>
        <w:t xml:space="preserve">Patacca, M. et al. (2023). Significant increase in natural disturbance impacts on European forests since 1950. </w:t>
      </w:r>
      <w:r>
        <w:rPr>
          <w:i/>
          <w:iCs/>
          <w:sz w:val="19"/>
          <w:szCs w:val="19"/>
        </w:rPr>
        <w:t xml:space="preserve">Global Change Biology</w:t>
      </w:r>
      <w:r>
        <w:rPr>
          <w:sz w:val="19"/>
          <w:szCs w:val="19"/>
        </w:rPr>
        <w:t xml:space="preserve"> 29(5), 1359–1376. </w:t>
      </w:r>
      <w:hyperlink w:history="1" r:id="rIdsy7jxrlkxecv13kfygofa">
        <w:r>
          <w:rPr>
            <w:rStyle w:val="Hyperlink"/>
            <w:sz w:val="19"/>
            <w:szCs w:val="19"/>
          </w:rPr>
          <w:t xml:space="preserve">https://doi.org/10.1111/gcb.16531</w:t>
        </w:r>
      </w:hyperlink>
      <w:r>
        <w:rPr>
          <w:sz w:val="19"/>
          <w:szCs w:val="19"/>
        </w:rPr>
        <w:t xml:space="preserve"> — disturbance damage 42.6 Mm³/yr (1950–2000) to 78.5 Mm³/yr (2001–2019); growing stock 18.7 to 29.1 billion m³. Full text read; direct and explanatory evidence.</w:t>
      </w:r>
    </w:p>
    <w:p>
      <w:pPr>
        <w:spacing w:after="80"/>
        <w:ind w:left="360" w:hanging="360"/>
      </w:pPr>
      <w:r>
        <w:rPr>
          <w:sz w:val="19"/>
          <w:szCs w:val="19"/>
        </w:rPr>
        <w:t xml:space="preserve">Kowalski, K. et al. (2026). Accelerating biomass loss from forest disturbances across Europe. </w:t>
      </w:r>
      <w:r>
        <w:rPr>
          <w:i/>
          <w:iCs/>
          <w:sz w:val="19"/>
          <w:szCs w:val="19"/>
        </w:rPr>
        <w:t xml:space="preserve">Nature Geoscience</w:t>
      </w:r>
      <w:r>
        <w:rPr>
          <w:sz w:val="19"/>
          <w:szCs w:val="19"/>
        </w:rPr>
        <w:t xml:space="preserve"> 19, 1132–1138. </w:t>
      </w:r>
      <w:hyperlink w:history="1" r:id="rIdeg718tlquj4fldbjfufel">
        <w:r>
          <w:rPr>
            <w:rStyle w:val="Hyperlink"/>
            <w:sz w:val="19"/>
            <w:szCs w:val="19"/>
          </w:rPr>
          <w:t xml:space="preserve">https://doi.org/10.1038/s41561-026-02032-y</w:t>
        </w:r>
      </w:hyperlink>
      <w:r>
        <w:rPr>
          <w:sz w:val="19"/>
          <w:szCs w:val="19"/>
        </w:rPr>
        <w:t xml:space="preserve"> — gross aboveground biomass losses rose 46% from 2018 onward, coinciding with disturbances in biomass-rich temperate forests; harvest 82% of 1985–2023 losses. Abstract only; direct and explanatory evidence (also Scanner group member, kept at pair level).</w:t>
      </w:r>
    </w:p>
    <w:p>
      <w:pPr>
        <w:spacing w:after="80"/>
        <w:ind w:left="360" w:hanging="360"/>
      </w:pPr>
      <w:r>
        <w:rPr>
          <w:sz w:val="19"/>
          <w:szCs w:val="19"/>
        </w:rPr>
        <w:t xml:space="preserve">Seidl, R., Schelhaas, M.-J., Rammer, W. &amp; Verkerk, P. J. (2014). Increasing forest disturbances in Europe and their impact on carbon storage. </w:t>
      </w:r>
      <w:r>
        <w:rPr>
          <w:i/>
          <w:iCs/>
          <w:sz w:val="19"/>
          <w:szCs w:val="19"/>
        </w:rPr>
        <w:t xml:space="preserve">Nature Climate Change</w:t>
      </w:r>
      <w:r>
        <w:rPr>
          <w:sz w:val="19"/>
          <w:szCs w:val="19"/>
        </w:rPr>
        <w:t xml:space="preserve"> 4, 806–810. </w:t>
      </w:r>
      <w:hyperlink w:history="1" r:id="rIdqewwxlwxeio_r8-xzopat">
        <w:r>
          <w:rPr>
            <w:rStyle w:val="Hyperlink"/>
            <w:sz w:val="19"/>
            <w:szCs w:val="19"/>
          </w:rPr>
          <w:t xml:space="preserve">https://doi.org/10.1038/nclimate2318</w:t>
        </w:r>
      </w:hyperlink>
      <w:r>
        <w:rPr>
          <w:sz w:val="19"/>
          <w:szCs w:val="19"/>
        </w:rPr>
        <w:t xml:space="preserve"> — carbon-oriented management with longer rotations raises damaged volume by 12.4%; disturbance can thwart management effects. Full text read (author manuscript); later foresight by overlapping authors.</w:t>
      </w:r>
    </w:p>
    <w:p>
      <w:pPr>
        <w:spacing w:after="100"/>
      </w:pPr>
      <w:r>
        <w:rPr>
          <w:rFonts w:ascii="Calibri" w:cs="Calibri" w:eastAsia="Calibri" w:hAnsi="Calibri"/>
          <w:b/>
          <w:bCs/>
          <w:color w:val="1F3A5F"/>
          <w:sz w:val="20"/>
          <w:szCs w:val="20"/>
        </w:rPr>
        <w:t xml:space="preserve">Evidence limitations. </w:t>
      </w:r>
      <w:r>
        <w:t xml:space="preserve">Only the abstract of the 2026 disturbance study was available, so the reference period of the 46% figure is unverified. The 2023 study of global young-forest biomass cited in the earlier account was checked at metadata level only. The latest EEA inventory figures (2022–2024), </w:t>
      </w:r>
      <w:r>
        <w:rPr>
          <w:i/>
          <w:iCs/>
        </w:rPr>
        <w:t xml:space="preserve">State of Europe’s Forests 2025</w:t>
      </w:r>
      <w:r>
        <w:t xml:space="preserve"> and the debate on harvest trends (2020–2021) were not read. The model’s stem-carbon metric is not directly comparable with inventory sinks, which are frequently recalculated.</w:t>
      </w:r>
    </w:p>
    <w:p>
      <w:pPr>
        <w:spacing w:after="100"/>
      </w:pPr>
      <w:r>
        <w:rPr>
          <w:rFonts w:ascii="Calibri" w:cs="Calibri" w:eastAsia="Calibri" w:hAnsi="Calibri"/>
          <w:b/>
          <w:bCs/>
          <w:color w:val="1F3A5F"/>
          <w:sz w:val="20"/>
          <w:szCs w:val="20"/>
        </w:rPr>
        <w:t xml:space="preserve">Review status. </w:t>
      </w:r>
      <w:r>
        <w:t xml:space="preserve">Provisional interpretation. The original and three key later studies were read in full; the 2026 study in abstract.</w:t>
      </w:r>
    </w:p>
    <w:p>
      <w:pPr>
        <w:keepNext/>
        <w:spacing w:after="60" w:before="160"/>
      </w:pPr>
      <w:r>
        <w:rPr>
          <w:rFonts w:ascii="Calibri" w:cs="Calibri" w:eastAsia="Calibri" w:hAnsi="Calibri"/>
          <w:b/>
          <w:bCs/>
          <w:color w:val="1F3A5F"/>
          <w:spacing w:val="20"/>
          <w:sz w:val="17"/>
          <w:szCs w:val="17"/>
        </w:rPr>
        <w:t xml:space="preserve">EARLIER ACCOUNT 11 — PRESERVED VERBATIM</w:t>
      </w:r>
    </w:p>
    <w:p>
      <w:pPr>
        <w:pBdr>
          <w:left w:val="single" w:color="B8C2CC" w:sz="12" w:space="8"/>
        </w:pBdr>
        <w:shd w:fill="F2F4F6" w:color="auto" w:val="clear"/>
        <w:spacing w:after="60" w:before="40"/>
        <w:ind w:left="200" w:right="120"/>
      </w:pPr>
      <w:r>
        <w:rPr>
          <w:sz w:val="19"/>
          <w:szCs w:val="19"/>
        </w:rPr>
        <w:t xml:space="preserve">Held. Europe’s forest biomass losses rose 46% after 2018 as disturbances hit biomass-rich forests (2026), which backs its warning against maximising standing stock. Young northern forests drove the global biomass gain (2023, title only).</w:t>
      </w:r>
    </w:p>
    <w:p>
      <w:pPr>
        <w:pBdr>
          <w:left w:val="single" w:color="B8C2CC" w:sz="12" w:space="8"/>
        </w:pBdr>
        <w:shd w:fill="F2F4F6" w:color="auto" w:val="clear"/>
        <w:spacing w:after="140" w:before="0"/>
        <w:ind w:left="200" w:right="120"/>
      </w:pPr>
      <w:r>
        <w:rPr>
          <w:sz w:val="19"/>
          <w:szCs w:val="19"/>
        </w:rPr>
        <w:t xml:space="preserve">Later sources: Accelerating biomass loss from forest disturbances across Europe (2026), </w:t>
      </w:r>
      <w:hyperlink w:history="1" r:id="rIdmehy_6gtg9mif01qmabgi">
        <w:r>
          <w:rPr>
            <w:rStyle w:val="Hyperlink"/>
            <w:sz w:val="19"/>
            <w:szCs w:val="19"/>
          </w:rPr>
          <w:t xml:space="preserve">https://doi.org/10.1038/s41561-026-02032-y</w:t>
        </w:r>
      </w:hyperlink>
      <w:r>
        <w:rPr>
          <w:sz w:val="19"/>
          <w:szCs w:val="19"/>
        </w:rPr>
        <w:t xml:space="preserve">;</w:t>
      </w:r>
      <w:r>
        <w:rPr>
          <w:sz w:val="19"/>
          <w:szCs w:val="19"/>
        </w:rPr>
        <w:t xml:space="preserve"> Global increase in biomass carbon stock dominated by growth of northern young forests over past decade (2023), </w:t>
      </w:r>
      <w:hyperlink w:history="1" r:id="rIdobuhtc8hr4gvx8d7l843m">
        <w:r>
          <w:rPr>
            <w:rStyle w:val="Hyperlink"/>
            <w:sz w:val="19"/>
            <w:szCs w:val="19"/>
          </w:rPr>
          <w:t xml:space="preserve">https://doi.org/10.1038/s41561-023-01274-4</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46% figure is correct at abstract level but refers to gross aboveground losses, most of them from harvest, and the abstract says the rise coincided with disturbances rather than being caused by them. The inference that this “backs its warning” overreaches: the 2026 study does not compare management regimes, and the 2013 warning rested mainly on increment decline and forgone substitution. The 2023 global young-forest study is cited by title only and its relevance to Europe is unestablished. “Held” is not supported.</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remove the verdict, describe the 46% accurately and drop the inference; </w:t>
      </w:r>
      <w:r>
        <w:rPr>
          <w:b/>
          <w:bCs/>
        </w:rPr>
        <w:t xml:space="preserve">strengthen with new evidence</w:t>
      </w:r>
      <w:r>
        <w:t xml:space="preserve"> (inventory sink decline, disturbance trends, the 2030 LULUCF target); </w:t>
      </w:r>
      <w:r>
        <w:rPr>
          <w:b/>
          <w:bCs/>
        </w:rPr>
        <w:t xml:space="preserve">flag for source verification</w:t>
      </w:r>
      <w:r>
        <w:t xml:space="preserve"> the 2023 study and the full text of the 2026 study.</w:t>
      </w:r>
    </w:p>
    <w:p>
      <w:r>
        <w:br w:type="page"/>
      </w:r>
    </w:p>
    <w:p>
      <w:pPr>
        <w:pStyle w:val="Heading1"/>
      </w:pPr>
      <w:r>
        <w:t xml:space="preserve">Finland: an eastern rail border and a low-emission pathway</w:t>
      </w:r>
    </w:p>
    <w:p>
      <w:r>
        <w:t xml:space="preserve">Two Finnish studies from 2011–2012 looked east and forward: one recommended opening rail traffic with Russia to competition, the other backcast a low-emission Finland in 2050. The first recommendation was implemented and then overtaken by war; the second pathway has advanced in the energy sector while the forest carbon sink it took for granted collapsed.</w:t>
      </w:r>
    </w:p>
    <w:p>
      <w:pPr>
        <w:pStyle w:val="Heading2"/>
      </w:pPr>
      <w:r>
        <w:t xml:space="preserve">Account 12 — Opening Finland–Russia rail transport to competition (2011)</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47 (“Finland–Russia rail deregulation (2011)”).</w:t>
      </w:r>
    </w:p>
    <w:p>
      <w:pPr>
        <w:spacing w:after="100"/>
      </w:pPr>
      <w:r>
        <w:rPr>
          <w:rFonts w:ascii="Calibri" w:cs="Calibri" w:eastAsia="Calibri" w:hAnsi="Calibri"/>
          <w:b/>
          <w:bCs/>
          <w:color w:val="1F3A5F"/>
          <w:sz w:val="20"/>
          <w:szCs w:val="20"/>
        </w:rPr>
        <w:t xml:space="preserve">Original study. </w:t>
      </w:r>
      <w:r>
        <w:t xml:space="preserve">Mäkitalo, Miika (2011). Finland–Russia rail transport deregulation: future scenarios of market development. </w:t>
      </w:r>
      <w:r>
        <w:rPr>
          <w:i/>
          <w:iCs/>
        </w:rPr>
        <w:t xml:space="preserve">International Journal of Shipping and Transport Logistics</w:t>
      </w:r>
      <w:r>
        <w:t xml:space="preserve"> 3(2), 168–179 (Inderscience). </w:t>
      </w:r>
      <w:hyperlink w:history="1" r:id="rIdyohej7m8vplmxdtv0l4q9">
        <w:r>
          <w:rPr>
            <w:rStyle w:val="Hyperlink"/>
          </w:rPr>
          <w:t xml:space="preserve">https://doi.org/10.1504/IJSTL.2011.039377</w:t>
        </w:r>
      </w:hyperlink>
      <w:r>
        <w:t xml:space="preserve"> (paywalled; abstract used). The author worked for the Finnish Transport Agency.</w:t>
      </w:r>
    </w:p>
    <w:p>
      <w:pPr>
        <w:spacing w:after="100"/>
      </w:pPr>
      <w:r>
        <w:rPr>
          <w:rFonts w:ascii="Calibri" w:cs="Calibri" w:eastAsia="Calibri" w:hAnsi="Calibri"/>
          <w:b/>
          <w:bCs/>
          <w:color w:val="1F3A5F"/>
          <w:sz w:val="20"/>
          <w:szCs w:val="20"/>
        </w:rPr>
        <w:t xml:space="preserve">Original future claim. </w:t>
      </w:r>
      <w:r>
        <w:t xml:space="preserve">Key phrase (abstract): deregulating third-country transport “would be advisable”. Paraphrase: EU rail freight had been opened to competition, but traffic between Finland and Russia remained reserved; drawing on three kinds of qualitative scenarios for EU–Russia rail competition, the author concluded that opening this traffic to other operators would increase border transport, lower prices and bring competition into Finland’s rail market. Catalogue excerpt: HISTORICAL-CLAIMS record 491, which matches the abstract’s concluding sentences.</w:t>
      </w:r>
    </w:p>
    <w:p>
      <w:pPr>
        <w:spacing w:after="100"/>
      </w:pPr>
      <w:r>
        <w:rPr>
          <w:rFonts w:ascii="Calibri" w:cs="Calibri" w:eastAsia="Calibri" w:hAnsi="Calibri"/>
          <w:b/>
          <w:bCs/>
          <w:color w:val="1F3A5F"/>
          <w:sz w:val="20"/>
          <w:szCs w:val="20"/>
        </w:rPr>
        <w:t xml:space="preserve">What was envisioned. </w:t>
      </w:r>
      <w:r>
        <w:t xml:space="preserve">A Finland–Russia rail border on which operators other than the national incumbent VR could run trains, as part of a gradual opening of EU–Russia rail freight, bringing growing volumes, lower prices and genuine competition. The study combined scenario analysis with a policy recommendation and assumed continued EU–Russia trade and Russian reform towards rail competition.</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recommended regulatory change was made. A new Finland–Russia railway traffic agreement entered into force on 22 December 2016, replacing the 1997 agreement; it allowed railway undertakings established in Finland or elsewhere in the European Economic Area to operate Finland–Russia traffic on the Finnish network, while Russia’s network remained closed to EU operators. VR’s own 2016 annual report described freight traffic between the two countries as opened to competition at the end of that year, and a private joint venture announced plans to enter the market.</w:t>
      </w:r>
    </w:p>
    <w:p>
      <w:r>
        <w:t xml:space="preserve">The expected market effects are not visible in the evidence reviewed. A sample of Fintraffic’s open train data for 21 days between 2016 and 2021 found every timetabled train at the Finnish border points operated by VR, apart from two maintenance-machine runs; in April 2022 a terminal operator told the trade press that without VR, trains would not cross the border. International rail freight was somewhat higher in 2017–2021 (15.1–16.3 million tonnes a year) than in 2015 (12.7 million tonnes), but nothing reviewed links this to the opening, and prices were not assessed.</w:t>
      </w:r>
    </w:p>
    <w:p>
      <w:r>
        <w:t xml:space="preserve">Russia’s full-scale invasion of Ukraine then overturned the premise of growing EU–Russia rail trade. Passenger services ended in 2022 (international rail journeys fell from 639,000 in 2019 to zero in 2023–2025), VR began winding down its Russian freight, and international rail freight fell from 15.9 million tonnes in 2021 to 2.5 million tonnes in 2024 before recovering slightly to 3.3 million tonnes in 2025. Wagon counts show reduced but continuing eastern traffic through 2025, so rail freight across the border did not stop entirely. Reports about which crossings remained open after Finland closed its eastern border in late 2023, and about later Russian closures, could not be verified.</w:t>
      </w:r>
    </w:p>
    <w:p>
      <w:pPr>
        <w:spacing w:after="100"/>
      </w:pPr>
      <w:r>
        <w:rPr>
          <w:rFonts w:ascii="Calibri" w:cs="Calibri" w:eastAsia="Calibri" w:hAnsi="Calibri"/>
          <w:b/>
          <w:bCs/>
          <w:color w:val="1F3A5F"/>
          <w:sz w:val="20"/>
          <w:szCs w:val="20"/>
        </w:rPr>
        <w:t xml:space="preserve">Interpretation. </w:t>
      </w:r>
      <w:r>
        <w:t xml:space="preserve">The recommendation was enacted about five years after publication, but the competitive cross-border market it aimed at did not visibly develop, and the war has since transformed the question: the issue is no longer how to open the Finland–Russia rail market but whether traffic across that border continues at all. The earlier account’s verdict that the deregulation “didn’t happen” conflated the policy change with its later outcomes.</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Government of Finland (2016). Government Decree 1332/2016 bringing into force the Finland–Russia railway traffic agreement, and Government bill HE 181/2016 vp. </w:t>
      </w:r>
      <w:hyperlink w:history="1" r:id="rId-84qqzolfb83p2nilyat7">
        <w:r>
          <w:rPr>
            <w:rStyle w:val="Hyperlink"/>
            <w:sz w:val="19"/>
            <w:szCs w:val="19"/>
          </w:rPr>
          <w:t xml:space="preserve">https://www.finlex.fi</w:t>
        </w:r>
      </w:hyperlink>
      <w:r>
        <w:rPr>
          <w:sz w:val="19"/>
          <w:szCs w:val="19"/>
        </w:rPr>
        <w:t xml:space="preserve"> — entry into force 22 December 2016; access for railway undertakings established in Finland or the EEA. Decree read in full; bill read as web page. Direct evidence.</w:t>
      </w:r>
    </w:p>
    <w:p>
      <w:pPr>
        <w:spacing w:after="80"/>
        <w:ind w:left="360" w:hanging="360"/>
      </w:pPr>
      <w:r>
        <w:rPr>
          <w:sz w:val="19"/>
          <w:szCs w:val="19"/>
        </w:rPr>
        <w:t xml:space="preserve">VR Group (2017). </w:t>
      </w:r>
      <w:r>
        <w:rPr>
          <w:i/>
          <w:iCs/>
          <w:sz w:val="19"/>
          <w:szCs w:val="19"/>
        </w:rPr>
        <w:t xml:space="preserve">Annual Report 2016</w:t>
      </w:r>
      <w:r>
        <w:rPr>
          <w:sz w:val="19"/>
          <w:szCs w:val="19"/>
        </w:rPr>
        <w:t xml:space="preserve">, “Operating environment”. </w:t>
      </w:r>
      <w:hyperlink w:history="1" r:id="rId2rhbxrdmom7j0n9pba52p">
        <w:r>
          <w:rPr>
            <w:rStyle w:val="Hyperlink"/>
            <w:sz w:val="19"/>
            <w:szCs w:val="19"/>
          </w:rPr>
          <w:t xml:space="preserve">https://www.vrgroup.fi</w:t>
        </w:r>
      </w:hyperlink>
      <w:r>
        <w:rPr>
          <w:sz w:val="19"/>
          <w:szCs w:val="19"/>
        </w:rPr>
        <w:t xml:space="preserve"> — freight traffic between Finland and Russia opened to competition at the end of 2016; Russian traffic about 40% of freight on Finnish railways. Web page; direct evidence.</w:t>
      </w:r>
    </w:p>
    <w:p>
      <w:pPr>
        <w:spacing w:after="80"/>
        <w:ind w:left="360" w:hanging="360"/>
      </w:pPr>
      <w:r>
        <w:rPr>
          <w:sz w:val="19"/>
          <w:szCs w:val="19"/>
        </w:rPr>
        <w:t xml:space="preserve">Railway Gazette International (29 September 2016). </w:t>
      </w:r>
      <w:r>
        <w:rPr>
          <w:i/>
          <w:iCs/>
          <w:sz w:val="19"/>
          <w:szCs w:val="19"/>
        </w:rPr>
        <w:t xml:space="preserve">Operator aims to benefit from Finland–Russia freight liberalisation</w:t>
      </w:r>
      <w:r>
        <w:rPr>
          <w:sz w:val="19"/>
          <w:szCs w:val="19"/>
        </w:rPr>
        <w:t xml:space="preserve">. </w:t>
      </w:r>
      <w:hyperlink w:history="1" r:id="rId6vzxwxweuhzenkotdaogi">
        <w:r>
          <w:rPr>
            <w:rStyle w:val="Hyperlink"/>
            <w:sz w:val="19"/>
            <w:szCs w:val="19"/>
          </w:rPr>
          <w:t xml:space="preserve">https://www.railwaygazette.com</w:t>
        </w:r>
      </w:hyperlink>
      <w:r>
        <w:rPr>
          <w:sz w:val="19"/>
          <w:szCs w:val="19"/>
        </w:rPr>
        <w:t xml:space="preserve"> — planned market entry by a Nurminen Logistics joint venture. Web page; explanatory evidence (whether it ran cross-border trains not verified).</w:t>
      </w:r>
    </w:p>
    <w:p>
      <w:pPr>
        <w:spacing w:after="80"/>
        <w:ind w:left="360" w:hanging="360"/>
      </w:pPr>
      <w:r>
        <w:rPr>
          <w:sz w:val="19"/>
          <w:szCs w:val="19"/>
        </w:rPr>
        <w:t xml:space="preserve">Fintraffic, Digitraffic open railway data (queried 24 October 2026). </w:t>
      </w:r>
      <w:hyperlink w:history="1" r:id="rIdxbpnijrwq2aupxpg_0pz6">
        <w:r>
          <w:rPr>
            <w:rStyle w:val="Hyperlink"/>
            <w:sz w:val="19"/>
            <w:szCs w:val="19"/>
          </w:rPr>
          <w:t xml:space="preserve">https://rata.digitraffic.fi</w:t>
        </w:r>
      </w:hyperlink>
      <w:r>
        <w:rPr>
          <w:sz w:val="19"/>
          <w:szCs w:val="19"/>
        </w:rPr>
        <w:t xml:space="preserve"> — sample of 21 days, 2016–2021: all timetabled trains at the border points operated by VR. Dataset; direct evidence (sample, not full scan).</w:t>
      </w:r>
    </w:p>
    <w:p>
      <w:pPr>
        <w:spacing w:after="80"/>
        <w:ind w:left="360" w:hanging="360"/>
      </w:pPr>
      <w:r>
        <w:rPr>
          <w:sz w:val="19"/>
          <w:szCs w:val="19"/>
        </w:rPr>
        <w:t xml:space="preserve">RailFreight.com (21 April 2022). </w:t>
      </w:r>
      <w:r>
        <w:rPr>
          <w:i/>
          <w:iCs/>
          <w:sz w:val="19"/>
          <w:szCs w:val="19"/>
        </w:rPr>
        <w:t xml:space="preserve">Rail freight Finland–Russia: traffic to phase out gradually, private operators affected</w:t>
      </w:r>
      <w:r>
        <w:rPr>
          <w:sz w:val="19"/>
          <w:szCs w:val="19"/>
        </w:rPr>
        <w:t xml:space="preserve">. </w:t>
      </w:r>
      <w:hyperlink w:history="1" r:id="rId53h-kffelr_6gwio7ewbj">
        <w:r>
          <w:rPr>
            <w:rStyle w:val="Hyperlink"/>
            <w:sz w:val="19"/>
            <w:szCs w:val="19"/>
          </w:rPr>
          <w:t xml:space="preserve">https://www.railfreight.com</w:t>
        </w:r>
      </w:hyperlink>
      <w:r>
        <w:rPr>
          <w:sz w:val="19"/>
          <w:szCs w:val="19"/>
        </w:rPr>
        <w:t xml:space="preserve"> — VR contracts ending; other operators depended on VR to cross the border. Trade press; direct evidence on events.</w:t>
      </w:r>
    </w:p>
    <w:p>
      <w:pPr>
        <w:spacing w:after="80"/>
        <w:ind w:left="360" w:hanging="360"/>
      </w:pPr>
      <w:r>
        <w:rPr>
          <w:sz w:val="19"/>
          <w:szCs w:val="19"/>
        </w:rPr>
        <w:t xml:space="preserve">Statistics Finland (updated 28 August 2026). </w:t>
      </w:r>
      <w:r>
        <w:rPr>
          <w:i/>
          <w:iCs/>
          <w:sz w:val="19"/>
          <w:szCs w:val="19"/>
        </w:rPr>
        <w:t xml:space="preserve">Railway statistics</w:t>
      </w:r>
      <w:r>
        <w:rPr>
          <w:sz w:val="19"/>
          <w:szCs w:val="19"/>
        </w:rPr>
        <w:t xml:space="preserve">, StatFin tables 12m5, 12m6 and 12m8, 2007–2025. </w:t>
      </w:r>
      <w:hyperlink w:history="1" r:id="rIdzxvvcgawiaqtbxtwdyyit">
        <w:r>
          <w:rPr>
            <w:rStyle w:val="Hyperlink"/>
            <w:sz w:val="19"/>
            <w:szCs w:val="19"/>
          </w:rPr>
          <w:t xml:space="preserve">https://stat.fi/en/statistics/rtie</w:t>
        </w:r>
      </w:hyperlink>
      <w:r>
        <w:rPr>
          <w:sz w:val="19"/>
          <w:szCs w:val="19"/>
        </w:rPr>
        <w:t xml:space="preserve"> — international rail freight 15.9 Mt (2021), 7.1 Mt (2022), 2.5 Mt (2024), 3.3 Mt (2025); eastern-traffic wagons 630,241 (2021) and 101,174 (2025). Dataset; direct evidence.</w:t>
      </w:r>
    </w:p>
    <w:p>
      <w:pPr>
        <w:spacing w:after="100"/>
      </w:pPr>
      <w:r>
        <w:rPr>
          <w:rFonts w:ascii="Calibri" w:cs="Calibri" w:eastAsia="Calibri" w:hAnsi="Calibri"/>
          <w:b/>
          <w:bCs/>
          <w:color w:val="1F3A5F"/>
          <w:sz w:val="20"/>
          <w:szCs w:val="20"/>
        </w:rPr>
        <w:t xml:space="preserve">Evidence limitations. </w:t>
      </w:r>
      <w:r>
        <w:t xml:space="preserve">Only the abstract of the original was available, so the content of the three scenarios is unknown. Evidence on market entry rests on a sample of open train data and trade press, not on a full operator analysis; prices and sanctions provisions were not examined. The status of individual border crossings after late 2023 could not be verified. Publisher URLs are given at site level where article-level addresses were not recorded.</w:t>
      </w:r>
    </w:p>
    <w:p>
      <w:pPr>
        <w:spacing w:after="100"/>
      </w:pPr>
      <w:r>
        <w:rPr>
          <w:rFonts w:ascii="Calibri" w:cs="Calibri" w:eastAsia="Calibri" w:hAnsi="Calibri"/>
          <w:b/>
          <w:bCs/>
          <w:color w:val="1F3A5F"/>
          <w:sz w:val="20"/>
          <w:szCs w:val="20"/>
        </w:rPr>
        <w:t xml:space="preserve">Review status. </w:t>
      </w:r>
      <w:r>
        <w:t xml:space="preserve">Abstract-only assessment. Post-2023 border arrangements provisional.</w:t>
      </w:r>
    </w:p>
    <w:p>
      <w:pPr>
        <w:keepNext/>
        <w:spacing w:after="60" w:before="160"/>
      </w:pPr>
      <w:r>
        <w:rPr>
          <w:rFonts w:ascii="Calibri" w:cs="Calibri" w:eastAsia="Calibri" w:hAnsi="Calibri"/>
          <w:b/>
          <w:bCs/>
          <w:color w:val="1F3A5F"/>
          <w:spacing w:val="20"/>
          <w:sz w:val="17"/>
          <w:szCs w:val="17"/>
        </w:rPr>
        <w:t xml:space="preserve">EARLIER ACCOUNT 47 — PRESERVED VERBATIM</w:t>
      </w:r>
    </w:p>
    <w:p>
      <w:pPr>
        <w:pBdr>
          <w:left w:val="single" w:color="B8C2CC" w:sz="12" w:space="8"/>
        </w:pBdr>
        <w:shd w:fill="F2F4F6" w:color="auto" w:val="clear"/>
        <w:spacing w:after="60" w:before="40"/>
        <w:ind w:left="200" w:right="120"/>
      </w:pPr>
      <w:r>
        <w:rPr>
          <w:sz w:val="19"/>
          <w:szCs w:val="19"/>
        </w:rPr>
        <w:t xml:space="preserve">No, it didn’t happen. Passenger trains stopped in March 2022 and VR wound down cross-border freight by the end of 2022. Finland left only the Vainikkala crossing open from late 2023, and a later report says Russia shut its remaining rail crossings too, calling it temporary.</w:t>
      </w:r>
    </w:p>
    <w:p>
      <w:pPr>
        <w:pBdr>
          <w:left w:val="single" w:color="B8C2CC" w:sz="12" w:space="8"/>
        </w:pBdr>
        <w:shd w:fill="F2F4F6" w:color="auto" w:val="clear"/>
        <w:spacing w:after="140" w:before="0"/>
        <w:ind w:left="200" w:right="120"/>
      </w:pPr>
      <w:r>
        <w:rPr>
          <w:sz w:val="19"/>
          <w:szCs w:val="19"/>
        </w:rPr>
        <w:t xml:space="preserve">Additional references (as supplied; links may be missing): VR Group; and 3 more.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opening verdict is contradicted: the deregulation the paper recommended was enacted in December 2016. The passenger-service end in 2022 is consistent with official statistics (exact date not verified). Cross-border freight did not end in 2022: official statistics show 2.9–3.3 million tonnes a year in 2023–2025. The statements about Vainikkala and about Russian closures could not be verified, and the cited sources cannot be identified from the supplied labels.</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State that the deregulation was enacted (2016), that cross-border competition did not visibly develop, and that the war and sanctions then overturned the premise; </w:t>
      </w:r>
      <w:r>
        <w:rPr>
          <w:b/>
          <w:bCs/>
        </w:rPr>
        <w:t xml:space="preserve">flag for source verification</w:t>
      </w:r>
      <w:r>
        <w:t xml:space="preserve"> the 2023–2026 border-closure statements.</w:t>
      </w:r>
    </w:p>
    <w:p>
      <w:pPr>
        <w:pBdr>
          <w:bottom w:val="single" w:color="B8C2CC" w:sz="6" w:space="1"/>
        </w:pBdr>
        <w:spacing w:after="120"/>
      </w:pPr>
    </w:p>
    <w:p>
      <w:pPr>
        <w:pStyle w:val="Heading2"/>
      </w:pPr>
      <w:r>
        <w:t xml:space="preserve">Account 13 — Backcasting a low-emission Finland in 2050 (2012)</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21 (“Finland 2050 backcasting (2012)”).</w:t>
      </w:r>
    </w:p>
    <w:p>
      <w:pPr>
        <w:spacing w:after="100"/>
      </w:pPr>
      <w:r>
        <w:rPr>
          <w:rFonts w:ascii="Calibri" w:cs="Calibri" w:eastAsia="Calibri" w:hAnsi="Calibri"/>
          <w:b/>
          <w:bCs/>
          <w:color w:val="1F3A5F"/>
          <w:sz w:val="20"/>
          <w:szCs w:val="20"/>
        </w:rPr>
        <w:t xml:space="preserve">Original study. </w:t>
      </w:r>
      <w:r>
        <w:t xml:space="preserve">Heinonen, Sirkka &amp; Lauttamäki, Ville (2012). Backcasting scenarios for Finland 2050 of low emissions. </w:t>
      </w:r>
      <w:r>
        <w:rPr>
          <w:i/>
          <w:iCs/>
        </w:rPr>
        <w:t xml:space="preserve">foresight</w:t>
      </w:r>
      <w:r>
        <w:t xml:space="preserve"> 14(4), 304–315. Finland Futures Research Centre, University of Turku. </w:t>
      </w:r>
      <w:hyperlink w:history="1" r:id="rIdjdhmkcsooug991vzkjiqy">
        <w:r>
          <w:rPr>
            <w:rStyle w:val="Hyperlink"/>
          </w:rPr>
          <w:t xml:space="preserve">https://doi.org/10.1108/14636681211256099</w:t>
        </w:r>
      </w:hyperlink>
      <w:r>
        <w:t xml:space="preserve"> (paywalled; structured abstract and reference list used).</w:t>
      </w:r>
    </w:p>
    <w:p>
      <w:pPr>
        <w:spacing w:after="100"/>
      </w:pPr>
      <w:r>
        <w:rPr>
          <w:rFonts w:ascii="Calibri" w:cs="Calibri" w:eastAsia="Calibri" w:hAnsi="Calibri"/>
          <w:b/>
          <w:bCs/>
          <w:color w:val="1F3A5F"/>
          <w:sz w:val="20"/>
          <w:szCs w:val="20"/>
        </w:rPr>
        <w:t xml:space="preserve">Original future claim. </w:t>
      </w:r>
      <w:r>
        <w:t xml:space="preserve">The catalogued excerpt (HISTORICAL-CLAIMS record 465) is a methodological caveat from the abstract — future development could be viewed only through qualitative arguments — and the paper’s stated purpose of showing how backcasting can assist policy. The substantive future content is the target state from which the exercise backcast: the Finnish Government’s 2009 foresight report on climate and energy policy, which committed to cutting emissions by at least 80% from 1990 levels by 2050 and presented four illustrative scenarios built on large efficiency gains, lower energy use, low-carbon technology and more renewables (paraphrased from the government report and parliamentary committee statements, not from the 2012 paper itself).</w:t>
      </w:r>
    </w:p>
    <w:p>
      <w:pPr>
        <w:spacing w:after="100"/>
      </w:pPr>
      <w:r>
        <w:rPr>
          <w:rFonts w:ascii="Calibri" w:cs="Calibri" w:eastAsia="Calibri" w:hAnsi="Calibri"/>
          <w:b/>
          <w:bCs/>
          <w:color w:val="1F3A5F"/>
          <w:sz w:val="20"/>
          <w:szCs w:val="20"/>
        </w:rPr>
        <w:t xml:space="preserve">What was envisioned. </w:t>
      </w:r>
      <w:r>
        <w:t xml:space="preserve">A Finland whose national emissions fall by at least four-fifths by 2050 through transformation of its energy and economic system, reached by pathways that expert panels described qualitatively from the end point backwards. Parliamentary committees at the time noted that the report treated forests thinly; one warned that forest soils could turn from a carbon sink into a source.</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Emissions outside the land sector have fallen roughly as a −80% trajectory would require. Statistics Finland’s series shows 71.8 million tonnes CO₂-equivalent in 1990, 62.4 million in 2012 and 39.3 million in 2024; instant preliminary data put 2025 at 36.5 million tonnes, 49% below 1990 — close to, or slightly ahead of, a straight-line path to −80% in 2050. The main reductions came from electricity and heat, as coal and peat gave way to nuclear and wind power. Policy ambition rose: the Climate Change Act in force since July 2022 requires carbon neutrality by 2035 and emission cuts of 60% by 2030, 80% by 2040 and at least 90% by 2050.</w:t>
      </w:r>
    </w:p>
    <w:p>
      <w:r>
        <w:t xml:space="preserve">The land sector took an unexpected path. In 2012 the LULUCF sector removed about 32 million tonnes net; in the current revised series it was a net source in 2018 and in every year from 2021 to 2025 (about 9.4–9.8 million tonnes in 2024–2025). The forest-land sink shrank from about 43 million tonnes in 2012 to almost nothing in 2024, and preliminary data show forest land as a small net source in 2025. Official analyses attribute the change to heavier harvesting, slower tree growth and rising soil emissions. The government’s 2025 annual climate report expects Finland to miss its EU land-sector obligations for 2021–2025 by about 110–115 million tonnes before flexibilities, and the Finnish Climate Change Panel identifies increased logging as the main cause of the lost sink.</w:t>
      </w:r>
    </w:p>
    <w:p>
      <w:r>
        <w:t xml:space="preserve">Because the 2035 neutrality target counts removals, the forest sink became central to Finnish climate policy just as it collapsed. The figures themselves have been revised repeatedly: the year in which forest land first turned into a net source has moved between inventory releases, which is why the earlier account’s dates no longer match the current series.</w:t>
      </w:r>
    </w:p>
    <w:p>
      <w:pPr>
        <w:spacing w:after="100"/>
      </w:pPr>
      <w:r>
        <w:rPr>
          <w:rFonts w:ascii="Calibri" w:cs="Calibri" w:eastAsia="Calibri" w:hAnsi="Calibri"/>
          <w:b/>
          <w:bCs/>
          <w:color w:val="1F3A5F"/>
          <w:sz w:val="20"/>
          <w:szCs w:val="20"/>
        </w:rPr>
        <w:t xml:space="preserve">Interpretation. </w:t>
      </w:r>
      <w:r>
        <w:t xml:space="preserve">Partly along the envisioned pathway, then reframed. Energy-system decarbonisation has progressed about as the 2050 target required, but the policy goal shifted from emission cuts to net neutrality, making the forest sink decisive at the moment it disappeared — a development the 2009–2012 framework under-examined. The 2050 horizon remains open.</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Statistics Finland (updated 22 May 2026). </w:t>
      </w:r>
      <w:r>
        <w:rPr>
          <w:i/>
          <w:iCs/>
          <w:sz w:val="19"/>
          <w:szCs w:val="19"/>
        </w:rPr>
        <w:t xml:space="preserve">Greenhouse gas emissions in Finland 1990–2025</w:t>
      </w:r>
      <w:r>
        <w:rPr>
          <w:sz w:val="19"/>
          <w:szCs w:val="19"/>
        </w:rPr>
        <w:t xml:space="preserve">, StatFin table 138v (1990–2024 official data released 13 March 2026; 2025 instant preliminary). </w:t>
      </w:r>
      <w:hyperlink w:history="1" r:id="rIdzdtgshvf6xfi7g8ee7xg_">
        <w:r>
          <w:rPr>
            <w:rStyle w:val="Hyperlink"/>
            <w:sz w:val="19"/>
            <w:szCs w:val="19"/>
          </w:rPr>
          <w:t xml:space="preserve">https://stat.fi/en/statistics/khki</w:t>
        </w:r>
      </w:hyperlink>
      <w:r>
        <w:rPr>
          <w:sz w:val="19"/>
          <w:szCs w:val="19"/>
        </w:rPr>
        <w:t xml:space="preserve"> — emissions excluding LULUCF 71.8 Mt (1990), 39.3 Mt (2024), 36.5 Mt (2025); LULUCF net −32.2 Mt (2012), +9.8 Mt (2024), +9.4 Mt (2025); forest land −43.5 Mt (2012), −0.1 Mt (2024), +1.3 Mt (2025). Dataset; direct evidence.</w:t>
      </w:r>
    </w:p>
    <w:p>
      <w:pPr>
        <w:spacing w:after="80"/>
        <w:ind w:left="360" w:hanging="360"/>
      </w:pPr>
      <w:r>
        <w:rPr>
          <w:sz w:val="19"/>
          <w:szCs w:val="19"/>
        </w:rPr>
        <w:t xml:space="preserve">Statistics Finland (22 May 2026). </w:t>
      </w:r>
      <w:r>
        <w:rPr>
          <w:i/>
          <w:iCs/>
          <w:sz w:val="19"/>
          <w:szCs w:val="19"/>
        </w:rPr>
        <w:t xml:space="preserve">Greenhouse gases 2025</w:t>
      </w:r>
      <w:r>
        <w:rPr>
          <w:sz w:val="19"/>
          <w:szCs w:val="19"/>
        </w:rPr>
        <w:t xml:space="preserve"> (instant preliminary release). </w:t>
      </w:r>
      <w:hyperlink w:history="1" r:id="rIdiok4ahxfnodgdt4qbqdhw">
        <w:r>
          <w:rPr>
            <w:rStyle w:val="Hyperlink"/>
            <w:sz w:val="19"/>
            <w:szCs w:val="19"/>
          </w:rPr>
          <w:t xml:space="preserve">https://stat.fi/en/publication/cmg0dqrnn5sz007t73i2bqrnl</w:t>
        </w:r>
      </w:hyperlink>
      <w:r>
        <w:rPr>
          <w:sz w:val="19"/>
          <w:szCs w:val="19"/>
        </w:rPr>
        <w:t xml:space="preserve"> — 2025 emissions 36.5 Mt, −7% on 2024 and −49% on 1990; LULUCF a net source of 9.4 Mt; forest land a net source of 1.3 Mt. Web page; direct evidence.</w:t>
      </w:r>
    </w:p>
    <w:p>
      <w:pPr>
        <w:spacing w:after="80"/>
        <w:ind w:left="360" w:hanging="360"/>
      </w:pPr>
      <w:r>
        <w:rPr>
          <w:sz w:val="19"/>
          <w:szCs w:val="19"/>
        </w:rPr>
        <w:t xml:space="preserve">Natural Resources Institute Finland (Luke) (15 January 2025). </w:t>
      </w:r>
      <w:r>
        <w:rPr>
          <w:i/>
          <w:iCs/>
          <w:sz w:val="19"/>
          <w:szCs w:val="19"/>
        </w:rPr>
        <w:t xml:space="preserve">Preliminary greenhouse gas inventory results for 2023</w:t>
      </w:r>
      <w:r>
        <w:rPr>
          <w:sz w:val="19"/>
          <w:szCs w:val="19"/>
        </w:rPr>
        <w:t xml:space="preserve">. </w:t>
      </w:r>
      <w:hyperlink w:history="1" r:id="rId_o6r6g47bv2akjxvrani7">
        <w:r>
          <w:rPr>
            <w:rStyle w:val="Hyperlink"/>
            <w:sz w:val="19"/>
            <w:szCs w:val="19"/>
          </w:rPr>
          <w:t xml:space="preserve">https://www.luke.fi/en</w:t>
        </w:r>
      </w:hyperlink>
      <w:r>
        <w:rPr>
          <w:sz w:val="19"/>
          <w:szCs w:val="19"/>
        </w:rPr>
        <w:t xml:space="preserve"> — about 90% of tree growth now lost to harvest and natural drain, against slightly over 70% in the early 2010s; rising forest-soil emissions; large methodological revisions. Web page; explanatory evidence.</w:t>
      </w:r>
    </w:p>
    <w:p>
      <w:pPr>
        <w:spacing w:after="80"/>
        <w:ind w:left="360" w:hanging="360"/>
      </w:pPr>
      <w:r>
        <w:rPr>
          <w:sz w:val="19"/>
          <w:szCs w:val="19"/>
        </w:rPr>
        <w:t xml:space="preserve">Finnish Government (27 June 2025). </w:t>
      </w:r>
      <w:r>
        <w:rPr>
          <w:i/>
          <w:iCs/>
          <w:sz w:val="19"/>
          <w:szCs w:val="19"/>
        </w:rPr>
        <w:t xml:space="preserve">Annual Climate Report 2025</w:t>
      </w:r>
      <w:r>
        <w:rPr>
          <w:sz w:val="19"/>
          <w:szCs w:val="19"/>
        </w:rPr>
        <w:t xml:space="preserve"> (K 16/2025 vp). </w:t>
      </w:r>
      <w:hyperlink w:history="1" r:id="rIdykpugckb-0qan1fw1hzuf">
        <w:r>
          <w:rPr>
            <w:rStyle w:val="Hyperlink"/>
            <w:sz w:val="19"/>
            <w:szCs w:val="19"/>
          </w:rPr>
          <w:t xml:space="preserve">https://www.eduskunta.fi</w:t>
        </w:r>
      </w:hyperlink>
      <w:r>
        <w:rPr>
          <w:sz w:val="19"/>
          <w:szCs w:val="19"/>
        </w:rPr>
        <w:t xml:space="preserve"> — EU LULUCF obligations for 2021–2025 likely to be missed; deficit 110–115 Mt CO₂e (83–88 Mt with flexibilities). Web page; direct evidence (official assessment).</w:t>
      </w:r>
    </w:p>
    <w:p>
      <w:pPr>
        <w:spacing w:after="80"/>
        <w:ind w:left="360" w:hanging="360"/>
      </w:pPr>
      <w:r>
        <w:rPr>
          <w:sz w:val="19"/>
          <w:szCs w:val="19"/>
        </w:rPr>
        <w:t xml:space="preserve">Finnish Climate Change Panel (17 April 2025). Memorandum and Report 1/2025 press release. </w:t>
      </w:r>
      <w:hyperlink w:history="1" r:id="rIdtewywh-rvnkbkdtxlmflb">
        <w:r>
          <w:rPr>
            <w:rStyle w:val="Hyperlink"/>
            <w:sz w:val="19"/>
            <w:szCs w:val="19"/>
          </w:rPr>
          <w:t xml:space="preserve">https://www.ilmastopaneeli.fi</w:t>
        </w:r>
      </w:hyperlink>
      <w:r>
        <w:rPr>
          <w:sz w:val="19"/>
          <w:szCs w:val="19"/>
        </w:rPr>
        <w:t xml:space="preserve"> — increased logging the main cause of the lost forest sink; neutrality in 2035 still possible if harvests stay well below 70 million m³. Web page; explanatory evidence and later foresight.</w:t>
      </w:r>
    </w:p>
    <w:p>
      <w:pPr>
        <w:spacing w:after="80"/>
        <w:ind w:left="360" w:hanging="360"/>
      </w:pPr>
      <w:r>
        <w:rPr>
          <w:sz w:val="19"/>
          <w:szCs w:val="19"/>
        </w:rPr>
        <w:t xml:space="preserve">Ministry of Economic Affairs and Employment (2022). </w:t>
      </w:r>
      <w:r>
        <w:rPr>
          <w:i/>
          <w:iCs/>
          <w:sz w:val="19"/>
          <w:szCs w:val="19"/>
        </w:rPr>
        <w:t xml:space="preserve">Carbon neutral Finland 2035 – national climate and energy strategy</w:t>
      </w:r>
      <w:r>
        <w:rPr>
          <w:sz w:val="19"/>
          <w:szCs w:val="19"/>
        </w:rPr>
        <w:t xml:space="preserve">. Publications 2022:55. </w:t>
      </w:r>
      <w:hyperlink w:history="1" r:id="rIdsoyzblpy-0x6mkkfobbyx">
        <w:r>
          <w:rPr>
            <w:rStyle w:val="Hyperlink"/>
            <w:sz w:val="19"/>
            <w:szCs w:val="19"/>
          </w:rPr>
          <w:t xml:space="preserve">https://urn.fi/URN:ISBN:978-952-327-843-2</w:t>
        </w:r>
      </w:hyperlink>
      <w:r>
        <w:rPr>
          <w:sz w:val="19"/>
          <w:szCs w:val="19"/>
        </w:rPr>
        <w:t xml:space="preserve"> — Climate Change Act targets (neutrality 2035; −60% 2030, −80% 2040, at least −90% 2050). Relevant section read; reframing evidence.</w:t>
      </w:r>
    </w:p>
    <w:p>
      <w:pPr>
        <w:spacing w:after="100"/>
      </w:pPr>
      <w:r>
        <w:rPr>
          <w:rFonts w:ascii="Calibri" w:cs="Calibri" w:eastAsia="Calibri" w:hAnsi="Calibri"/>
          <w:b/>
          <w:bCs/>
          <w:color w:val="1F3A5F"/>
          <w:sz w:val="20"/>
          <w:szCs w:val="20"/>
        </w:rPr>
        <w:t xml:space="preserve">Evidence limitations. </w:t>
      </w:r>
      <w:r>
        <w:t xml:space="preserve">Neither the 2012 article nor its underlying 2010 scenario report could be read, so the scenario names, energy mixes and treatment of carbon sinks are unverified; the target state was reconstructed from the 2009 government report as described in parliamentary documents. Land-sector figures are revised substantially between inventory releases, and 2025 figures are preliminary. Some institutional sources are cited at site level where the specific page address was not recorded; the strategy URN should be checked before integration.</w:t>
      </w:r>
    </w:p>
    <w:p>
      <w:pPr>
        <w:spacing w:after="100"/>
      </w:pPr>
      <w:r>
        <w:rPr>
          <w:rFonts w:ascii="Calibri" w:cs="Calibri" w:eastAsia="Calibri" w:hAnsi="Calibri"/>
          <w:b/>
          <w:bCs/>
          <w:color w:val="1F3A5F"/>
          <w:sz w:val="20"/>
          <w:szCs w:val="20"/>
        </w:rPr>
        <w:t xml:space="preserve">Review status. </w:t>
      </w:r>
      <w:r>
        <w:t xml:space="preserve">Abstract-only assessment. Later statistical and official evidence verified.</w:t>
      </w:r>
    </w:p>
    <w:p>
      <w:pPr>
        <w:keepNext/>
        <w:spacing w:after="60" w:before="160"/>
      </w:pPr>
      <w:r>
        <w:rPr>
          <w:rFonts w:ascii="Calibri" w:cs="Calibri" w:eastAsia="Calibri" w:hAnsi="Calibri"/>
          <w:b/>
          <w:bCs/>
          <w:color w:val="1F3A5F"/>
          <w:spacing w:val="20"/>
          <w:sz w:val="17"/>
          <w:szCs w:val="17"/>
        </w:rPr>
        <w:t xml:space="preserve">EARLIER ACCOUNT 21 — PRESERVED VERBATIM</w:t>
      </w:r>
    </w:p>
    <w:p>
      <w:pPr>
        <w:pBdr>
          <w:left w:val="single" w:color="B8C2CC" w:sz="12" w:space="8"/>
        </w:pBdr>
        <w:shd w:fill="F2F4F6" w:color="auto" w:val="clear"/>
        <w:spacing w:after="60" w:before="40"/>
        <w:ind w:left="200" w:right="120"/>
      </w:pPr>
      <w:r>
        <w:rPr>
          <w:sz w:val="19"/>
          <w:szCs w:val="19"/>
        </w:rPr>
        <w:t xml:space="preserve">Partly. A 2022 Climate Act set carbon neutrality for 2035. Emissions outside land use fell 6% in 2024, but the land-use sector has been a net source since 2018 and forests since 2021, and the government says obligations will be missed without major action there.</w:t>
      </w:r>
    </w:p>
    <w:p>
      <w:pPr>
        <w:pBdr>
          <w:left w:val="single" w:color="B8C2CC" w:sz="12" w:space="8"/>
        </w:pBdr>
        <w:shd w:fill="F2F4F6" w:color="auto" w:val="clear"/>
        <w:spacing w:after="140" w:before="0"/>
        <w:ind w:left="200" w:right="120"/>
      </w:pPr>
      <w:r>
        <w:rPr>
          <w:sz w:val="19"/>
          <w:szCs w:val="19"/>
        </w:rPr>
        <w:t xml:space="preserve">Additional references (as supplied; links may be missing): treasuryfinland; valtioneuvosto.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Climate Act statement and the government’s warning are verified. The 6% fall for 2024 was a preliminary figure later revised to about 5%. In the current revised series the land-use sector was a net sink in 2019 and 2020, so “since 2018” is inaccurate, and forest land was a small net sink in 2021–2024, turning into a source only in the 2025 preliminary data; the earlier wording reflects an older inventory version. The account also does not explain that the paper itself is a methodological case study of a −80%-by-2050 backcasting exercise.</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the land-sector years and the 2024 percentage, note the instability of inventory revisions, and </w:t>
      </w:r>
      <w:r>
        <w:rPr>
          <w:b/>
          <w:bCs/>
        </w:rPr>
        <w:t xml:space="preserve">strengthen with new evidence</w:t>
      </w:r>
      <w:r>
        <w:t xml:space="preserve"> (2025 data, the size of the LULUCF deficit, and the Climate Panel’s attribution to logging).</w:t>
      </w:r>
    </w:p>
    <w:p>
      <w:r>
        <w:br w:type="page"/>
      </w:r>
    </w:p>
    <w:p>
      <w:pPr>
        <w:pStyle w:val="Heading1"/>
      </w:pPr>
      <w:r>
        <w:t xml:space="preserve">Obesity projections</w:t>
      </w:r>
    </w:p>
    <w:p>
      <w:r>
        <w:t xml:space="preserve">Two applications of the UK Foresight obesity model projected steep rises in obesity and its costs. Measured data show continued but much slower growth, and new treatments have changed the policy landscape.</w:t>
      </w:r>
    </w:p>
    <w:p>
      <w:pPr>
        <w:pStyle w:val="Heading2"/>
      </w:pPr>
      <w:r>
        <w:t xml:space="preserve">Account 14 — Foresight Tackling Obesities: UK projections to 2050 (2011)</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54 (“Foresight tackling obesities (2011)”).</w:t>
      </w:r>
    </w:p>
    <w:p>
      <w:pPr>
        <w:spacing w:after="100"/>
      </w:pPr>
      <w:r>
        <w:rPr>
          <w:rFonts w:ascii="Calibri" w:cs="Calibri" w:eastAsia="Calibri" w:hAnsi="Calibri"/>
          <w:b/>
          <w:bCs/>
          <w:color w:val="1F3A5F"/>
          <w:sz w:val="20"/>
          <w:szCs w:val="20"/>
        </w:rPr>
        <w:t xml:space="preserve">Original study. </w:t>
      </w:r>
      <w:r>
        <w:t xml:space="preserve">McPherson, Klim (2011). O4-2.1 Foresight tackling obesities: future choices. </w:t>
      </w:r>
      <w:r>
        <w:rPr>
          <w:i/>
          <w:iCs/>
        </w:rPr>
        <w:t xml:space="preserve">Journal of Epidemiology &amp; Community Health</w:t>
      </w:r>
      <w:r>
        <w:t xml:space="preserve"> 65(Suppl 1), A41 (conference abstract). University of Oxford. </w:t>
      </w:r>
      <w:hyperlink w:history="1" r:id="rIdpj-rehcnsvhwk_bydblma">
        <w:r>
          <w:rPr>
            <w:rStyle w:val="Hyperlink"/>
          </w:rPr>
          <w:t xml:space="preserve">https://doi.org/10.1136/jech.2011.142976b.14</w:t>
        </w:r>
      </w:hyperlink>
      <w:r>
        <w:t xml:space="preserve"> (abstract read in full via publisher-deposited metadata; the projections it summarises were read in the 2007 Foresight Project and Modelling Reports).</w:t>
      </w:r>
    </w:p>
    <w:p>
      <w:pPr>
        <w:spacing w:after="100"/>
      </w:pPr>
      <w:r>
        <w:rPr>
          <w:rFonts w:ascii="Calibri" w:cs="Calibri" w:eastAsia="Calibri" w:hAnsi="Calibri"/>
          <w:b/>
          <w:bCs/>
          <w:color w:val="1F3A5F"/>
          <w:sz w:val="20"/>
          <w:szCs w:val="20"/>
        </w:rPr>
        <w:t xml:space="preserve">Original future claim. </w:t>
      </w:r>
      <w:r>
        <w:t xml:space="preserve">Key phrase (abstract): “Given these predictions up to 2050, we built a micro simulation”. Paraphrase: Health Survey for England BMI distributions were extrapolated and fed into a microsimulation of the UK population to 2050 under business-as-usual and policy options. The abstract gives no figures; the underlying Foresight reports (2007) projected that, on 1993–2004 trends, 36% of men and 28% of women aged 21–60 would be obese by 2015, 47% and 36% by 2025, and 60% and 50% by 2050, with about a quarter of under-20s obese by 2050; experts consulted expected obesity to keep rising in all four of the project’s societal scenarios without further action. Catalogue excerpt: HISTORICAL-CLAIMS record 498 (a methods passage).</w:t>
      </w:r>
    </w:p>
    <w:p>
      <w:pPr>
        <w:spacing w:after="100"/>
      </w:pPr>
      <w:r>
        <w:rPr>
          <w:rFonts w:ascii="Calibri" w:cs="Calibri" w:eastAsia="Calibri" w:hAnsi="Calibri"/>
          <w:b/>
          <w:bCs/>
          <w:color w:val="1F3A5F"/>
          <w:sz w:val="20"/>
          <w:szCs w:val="20"/>
        </w:rPr>
        <w:t xml:space="preserve">What was envisioned. </w:t>
      </w:r>
      <w:r>
        <w:t xml:space="preserve">A near-linear continuation of the steep rise in obesity seen in England since the early 1990s, with men overtaking women, rising disease burdens and NHS costs of about £10 billion a year by 2050 — presented as a conditional business-as-usual trajectory against which policy options could be tested.</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Measured survey data show adult obesity in England still rising, but far more slowly than extrapolated. According to the Health Survey for England, obesity among adults aged 16 and over rose rapidly from 15% in 1993 to 25% in 2008 and more slowly afterwards, reaching 30% in 2024 (men 29%, women 31%). These figures cover a wider age band than the projections, but even the highest-prevalence age groups (35–36% at ages 55–74) are well below the 47% projected for men by 2025, and the expected overtaking of women by men has not happened. NCD-RisC estimates published through WHO in 2026 put age-standardised adult obesity in the UK at about 27% in 2024 and describe a slowdown and plateau of the adult rise across high-income western countries.</w:t>
      </w:r>
    </w:p>
    <w:p>
      <w:r>
        <w:t xml:space="preserve">Later modelling re-fitted to post-2000 data produced much flatter paths. Cobiac and Scarborough (2021) contrast the Foresight figures for 2025 with a re-estimate of about 34% for men and women combined and with their own estimates of 27–32%. Among children, the National Child Measurement Programme shows obesity in Year 6 rising slowly from 17.5% in 2006/07 to 22.2% in 2024/25, and Reception-age obesity at around 9–10% (10.5% in 2024/25); these clinical measures are not directly comparable with the Foresight projections for under-20s.</w:t>
      </w:r>
    </w:p>
    <w:p>
      <w:r>
        <w:t xml:space="preserve">Policy moved in directions the 2007 framing only partly anticipated. The Soft Drinks Industry Levy, implemented in 2018, was associated with lower obesity among Year 6 girls but not among boys or younger children. Drug treatment, for which the 2007 report saw no strong candidates (although one scenario imagined effective weight-gain medication for the well-off), entered NHS practice with NICE recommendations for semaglutide in 2023 and tirzepatide in December 2024; for tirzepatide NICE estimates 3.4 million eligible people in England, with at least 220,000 to be funded in the first three years. Effects on population prevalence are not yet visible in survey data.</w:t>
      </w:r>
    </w:p>
    <w:p>
      <w:pPr>
        <w:spacing w:after="100"/>
      </w:pPr>
      <w:r>
        <w:rPr>
          <w:rFonts w:ascii="Calibri" w:cs="Calibri" w:eastAsia="Calibri" w:hAnsi="Calibri"/>
          <w:b/>
          <w:bCs/>
          <w:color w:val="1F3A5F"/>
          <w:sz w:val="20"/>
          <w:szCs w:val="20"/>
        </w:rPr>
        <w:t xml:space="preserve">Interpretation. </w:t>
      </w:r>
      <w:r>
        <w:t xml:space="preserve">The direction held — adult obesity did not reverse and remains high — but the pace did not: the 2015 milestone was missed by a wide margin and the latest measurements are far below the levels projected for 2025. The main reason is that the steep 1993–2004 trend flattened from the late 2000s, not that the policy-scenario logic failed. The 2050 horizon remains open, with GLP-1 drugs as a development the original framing did not seriously consider.</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Butland, B. et al. (2007). </w:t>
      </w:r>
      <w:r>
        <w:rPr>
          <w:i/>
          <w:iCs/>
          <w:sz w:val="19"/>
          <w:szCs w:val="19"/>
        </w:rPr>
        <w:t xml:space="preserve">Tackling Obesities: Future Choices – Project Report</w:t>
      </w:r>
      <w:r>
        <w:rPr>
          <w:sz w:val="19"/>
          <w:szCs w:val="19"/>
        </w:rPr>
        <w:t xml:space="preserve"> (2nd ed.), and McPherson, K., Marsh, T. &amp; Brown, M. (2007). </w:t>
      </w:r>
      <w:r>
        <w:rPr>
          <w:i/>
          <w:iCs/>
          <w:sz w:val="19"/>
          <w:szCs w:val="19"/>
        </w:rPr>
        <w:t xml:space="preserve">Tackling Obesities: Future Choices – Modelling Future Trends in Obesity and Their Impact on Health</w:t>
      </w:r>
      <w:r>
        <w:rPr>
          <w:sz w:val="19"/>
          <w:szCs w:val="19"/>
        </w:rPr>
        <w:t xml:space="preserve"> (2nd ed.). Government Office for Science. </w:t>
      </w:r>
      <w:hyperlink w:history="1" r:id="rIdtcjvlydgo9lklkwjuboym">
        <w:r>
          <w:rPr>
            <w:rStyle w:val="Hyperlink"/>
            <w:sz w:val="19"/>
            <w:szCs w:val="19"/>
          </w:rPr>
          <w:t xml:space="preserve">https://assets.publishing.service.gov.uk/government/uploads/system/uploads/attachment_data/file/287937/07-1184x-tackling-obesities-future-choices-report.pdf</w:t>
        </w:r>
      </w:hyperlink>
      <w:r>
        <w:rPr>
          <w:sz w:val="19"/>
          <w:szCs w:val="19"/>
        </w:rPr>
        <w:t xml:space="preserve"> — projected obesity of 36%/28% (2015), 47%/36% (2025) and 60%/50% (2050) for men/women aged 21–60. Full text read; context for the 2011 abstract (published before it).</w:t>
      </w:r>
    </w:p>
    <w:p>
      <w:pPr>
        <w:spacing w:after="80"/>
        <w:ind w:left="360" w:hanging="360"/>
      </w:pPr>
      <w:r>
        <w:rPr>
          <w:sz w:val="19"/>
          <w:szCs w:val="19"/>
        </w:rPr>
        <w:t xml:space="preserve">NHS England Digital (27 January 2026). </w:t>
      </w:r>
      <w:r>
        <w:rPr>
          <w:i/>
          <w:iCs/>
          <w:sz w:val="19"/>
          <w:szCs w:val="19"/>
        </w:rPr>
        <w:t xml:space="preserve">Health Survey for England 2024: Adults’ overweight and obesity</w:t>
      </w:r>
      <w:r>
        <w:rPr>
          <w:sz w:val="19"/>
          <w:szCs w:val="19"/>
        </w:rPr>
        <w:t xml:space="preserve">. </w:t>
      </w:r>
      <w:hyperlink w:history="1" r:id="rIdkodlbz1d87dkgqu2fq43d">
        <w:r>
          <w:rPr>
            <w:rStyle w:val="Hyperlink"/>
            <w:sz w:val="19"/>
            <w:szCs w:val="19"/>
          </w:rPr>
          <w:t xml:space="preserve">https://digital.nhs.uk/data-and-information/publications/statistical/health-survey-for-england/2024</w:t>
        </w:r>
      </w:hyperlink>
      <w:r>
        <w:rPr>
          <w:sz w:val="19"/>
          <w:szCs w:val="19"/>
        </w:rPr>
        <w:t xml:space="preserve"> — adult obesity 15% (1993), 25% (2008), 30% (2024); men 29%, women 31%. Web page (read via a mirror); direct evidence.</w:t>
      </w:r>
    </w:p>
    <w:p>
      <w:pPr>
        <w:spacing w:after="80"/>
        <w:ind w:left="360" w:hanging="360"/>
      </w:pPr>
      <w:r>
        <w:rPr>
          <w:sz w:val="19"/>
          <w:szCs w:val="19"/>
        </w:rPr>
        <w:t xml:space="preserve">Cobiac, L. J. &amp; Scarborough, P. (2021). Modelling future trajectories of obesity and body mass index in England. </w:t>
      </w:r>
      <w:r>
        <w:rPr>
          <w:i/>
          <w:iCs/>
          <w:sz w:val="19"/>
          <w:szCs w:val="19"/>
        </w:rPr>
        <w:t xml:space="preserve">PLOS ONE</w:t>
      </w:r>
      <w:r>
        <w:rPr>
          <w:sz w:val="19"/>
          <w:szCs w:val="19"/>
        </w:rPr>
        <w:t xml:space="preserve"> 16(6), e0252072. </w:t>
      </w:r>
      <w:hyperlink w:history="1" r:id="rIdiz9monqwfunwzvnenbpbm">
        <w:r>
          <w:rPr>
            <w:rStyle w:val="Hyperlink"/>
            <w:sz w:val="19"/>
            <w:szCs w:val="19"/>
          </w:rPr>
          <w:t xml:space="preserve">https://doi.org/10.1371/journal.pone.0252072</w:t>
        </w:r>
      </w:hyperlink>
      <w:r>
        <w:rPr>
          <w:sz w:val="19"/>
          <w:szCs w:val="19"/>
        </w:rPr>
        <w:t xml:space="preserve"> — post-2000 data imply flatter trajectories; Foresight 2025 figures exceed both of the authors’ scenarios. Full text read; reframing and later foresight (source of the earlier account’s “flatter path” statement).</w:t>
      </w:r>
    </w:p>
    <w:p>
      <w:pPr>
        <w:spacing w:after="80"/>
        <w:ind w:left="360" w:hanging="360"/>
      </w:pPr>
      <w:r>
        <w:rPr>
          <w:sz w:val="19"/>
          <w:szCs w:val="19"/>
        </w:rPr>
        <w:t xml:space="preserve">NCD Risk Factor Collaboration (2026). Obesity rise plateaus in developed nations and accelerates in developing nations. </w:t>
      </w:r>
      <w:r>
        <w:rPr>
          <w:i/>
          <w:iCs/>
          <w:sz w:val="19"/>
          <w:szCs w:val="19"/>
        </w:rPr>
        <w:t xml:space="preserve">Nature</w:t>
      </w:r>
      <w:r>
        <w:rPr>
          <w:sz w:val="19"/>
          <w:szCs w:val="19"/>
        </w:rPr>
        <w:t xml:space="preserve"> 653, 510–518. </w:t>
      </w:r>
      <w:hyperlink w:history="1" r:id="rIdt0vu-j04adcc_m69jmcgx">
        <w:r>
          <w:rPr>
            <w:rStyle w:val="Hyperlink"/>
            <w:sz w:val="19"/>
            <w:szCs w:val="19"/>
          </w:rPr>
          <w:t xml:space="preserve">https://doi.org/10.1038/s41586-026-10383-0</w:t>
        </w:r>
      </w:hyperlink>
      <w:r>
        <w:rPr>
          <w:sz w:val="19"/>
          <w:szCs w:val="19"/>
        </w:rPr>
        <w:t xml:space="preserve">;</w:t>
      </w:r>
      <w:r>
        <w:rPr>
          <w:sz w:val="19"/>
          <w:szCs w:val="19"/>
        </w:rPr>
        <w:t xml:space="preserve"> estimates via WHO Global Health Observatory (indicator NCD_BMI_30A, accessed October 2026) — UK age-standardised adult obesity about 27% in 2024; plateau in high-income western countries. Abstract and dataset; direct (model-based) and explanatory evidence.</w:t>
      </w:r>
    </w:p>
    <w:p>
      <w:pPr>
        <w:spacing w:after="80"/>
        <w:ind w:left="360" w:hanging="360"/>
      </w:pPr>
      <w:r>
        <w:rPr>
          <w:sz w:val="19"/>
          <w:szCs w:val="19"/>
        </w:rPr>
        <w:t xml:space="preserve">Office for Health Improvement and Disparities. </w:t>
      </w:r>
      <w:r>
        <w:rPr>
          <w:i/>
          <w:iCs/>
          <w:sz w:val="19"/>
          <w:szCs w:val="19"/>
        </w:rPr>
        <w:t xml:space="preserve">National Child Measurement Programme</w:t>
      </w:r>
      <w:r>
        <w:rPr>
          <w:sz w:val="19"/>
          <w:szCs w:val="19"/>
        </w:rPr>
        <w:t xml:space="preserve">, Fingertips indicators 90319 and 90323 (accessed October 2026). </w:t>
      </w:r>
      <w:hyperlink w:history="1" r:id="rIde_w-6zbdiuw4odzqd1cu_">
        <w:r>
          <w:rPr>
            <w:rStyle w:val="Hyperlink"/>
            <w:sz w:val="19"/>
            <w:szCs w:val="19"/>
          </w:rPr>
          <w:t xml:space="preserve">https://fingertips.phe.org.uk</w:t>
        </w:r>
      </w:hyperlink>
      <w:r>
        <w:rPr>
          <w:sz w:val="19"/>
          <w:szCs w:val="19"/>
        </w:rPr>
        <w:t xml:space="preserve"> — Year 6 obesity 17.5% (2006/07) to 22.2% (2024/25); Reception 10.5% (2024/25). Dataset; direct evidence (children; different definitions).</w:t>
      </w:r>
    </w:p>
    <w:p>
      <w:pPr>
        <w:spacing w:after="80"/>
        <w:ind w:left="360" w:hanging="360"/>
      </w:pPr>
      <w:r>
        <w:rPr>
          <w:sz w:val="19"/>
          <w:szCs w:val="19"/>
        </w:rPr>
        <w:t xml:space="preserve">Rogers, N. T. et al. (2023). Associations between trajectories of obesity prevalence in English primary school children and the UK soft drinks industry levy. </w:t>
      </w:r>
      <w:r>
        <w:rPr>
          <w:i/>
          <w:iCs/>
          <w:sz w:val="19"/>
          <w:szCs w:val="19"/>
        </w:rPr>
        <w:t xml:space="preserve">PLOS Medicine</w:t>
      </w:r>
      <w:r>
        <w:rPr>
          <w:sz w:val="19"/>
          <w:szCs w:val="19"/>
        </w:rPr>
        <w:t xml:space="preserve"> 20(1), e1004160. </w:t>
      </w:r>
      <w:hyperlink w:history="1" r:id="rId_uyoloxnpraz5kgatkta6">
        <w:r>
          <w:rPr>
            <w:rStyle w:val="Hyperlink"/>
            <w:sz w:val="19"/>
            <w:szCs w:val="19"/>
          </w:rPr>
          <w:t xml:space="preserve">https://doi.org/10.1371/journal.pmed.1004160</w:t>
        </w:r>
      </w:hyperlink>
      <w:r>
        <w:rPr>
          <w:sz w:val="19"/>
          <w:szCs w:val="19"/>
        </w:rPr>
        <w:t xml:space="preserve"> — levy associated with 1.6 percentage points lower obesity in Year 6 girls; no change in boys or Reception. Abstract only; explanatory evidence.</w:t>
      </w:r>
    </w:p>
    <w:p>
      <w:pPr>
        <w:spacing w:after="80"/>
        <w:ind w:left="360" w:hanging="360"/>
      </w:pPr>
      <w:r>
        <w:rPr>
          <w:sz w:val="19"/>
          <w:szCs w:val="19"/>
        </w:rPr>
        <w:t xml:space="preserve">National Institute for Health and Care Excellence. TA875 </w:t>
      </w:r>
      <w:r>
        <w:rPr>
          <w:i/>
          <w:iCs/>
          <w:sz w:val="19"/>
          <w:szCs w:val="19"/>
        </w:rPr>
        <w:t xml:space="preserve">Semaglutide for managing overweight and obesity</w:t>
      </w:r>
      <w:r>
        <w:rPr>
          <w:sz w:val="19"/>
          <w:szCs w:val="19"/>
        </w:rPr>
        <w:t xml:space="preserve"> (2023) and TA1026 </w:t>
      </w:r>
      <w:r>
        <w:rPr>
          <w:i/>
          <w:iCs/>
          <w:sz w:val="19"/>
          <w:szCs w:val="19"/>
        </w:rPr>
        <w:t xml:space="preserve">Tirzepatide for managing overweight and obesity</w:t>
      </w:r>
      <w:r>
        <w:rPr>
          <w:sz w:val="19"/>
          <w:szCs w:val="19"/>
        </w:rPr>
        <w:t xml:space="preserve"> (2024). </w:t>
      </w:r>
      <w:hyperlink w:history="1" r:id="rIdmrrndnwi8ed5dwnt602lu">
        <w:r>
          <w:rPr>
            <w:rStyle w:val="Hyperlink"/>
            <w:sz w:val="19"/>
            <w:szCs w:val="19"/>
          </w:rPr>
          <w:t xml:space="preserve">https://www.nice.org.uk/guidance/ta1026</w:t>
        </w:r>
      </w:hyperlink>
      <w:r>
        <w:rPr>
          <w:sz w:val="19"/>
          <w:szCs w:val="19"/>
        </w:rPr>
        <w:t xml:space="preserve"> — 3.4 million eligible; at least 220,000 funded in the first three years. Web pages; reframing evidence (new treatment pathway).</w:t>
      </w:r>
    </w:p>
    <w:p>
      <w:pPr>
        <w:spacing w:after="100"/>
      </w:pPr>
      <w:r>
        <w:rPr>
          <w:rFonts w:ascii="Calibri" w:cs="Calibri" w:eastAsia="Calibri" w:hAnsi="Calibri"/>
          <w:b/>
          <w:bCs/>
          <w:color w:val="1F3A5F"/>
          <w:sz w:val="20"/>
          <w:szCs w:val="20"/>
        </w:rPr>
        <w:t xml:space="preserve">Evidence limitations. </w:t>
      </w:r>
      <w:r>
        <w:t xml:space="preserve">The original is a conference abstract without figures; the projections come from the 2007 Foresight reports. Health Survey for England headline figures cover adults aged 16 and over rather than the 21–60 band of the projections, and the 2025 survey results are not yet published. NCD-RisC values are modelled estimates. Child measures use different definitions. The levy evidence is associational, and GLP-1 uptake and its effects were not verified.</w:t>
      </w:r>
    </w:p>
    <w:p>
      <w:pPr>
        <w:spacing w:after="100"/>
      </w:pPr>
      <w:r>
        <w:rPr>
          <w:rFonts w:ascii="Calibri" w:cs="Calibri" w:eastAsia="Calibri" w:hAnsi="Calibri"/>
          <w:b/>
          <w:bCs/>
          <w:color w:val="1F3A5F"/>
          <w:sz w:val="20"/>
          <w:szCs w:val="20"/>
        </w:rPr>
        <w:t xml:space="preserve">Review status. </w:t>
      </w:r>
      <w:r>
        <w:t xml:space="preserve">Source-verified (the abstract was read in full; the projections it summarises and the key outcome sources were read in full).</w:t>
      </w:r>
    </w:p>
    <w:p>
      <w:pPr>
        <w:keepNext/>
        <w:spacing w:after="60" w:before="160"/>
      </w:pPr>
      <w:r>
        <w:rPr>
          <w:rFonts w:ascii="Calibri" w:cs="Calibri" w:eastAsia="Calibri" w:hAnsi="Calibri"/>
          <w:b/>
          <w:bCs/>
          <w:color w:val="1F3A5F"/>
          <w:spacing w:val="20"/>
          <w:sz w:val="17"/>
          <w:szCs w:val="17"/>
        </w:rPr>
        <w:t xml:space="preserve">EARLIER ACCOUNT 54 — PRESERVED VERBATIM</w:t>
      </w:r>
    </w:p>
    <w:p>
      <w:pPr>
        <w:pBdr>
          <w:left w:val="single" w:color="B8C2CC" w:sz="12" w:space="8"/>
        </w:pBdr>
        <w:shd w:fill="F2F4F6" w:color="auto" w:val="clear"/>
        <w:spacing w:after="60" w:before="40"/>
        <w:ind w:left="200" w:right="120"/>
      </w:pPr>
      <w:r>
        <w:rPr>
          <w:sz w:val="19"/>
          <w:szCs w:val="19"/>
        </w:rPr>
        <w:t xml:space="preserve">No, not so far. Later modelling notes that the Foresight projections assumed large, sustained rises, while post-2000 data point to a flatter path. 29% of adults in England were obese in 2022, about the same as in 2019.</w:t>
      </w:r>
    </w:p>
    <w:p>
      <w:pPr>
        <w:pBdr>
          <w:left w:val="single" w:color="B8C2CC" w:sz="12" w:space="8"/>
        </w:pBdr>
        <w:shd w:fill="F2F4F6" w:color="auto" w:val="clear"/>
        <w:spacing w:after="140" w:before="0"/>
        <w:ind w:left="200" w:right="120"/>
      </w:pPr>
      <w:r>
        <w:rPr>
          <w:sz w:val="19"/>
          <w:szCs w:val="19"/>
        </w:rPr>
        <w:t xml:space="preserve">Additional references (as supplied; links may be missing): nih; openprescribing.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statements are broadly accurate but incomplete. The “flatter path” statement is a close paraphrase of Cobiac and Scarborough (2021), which is not cited (and which says the projections “predicted” rather than “assumed” large rises). The 2022 figure (29%) is correct but superseded by the 2024 survey (30%). The verdict “No, not so far” reads as a scoreboard and omits that the projections were conditional extrapolations for ages 21–60 with a 2050 horizon still open. The references are site labels rather than citations.</w:t>
      </w:r>
    </w:p>
    <w:p>
      <w:pPr>
        <w:spacing w:after="100"/>
      </w:pPr>
      <w:r>
        <w:rPr>
          <w:rFonts w:ascii="Calibri" w:cs="Calibri" w:eastAsia="Calibri" w:hAnsi="Calibri"/>
          <w:b/>
          <w:bCs/>
          <w:color w:val="1F3A5F"/>
          <w:sz w:val="20"/>
          <w:szCs w:val="20"/>
        </w:rPr>
        <w:t xml:space="preserve">Proposed action. </w:t>
      </w:r>
      <w:r>
        <w:rPr>
          <w:b/>
          <w:bCs/>
        </w:rPr>
        <w:t xml:space="preserve">Strengthen with new evidence</w:t>
      </w:r>
      <w:r>
        <w:t xml:space="preserve"> (2024 survey, NCD-RisC plateau, child measurements, the soft drinks levy, GLP-1 treatment) and </w:t>
      </w:r>
      <w:r>
        <w:rPr>
          <w:b/>
          <w:bCs/>
        </w:rPr>
        <w:t xml:space="preserve">correct or qualify</w:t>
      </w:r>
      <w:r>
        <w:t xml:space="preserve"> the verdict with conditional, horizon-aware wording and full citations.</w:t>
      </w:r>
    </w:p>
    <w:p>
      <w:pPr>
        <w:pBdr>
          <w:bottom w:val="single" w:color="B8C2CC" w:sz="6" w:space="1"/>
        </w:pBdr>
        <w:spacing w:after="120"/>
      </w:pPr>
    </w:p>
    <w:p>
      <w:pPr>
        <w:pStyle w:val="Heading2"/>
      </w:pPr>
      <w:r>
        <w:t xml:space="preserve">Account 15 — Projected obesity and its costs in Ireland to 2030 (2013)</w:t>
      </w:r>
    </w:p>
    <w:p>
      <w:pPr>
        <w:spacing w:after="100"/>
      </w:pPr>
      <w:r>
        <w:rPr>
          <w:rFonts w:ascii="Calibri" w:cs="Calibri" w:eastAsia="Calibri" w:hAnsi="Calibri"/>
          <w:b/>
          <w:bCs/>
          <w:color w:val="1F3A5F"/>
          <w:sz w:val="20"/>
          <w:szCs w:val="20"/>
        </w:rPr>
        <w:t xml:space="preserve">Existing VV Futures account. </w:t>
      </w:r>
      <w:r>
        <w:t xml:space="preserve">New account. There is no earlier VV Futures account for claim record 439.</w:t>
      </w:r>
    </w:p>
    <w:p>
      <w:pPr>
        <w:spacing w:after="100"/>
      </w:pPr>
      <w:r>
        <w:rPr>
          <w:rFonts w:ascii="Calibri" w:cs="Calibri" w:eastAsia="Calibri" w:hAnsi="Calibri"/>
          <w:b/>
          <w:bCs/>
          <w:color w:val="1F3A5F"/>
          <w:sz w:val="20"/>
          <w:szCs w:val="20"/>
        </w:rPr>
        <w:t xml:space="preserve">Original study. </w:t>
      </w:r>
      <w:r>
        <w:t xml:space="preserve">Keaver, Laura, Webber, Laura, Dee, Anne, Shiely, Frances, Marsh, Tim, Balanda, Kevin P. &amp; Perry, Ivan J. (2013). Application of the UK Foresight Obesity Model in Ireland: The Health and Economic Consequences of Projected Obesity Trends in Ireland. </w:t>
      </w:r>
      <w:r>
        <w:rPr>
          <w:i/>
          <w:iCs/>
        </w:rPr>
        <w:t xml:space="preserve">PLoS ONE</w:t>
      </w:r>
      <w:r>
        <w:t xml:space="preserve"> 8(11), e79827. </w:t>
      </w:r>
      <w:hyperlink w:history="1" r:id="rIdlydki_khihlwfjsmy9byl">
        <w:r>
          <w:rPr>
            <w:rStyle w:val="Hyperlink"/>
          </w:rPr>
          <w:t xml:space="preserve">https://doi.org/10.1371/journal.pone.0079827</w:t>
        </w:r>
      </w:hyperlink>
      <w:r>
        <w:t xml:space="preserve"> (open access; full text read).</w:t>
      </w:r>
    </w:p>
    <w:p>
      <w:pPr>
        <w:spacing w:after="100"/>
      </w:pPr>
      <w:r>
        <w:rPr>
          <w:rFonts w:ascii="Calibri" w:cs="Calibri" w:eastAsia="Calibri" w:hAnsi="Calibri"/>
          <w:b/>
          <w:bCs/>
          <w:color w:val="1F3A5F"/>
          <w:sz w:val="20"/>
          <w:szCs w:val="20"/>
        </w:rPr>
        <w:t xml:space="preserve">Original future claim. </w:t>
      </w:r>
      <w:r>
        <w:t xml:space="preserve">Key phrase (abstract): overweight and obesity “projected to reach levels of 89% and 85%” in men and women by 2030. Paraphrase: if trends continued unabated, 48% of men and 57% of women aged 20 and over would be obese by 2030, and obesity-related direct healthcare costs would rise from about €2.5 billion in 2010 to €5.4 billion a year by 2030; a 5% reduction in population BMI would lower 2030 costs by about €495 million. The abstract describes the €495 million as a saving over twenty years, but the paper’s own results table shows it as the difference in annual costs in 2030 — an internal inconsistency repeated in the catalogue excerpt (HISTORICAL-CLAIMS record 439).</w:t>
      </w:r>
    </w:p>
    <w:p>
      <w:pPr>
        <w:spacing w:after="100"/>
      </w:pPr>
      <w:r>
        <w:rPr>
          <w:rFonts w:ascii="Calibri" w:cs="Calibri" w:eastAsia="Calibri" w:hAnsi="Calibri"/>
          <w:b/>
          <w:bCs/>
          <w:color w:val="1F3A5F"/>
          <w:sz w:val="20"/>
          <w:szCs w:val="20"/>
        </w:rPr>
        <w:t xml:space="preserve">What was envisioned. </w:t>
      </w:r>
      <w:r>
        <w:t xml:space="preserve">Applying the UK Foresight model to sparse Irish survey data from 1998–2011, the authors projected a continuing steep rise in adult obesity, with women overtaking men, large increases in coronary heart disease, stroke, cancers and type 2 diabetes, and a doubling of direct healthcare costs by 2030. They cautioned that Irish data were few, judged the projections reliable only up to 2020, and noted that plateaus seen elsewhere would improve the outlook.</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Later evidence shows Irish adult obesity rising slowly rather than steeply. NCD-RisC estimates based on measured data, published through WHO in 2026, put crude adult obesity in Ireland at about 25% in 2010 and about 31% in 2024 (men 32%, women 29%), with overweight including obesity at about 72% of men and 65% of women. Irish national surveys report lower figures: the Irish Health Survey records about 24% obesity among adults in 2024, and the Healthy Ireland indicator for overweight or obesity among people aged 15 and over fell from about 61% in 2015 to about 57% in 2024 (whether these surveys use measured or self-reported weight was not verified). On any of these sources, reaching the projected 2030 levels would require an unprecedented acceleration within six years, and the projected female excess in obesity has not appeared.</w:t>
      </w:r>
    </w:p>
    <w:p>
      <w:r>
        <w:t xml:space="preserve">Two further pieces of evidence bear on the model’s assumptions. Overweight among Irish children aged 7–8, measured in the WHO Childhood Obesity Surveillance Initiative, fell from about 22% in 2008 to 16–17% in 2018–2022, weakening the authors’ expectation that excluding children made their projections conservative. And a 2018 re-projection with the same model family still put Ireland at 43% obesity by 2025, with uncertainty intervals so wide that the authors singled them out, illustrating how strongly such projections depend on sparse, mixed-mode data and on the period to which trends are fitted.</w:t>
      </w:r>
    </w:p>
    <w:p>
      <w:r>
        <w:t xml:space="preserve">No later study was found that re-estimates Ireland’s obesity-related direct healthcare costs against the €5.4 billion projection. Because the cost model was driven by the BMI trajectory, a flatter prevalence path implies lower costs than projected, but this has not been measured. Irish policy measures since 2013, such as the 2018 tax on sugar-sweetened drinks and the 2016–2025 obesity action plan, and the arrival of GLP-1 drugs were not verified for this review.</w:t>
      </w:r>
    </w:p>
    <w:p>
      <w:pPr>
        <w:spacing w:after="100"/>
      </w:pPr>
      <w:r>
        <w:rPr>
          <w:rFonts w:ascii="Calibri" w:cs="Calibri" w:eastAsia="Calibri" w:hAnsi="Calibri"/>
          <w:b/>
          <w:bCs/>
          <w:color w:val="1F3A5F"/>
          <w:sz w:val="20"/>
          <w:szCs w:val="20"/>
        </w:rPr>
        <w:t xml:space="preserve">Interpretation. </w:t>
      </w:r>
      <w:r>
        <w:t xml:space="preserve">Partly along the envisioned pathway — adult obesity in Ireland is high and still rising — but much more slowly than the extrapolation implied. The 2030 horizon has not arrived, yet the projected prevalence now looks very unlikely, mainly because the steep early trend fitted to few, partly self-reported data points did not continue. The cost projection remains open and unverified.</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NCD Risk Factor Collaboration estimates via WHO Global Health Observatory (indicators NCD_BMI_30C and NCD_BMI_25C, record date 27 May 2026); method in NCD-RisC (2026), </w:t>
      </w:r>
      <w:r>
        <w:rPr>
          <w:i/>
          <w:iCs/>
          <w:sz w:val="19"/>
          <w:szCs w:val="19"/>
        </w:rPr>
        <w:t xml:space="preserve">Nature</w:t>
      </w:r>
      <w:r>
        <w:rPr>
          <w:sz w:val="19"/>
          <w:szCs w:val="19"/>
        </w:rPr>
        <w:t xml:space="preserve"> 653, 510–518, </w:t>
      </w:r>
      <w:hyperlink w:history="1" r:id="rId3mkedoyxe_exylup_jm3n">
        <w:r>
          <w:rPr>
            <w:rStyle w:val="Hyperlink"/>
            <w:sz w:val="19"/>
            <w:szCs w:val="19"/>
          </w:rPr>
          <w:t xml:space="preserve">https://doi.org/10.1038/s41586-026-10383-0</w:t>
        </w:r>
      </w:hyperlink>
      <w:r>
        <w:rPr>
          <w:sz w:val="19"/>
          <w:szCs w:val="19"/>
        </w:rPr>
        <w:t xml:space="preserve"> — Ireland crude adult obesity 25.1% (2010), 30.6% (2024; men 31.9%, women 29.4%). Dataset; direct (model-based) evidence.</w:t>
      </w:r>
    </w:p>
    <w:p>
      <w:pPr>
        <w:spacing w:after="80"/>
        <w:ind w:left="360" w:hanging="360"/>
      </w:pPr>
      <w:r>
        <w:rPr>
          <w:sz w:val="19"/>
          <w:szCs w:val="19"/>
        </w:rPr>
        <w:t xml:space="preserve">Central Statistics Office Ireland. </w:t>
      </w:r>
      <w:r>
        <w:rPr>
          <w:i/>
          <w:iCs/>
          <w:sz w:val="19"/>
          <w:szCs w:val="19"/>
        </w:rPr>
        <w:t xml:space="preserve">Irish Health Survey</w:t>
      </w:r>
      <w:r>
        <w:rPr>
          <w:sz w:val="19"/>
          <w:szCs w:val="19"/>
        </w:rPr>
        <w:t xml:space="preserve"> tables IH465 (2024) and IHS17 (2025); Department of Health indicator HSPAA51 (Healthy Ireland Survey). </w:t>
      </w:r>
      <w:hyperlink w:history="1" r:id="rIdvtz_1zdr9u3bp7kzvebew">
        <w:r>
          <w:rPr>
            <w:rStyle w:val="Hyperlink"/>
            <w:sz w:val="19"/>
            <w:szCs w:val="19"/>
          </w:rPr>
          <w:t xml:space="preserve">https://data.cso.ie</w:t>
        </w:r>
      </w:hyperlink>
      <w:r>
        <w:rPr>
          <w:sz w:val="19"/>
          <w:szCs w:val="19"/>
        </w:rPr>
        <w:t xml:space="preserve"> — adult obesity 23.8% (2024); overweight or obese aged 15+: 60.7% (2015), 56.6% (2024). Datasets; direct evidence (measurement mode not verified).</w:t>
      </w:r>
    </w:p>
    <w:p>
      <w:pPr>
        <w:spacing w:after="80"/>
        <w:ind w:left="360" w:hanging="360"/>
      </w:pPr>
      <w:r>
        <w:rPr>
          <w:sz w:val="19"/>
          <w:szCs w:val="19"/>
        </w:rPr>
        <w:t xml:space="preserve">Department of Health Ireland, table KTA24 (WHO Childhood Obesity Surveillance Initiative, Ireland; updated 5 June 2026). </w:t>
      </w:r>
      <w:hyperlink w:history="1" r:id="rIdppvkdgpnddtewocoeb9cy">
        <w:r>
          <w:rPr>
            <w:rStyle w:val="Hyperlink"/>
            <w:sz w:val="19"/>
            <w:szCs w:val="19"/>
          </w:rPr>
          <w:t xml:space="preserve">https://data.cso.ie</w:t>
        </w:r>
      </w:hyperlink>
      <w:r>
        <w:rPr>
          <w:sz w:val="19"/>
          <w:szCs w:val="19"/>
        </w:rPr>
        <w:t xml:space="preserve"> — overweight including obesity at age 7–8: 21.6% (2008), 15.8% (2018), 17.1% (2022). Dataset; explanatory evidence.</w:t>
      </w:r>
    </w:p>
    <w:p>
      <w:pPr>
        <w:spacing w:after="80"/>
        <w:ind w:left="360" w:hanging="360"/>
      </w:pPr>
      <w:r>
        <w:rPr>
          <w:sz w:val="19"/>
          <w:szCs w:val="19"/>
        </w:rPr>
        <w:t xml:space="preserve">Pineda, E. et al. (2018). Forecasting future trends in obesity across Europe: the value of improving surveillance. </w:t>
      </w:r>
      <w:r>
        <w:rPr>
          <w:i/>
          <w:iCs/>
          <w:sz w:val="19"/>
          <w:szCs w:val="19"/>
        </w:rPr>
        <w:t xml:space="preserve">Obesity Facts</w:t>
      </w:r>
      <w:r>
        <w:rPr>
          <w:sz w:val="19"/>
          <w:szCs w:val="19"/>
        </w:rPr>
        <w:t xml:space="preserve"> 11(5), 360–371. </w:t>
      </w:r>
      <w:hyperlink w:history="1" r:id="rIdqnqqv23xumjlxibboaavu">
        <w:r>
          <w:rPr>
            <w:rStyle w:val="Hyperlink"/>
            <w:sz w:val="19"/>
            <w:szCs w:val="19"/>
          </w:rPr>
          <w:t xml:space="preserve">https://doi.org/10.1159/000492115</w:t>
        </w:r>
      </w:hyperlink>
      <w:r>
        <w:rPr>
          <w:sz w:val="19"/>
          <w:szCs w:val="19"/>
        </w:rPr>
        <w:t xml:space="preserve"> — Ireland projected at 43% obesity by 2025 with particularly wide intervals. Full text read; later foresight.</w:t>
      </w:r>
    </w:p>
    <w:p>
      <w:pPr>
        <w:spacing w:after="80"/>
        <w:ind w:left="360" w:hanging="360"/>
      </w:pPr>
      <w:r>
        <w:rPr>
          <w:sz w:val="19"/>
          <w:szCs w:val="19"/>
        </w:rPr>
        <w:t xml:space="preserve">Cobiac, L. J. &amp; Scarborough, P. (2021). Modelling future trajectories of obesity and body mass index in England. </w:t>
      </w:r>
      <w:r>
        <w:rPr>
          <w:i/>
          <w:iCs/>
          <w:sz w:val="19"/>
          <w:szCs w:val="19"/>
        </w:rPr>
        <w:t xml:space="preserve">PLOS ONE</w:t>
      </w:r>
      <w:r>
        <w:rPr>
          <w:sz w:val="19"/>
          <w:szCs w:val="19"/>
        </w:rPr>
        <w:t xml:space="preserve"> 16(6), e0252072. </w:t>
      </w:r>
      <w:hyperlink w:history="1" r:id="rIdkfxlz2zd50hvbdtyd00yd">
        <w:r>
          <w:rPr>
            <w:rStyle w:val="Hyperlink"/>
            <w:sz w:val="19"/>
            <w:szCs w:val="19"/>
          </w:rPr>
          <w:t xml:space="preserve">https://doi.org/10.1371/journal.pone.0252072</w:t>
        </w:r>
      </w:hyperlink>
      <w:r>
        <w:rPr>
          <w:sz w:val="19"/>
          <w:szCs w:val="19"/>
        </w:rPr>
        <w:t xml:space="preserve"> — Foresight-type projections are highly sensitive to the fitting period. Full text read; explanatory evidence.</w:t>
      </w:r>
    </w:p>
    <w:p>
      <w:pPr>
        <w:spacing w:after="100"/>
      </w:pPr>
      <w:r>
        <w:rPr>
          <w:rFonts w:ascii="Calibri" w:cs="Calibri" w:eastAsia="Calibri" w:hAnsi="Calibri"/>
          <w:b/>
          <w:bCs/>
          <w:color w:val="1F3A5F"/>
          <w:sz w:val="20"/>
          <w:szCs w:val="20"/>
        </w:rPr>
        <w:t xml:space="preserve">Evidence limitations. </w:t>
      </w:r>
      <w:r>
        <w:t xml:space="preserve">NCD-RisC values are modelled estimates with wide intervals for Ireland, and the measurement modes of the Irish surveys were not verified, so their lower figures may partly reflect self-report. The paper’s supplementary projections for 2020 were not read, so the authors’ own interim checkpoint could not be compared. No post-2013 Irish cost study was examined, and Irish policy and pharmacological developments were not verified.</w:t>
      </w:r>
    </w:p>
    <w:p>
      <w:pPr>
        <w:spacing w:after="100"/>
      </w:pPr>
      <w:r>
        <w:rPr>
          <w:rFonts w:ascii="Calibri" w:cs="Calibri" w:eastAsia="Calibri" w:hAnsi="Calibri"/>
          <w:b/>
          <w:bCs/>
          <w:color w:val="1F3A5F"/>
          <w:sz w:val="20"/>
          <w:szCs w:val="20"/>
        </w:rPr>
        <w:t xml:space="preserve">Review status. </w:t>
      </w:r>
      <w:r>
        <w:t xml:space="preserve">Provisional interpretation. The original and the prevalence evidence were read; the cost side and the Irish policy context remain unverified.</w:t>
      </w:r>
    </w:p>
    <w:p>
      <w:r>
        <w:br w:type="page"/>
      </w:r>
    </w:p>
    <w:p>
      <w:pPr>
        <w:pStyle w:val="Heading1"/>
      </w:pPr>
      <w:r>
        <w:t xml:space="preserve">Health workforce and environmental health</w:t>
      </w:r>
    </w:p>
    <w:p>
      <w:r>
        <w:t xml:space="preserve">Two health studies from 2011–2012 modelled conditional futures — nursing supply in England and the health burden of waste facilities — whose key assumptions were overtaken by policy: international recruitment rebuilt nursing supply, and landfill diversion expanded incineration.</w:t>
      </w:r>
    </w:p>
    <w:p>
      <w:pPr>
        <w:pStyle w:val="Heading2"/>
      </w:pPr>
      <w:r>
        <w:t xml:space="preserve">Account 16 — Scenarios for the supply of NHS nurses in England to 2022 (2012)</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37 (“NHS nursing supply (2012)”).</w:t>
      </w:r>
    </w:p>
    <w:p>
      <w:pPr>
        <w:spacing w:after="100"/>
      </w:pPr>
      <w:r>
        <w:rPr>
          <w:rFonts w:ascii="Calibri" w:cs="Calibri" w:eastAsia="Calibri" w:hAnsi="Calibri"/>
          <w:b/>
          <w:bCs/>
          <w:color w:val="1F3A5F"/>
          <w:sz w:val="20"/>
          <w:szCs w:val="20"/>
        </w:rPr>
        <w:t xml:space="preserve">Original study. </w:t>
      </w:r>
      <w:r>
        <w:t xml:space="preserve">Buchan, James &amp; Seccombe, Ian (2012). Using scenarios to assess the future supply of NHS nursing staff in England. </w:t>
      </w:r>
      <w:r>
        <w:rPr>
          <w:i/>
          <w:iCs/>
        </w:rPr>
        <w:t xml:space="preserve">Human Resources for Health</w:t>
      </w:r>
      <w:r>
        <w:t xml:space="preserve"> 10, 16. </w:t>
      </w:r>
      <w:hyperlink w:history="1" r:id="rIduqc7dcojjywxdpq22athv">
        <w:r>
          <w:rPr>
            <w:rStyle w:val="Hyperlink"/>
          </w:rPr>
          <w:t xml:space="preserve">https://doi.org/10.1186/1478-4491-10-16</w:t>
        </w:r>
      </w:hyperlink>
      <w:r>
        <w:t xml:space="preserve"> (open access; full text and annex read).</w:t>
      </w:r>
    </w:p>
    <w:p>
      <w:pPr>
        <w:spacing w:after="100"/>
      </w:pPr>
      <w:r>
        <w:rPr>
          <w:rFonts w:ascii="Calibri" w:cs="Calibri" w:eastAsia="Calibri" w:hAnsi="Calibri"/>
          <w:b/>
          <w:bCs/>
          <w:color w:val="1F3A5F"/>
          <w:sz w:val="20"/>
          <w:szCs w:val="20"/>
        </w:rPr>
        <w:t xml:space="preserve">Original future claim. </w:t>
      </w:r>
      <w:r>
        <w:t xml:space="preserve">Key phrase (conclusions): a “strong risk that current policy decisions could lead to a significant reduction” in NHS staffing in England to 2022. Paraphrase: starting from a headcount of 352,104 qualified nurses, midwives and health visitors (September 2010), eight scenarios for the ten years to 2021/22 varied training intakes, leaving and retirement rates, with international inflows held at the low level of 2009/10; most scenarios showed falling supply, about 12% in the “no change” case and 28% in the worst case. The authors explicitly declined to make predictions and argued that policy should not rest on a single projection. Catalogue excerpt: HISTORICAL-CLAIMS record 481 (a methodological passage).</w:t>
      </w:r>
    </w:p>
    <w:p>
      <w:pPr>
        <w:spacing w:after="100"/>
      </w:pPr>
      <w:r>
        <w:rPr>
          <w:rFonts w:ascii="Calibri" w:cs="Calibri" w:eastAsia="Calibri" w:hAnsi="Calibri"/>
          <w:b/>
          <w:bCs/>
          <w:color w:val="1F3A5F"/>
          <w:sz w:val="20"/>
          <w:szCs w:val="20"/>
        </w:rPr>
        <w:t xml:space="preserve">What was envisioned. </w:t>
      </w:r>
      <w:r>
        <w:t xml:space="preserve">A contracting NHS nursing workforce in England over the 2010s unless retention improved or retirement was delayed, because training commissions were being cut and inflows from abroad were low — presented as a set of conditional projections to inform workforce policy.</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feared contraction did not occur. Nurse numbers stagnated in the early 2010s, and community and mental health nursing shrank, but full-time-equivalent nurses and health visitors in hospital and community services were about 5% higher in September 2019 than in September 2010. After the December 2019 pledge of 50,000 more nurses, numbers rose much faster: the government reported 352,149 FTE nurses in September 2023, against 300,904 four years earlier on its definition, meeting the target early. Most of this growth came through a channel the scenarios had held constant. Overseas-educated professionals made up about half of all new joiners to the UK register in the year to March 2024, and the Nuffield Trust estimated that they accounted for 69% of the register’s net growth after September 2019.</w:t>
      </w:r>
    </w:p>
    <w:p>
      <w:r>
        <w:t xml:space="preserve">Shortages persisted for most of the period. Officially reported registered-nurse vacancies in England were about 43,600 in July–September 2019 and still about 42,300 in September 2023, before falling to about 31,800 by September 2024, 25,500 by September 2025 and about 23,000 (5.3%) by June 2026. International joiners then declined steeply, by about half in the six months to September 2025, while the internationally educated share of the UK register kept rising (24.4% in September 2025). The 2023 Long Term Workforce Plan expects overseas recruits to fall to a small share of new joiners by the late 2030s as domestic training places nearly double.</w:t>
      </w:r>
    </w:p>
    <w:p>
      <w:pPr>
        <w:spacing w:after="100"/>
      </w:pPr>
      <w:r>
        <w:rPr>
          <w:rFonts w:ascii="Calibri" w:cs="Calibri" w:eastAsia="Calibri" w:hAnsi="Calibri"/>
          <w:b/>
          <w:bCs/>
          <w:color w:val="1F3A5F"/>
          <w:sz w:val="20"/>
          <w:szCs w:val="20"/>
        </w:rPr>
        <w:t xml:space="preserve">Interpretation. </w:t>
      </w:r>
      <w:r>
        <w:t xml:space="preserve">The study’s central message — that NHS nursing supply was fragile and highly sensitive to training, retention and retirement decisions — was borne out by a decade of shortages, but the workforce grew rather than shrank, because supply was rebuilt through a lever the scenarios did not vary: large-scale international recruitment, later supplemented by expanded training. Development followed a different pathway from those envisioned and created a new dependence on overseas inflows that are now falling.</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National Audit Office (2020). </w:t>
      </w:r>
      <w:r>
        <w:rPr>
          <w:i/>
          <w:iCs/>
          <w:sz w:val="19"/>
          <w:szCs w:val="19"/>
        </w:rPr>
        <w:t xml:space="preserve">The NHS nursing workforce</w:t>
      </w:r>
      <w:r>
        <w:rPr>
          <w:sz w:val="19"/>
          <w:szCs w:val="19"/>
        </w:rPr>
        <w:t xml:space="preserve">, HC 109, 5 March 2020. </w:t>
      </w:r>
      <w:hyperlink w:history="1" r:id="rIdswtdqjqxp4r-azzcryg5_">
        <w:r>
          <w:rPr>
            <w:rStyle w:val="Hyperlink"/>
            <w:sz w:val="19"/>
            <w:szCs w:val="19"/>
          </w:rPr>
          <w:t xml:space="preserve">https://www.nao.org.uk/wp-content/uploads/2020/03/The-NHS-nursing-workforce-Summary.pdf</w:t>
        </w:r>
      </w:hyperlink>
      <w:r>
        <w:rPr>
          <w:sz w:val="19"/>
          <w:szCs w:val="19"/>
        </w:rPr>
        <w:t xml:space="preserve"> — FTE nurses and health visitors 5% higher in September 2019 than in September 2010; about 43,590 FTE vacancies in July–September 2019. Summary read; direct evidence.</w:t>
      </w:r>
    </w:p>
    <w:p>
      <w:pPr>
        <w:spacing w:after="80"/>
        <w:ind w:left="360" w:hanging="360"/>
      </w:pPr>
      <w:r>
        <w:rPr>
          <w:sz w:val="19"/>
          <w:szCs w:val="19"/>
        </w:rPr>
        <w:t xml:space="preserve">NHS England (quarterly). </w:t>
      </w:r>
      <w:r>
        <w:rPr>
          <w:i/>
          <w:iCs/>
          <w:sz w:val="19"/>
          <w:szCs w:val="19"/>
        </w:rPr>
        <w:t xml:space="preserve">NHS Vacancy Statistics, England</w:t>
      </w:r>
      <w:r>
        <w:rPr>
          <w:sz w:val="19"/>
          <w:szCs w:val="19"/>
        </w:rPr>
        <w:t xml:space="preserve"> (experimental and official statistics). </w:t>
      </w:r>
      <w:hyperlink w:history="1" r:id="rIdh-mtvquxump9atedmd10x">
        <w:r>
          <w:rPr>
            <w:rStyle w:val="Hyperlink"/>
            <w:sz w:val="19"/>
            <w:szCs w:val="19"/>
          </w:rPr>
          <w:t xml:space="preserve">https://digital.nhs.uk/data-and-information/publications/statistical/nhs-vacancies-survey</w:t>
        </w:r>
      </w:hyperlink>
      <w:r>
        <w:rPr>
          <w:sz w:val="19"/>
          <w:szCs w:val="19"/>
        </w:rPr>
        <w:t xml:space="preserve"> — registered-nursing vacancies 43,339 (June 2023), 34,709 (December 2023), 31,773 (September 2024), 23,046 (June 2026). Web pages; direct evidence (establishment-based; caution advised by the publisher).</w:t>
      </w:r>
    </w:p>
    <w:p>
      <w:pPr>
        <w:spacing w:after="80"/>
        <w:ind w:left="360" w:hanging="360"/>
      </w:pPr>
      <w:r>
        <w:rPr>
          <w:sz w:val="19"/>
          <w:szCs w:val="19"/>
        </w:rPr>
        <w:t xml:space="preserve">Department of Health and Social Care (30 November 2023). </w:t>
      </w:r>
      <w:r>
        <w:rPr>
          <w:i/>
          <w:iCs/>
          <w:sz w:val="19"/>
          <w:szCs w:val="19"/>
        </w:rPr>
        <w:t xml:space="preserve">Over 50,000 extra nurses in NHS, hitting government target early</w:t>
      </w:r>
      <w:r>
        <w:rPr>
          <w:sz w:val="19"/>
          <w:szCs w:val="19"/>
        </w:rPr>
        <w:t xml:space="preserve">. </w:t>
      </w:r>
      <w:hyperlink w:history="1" r:id="rIdgh9om0f6uhkmhi7zagbix">
        <w:r>
          <w:rPr>
            <w:rStyle w:val="Hyperlink"/>
            <w:sz w:val="19"/>
            <w:szCs w:val="19"/>
          </w:rPr>
          <w:t xml:space="preserve">https://www.gov.uk/government/news</w:t>
        </w:r>
      </w:hyperlink>
      <w:r>
        <w:rPr>
          <w:sz w:val="19"/>
          <w:szCs w:val="19"/>
        </w:rPr>
        <w:t xml:space="preserve"> — 352,149 FTE nurses in September 2023 against 300,904 in September 2019. Press release; direct evidence.</w:t>
      </w:r>
    </w:p>
    <w:p>
      <w:pPr>
        <w:spacing w:after="80"/>
        <w:ind w:left="360" w:hanging="360"/>
      </w:pPr>
      <w:r>
        <w:rPr>
          <w:sz w:val="19"/>
          <w:szCs w:val="19"/>
        </w:rPr>
        <w:t xml:space="preserve">Nuffield Trust (Palmer, B., 19 May 2023). </w:t>
      </w:r>
      <w:r>
        <w:rPr>
          <w:i/>
          <w:iCs/>
          <w:sz w:val="19"/>
          <w:szCs w:val="19"/>
        </w:rPr>
        <w:t xml:space="preserve">Reliance on international nurse recruitment during a workforce crisis</w:t>
      </w:r>
      <w:r>
        <w:rPr>
          <w:sz w:val="19"/>
          <w:szCs w:val="19"/>
        </w:rPr>
        <w:t xml:space="preserve">. </w:t>
      </w:r>
      <w:hyperlink w:history="1" r:id="rIdtm7g3uxhlwx03fvzjuxul">
        <w:r>
          <w:rPr>
            <w:rStyle w:val="Hyperlink"/>
            <w:sz w:val="19"/>
            <w:szCs w:val="19"/>
          </w:rPr>
          <w:t xml:space="preserve">https://www.nuffieldtrust.org.uk</w:t>
        </w:r>
      </w:hyperlink>
      <w:r>
        <w:rPr>
          <w:sz w:val="19"/>
          <w:szCs w:val="19"/>
        </w:rPr>
        <w:t xml:space="preserve"> — overseas-trained staff 69% of the register’s net growth after September 2019. Web page; explanatory evidence.</w:t>
      </w:r>
    </w:p>
    <w:p>
      <w:pPr>
        <w:spacing w:after="80"/>
        <w:ind w:left="360" w:hanging="360"/>
      </w:pPr>
      <w:r>
        <w:rPr>
          <w:sz w:val="19"/>
          <w:szCs w:val="19"/>
        </w:rPr>
        <w:t xml:space="preserve">Nursing and Midwifery Council (2024–2025). Annual data reports to March 2024 and March 2025 and mid-year report to September 2025. </w:t>
      </w:r>
      <w:hyperlink w:history="1" r:id="rIdhhbv2lfzjoucnkh1c2x53">
        <w:r>
          <w:rPr>
            <w:rStyle w:val="Hyperlink"/>
            <w:sz w:val="19"/>
            <w:szCs w:val="19"/>
          </w:rPr>
          <w:t xml:space="preserve">https://www.nmc.org.uk/about-us/reports-and-accounts/registration-statistics</w:t>
        </w:r>
      </w:hyperlink>
      <w:r>
        <w:rPr>
          <w:sz w:val="19"/>
          <w:szCs w:val="19"/>
        </w:rPr>
        <w:t xml:space="preserve"> — internationally educated joiners 49.4% of all joiners (year to March 2024); international joiners down 30.2% in the year to March 2025; 24.4% of the register internationally educated (September 2025). Reports; direct evidence.</w:t>
      </w:r>
    </w:p>
    <w:p>
      <w:pPr>
        <w:spacing w:after="80"/>
        <w:ind w:left="360" w:hanging="360"/>
      </w:pPr>
      <w:r>
        <w:rPr>
          <w:sz w:val="19"/>
          <w:szCs w:val="19"/>
        </w:rPr>
        <w:t xml:space="preserve">NHS England (June 2023). </w:t>
      </w:r>
      <w:r>
        <w:rPr>
          <w:i/>
          <w:iCs/>
          <w:sz w:val="19"/>
          <w:szCs w:val="19"/>
        </w:rPr>
        <w:t xml:space="preserve">NHS Long Term Workforce Plan</w:t>
      </w:r>
      <w:r>
        <w:rPr>
          <w:sz w:val="19"/>
          <w:szCs w:val="19"/>
        </w:rPr>
        <w:t xml:space="preserve">. </w:t>
      </w:r>
      <w:hyperlink w:history="1" r:id="rIdpsp8ohwggosjkatgxmyw9">
        <w:r>
          <w:rPr>
            <w:rStyle w:val="Hyperlink"/>
            <w:sz w:val="19"/>
            <w:szCs w:val="19"/>
          </w:rPr>
          <w:t xml:space="preserve">https://www.england.nhs.uk/long-read/nhs-long-term-workforce-plan-2/</w:t>
        </w:r>
      </w:hyperlink>
      <w:r>
        <w:rPr>
          <w:sz w:val="19"/>
          <w:szCs w:val="19"/>
        </w:rPr>
        <w:t xml:space="preserve"> — domestic training expansion and planned reduction of reliance on international recruitment. Web page; later foresight.</w:t>
      </w:r>
    </w:p>
    <w:p>
      <w:pPr>
        <w:spacing w:after="100"/>
      </w:pPr>
      <w:r>
        <w:rPr>
          <w:rFonts w:ascii="Calibri" w:cs="Calibri" w:eastAsia="Calibri" w:hAnsi="Calibri"/>
          <w:b/>
          <w:bCs/>
          <w:color w:val="1F3A5F"/>
          <w:sz w:val="20"/>
          <w:szCs w:val="20"/>
        </w:rPr>
        <w:t xml:space="preserve">Evidence limitations. </w:t>
      </w:r>
      <w:r>
        <w:t xml:space="preserve">The 2012 projections count headcount, including midwives and health visitors, whereas most later official series report FTE with different staff-group definitions, so comparison with the scenario end points is approximate. Vacancy statistics are experimental, depend on recorded establishments and changed source around 2019–2020. NMC data cover the whole UK and all employers. Trends in training commissions for 2011–2016 and the reasons for the fall in vacancies after 2023 were not verified. Some publisher URLs are given at site level.</w:t>
      </w:r>
    </w:p>
    <w:p>
      <w:pPr>
        <w:spacing w:after="100"/>
      </w:pPr>
      <w:r>
        <w:rPr>
          <w:rFonts w:ascii="Calibri" w:cs="Calibri" w:eastAsia="Calibri" w:hAnsi="Calibri"/>
          <w:b/>
          <w:bCs/>
          <w:color w:val="1F3A5F"/>
          <w:sz w:val="20"/>
          <w:szCs w:val="20"/>
        </w:rPr>
        <w:t xml:space="preserve">Review status. </w:t>
      </w:r>
      <w:r>
        <w:t xml:space="preserve">Source-verified, with comparability caveats.</w:t>
      </w:r>
    </w:p>
    <w:p>
      <w:pPr>
        <w:keepNext/>
        <w:spacing w:after="60" w:before="160"/>
      </w:pPr>
      <w:r>
        <w:rPr>
          <w:rFonts w:ascii="Calibri" w:cs="Calibri" w:eastAsia="Calibri" w:hAnsi="Calibri"/>
          <w:b/>
          <w:bCs/>
          <w:color w:val="1F3A5F"/>
          <w:spacing w:val="20"/>
          <w:sz w:val="17"/>
          <w:szCs w:val="17"/>
        </w:rPr>
        <w:t xml:space="preserve">EARLIER ACCOUNT 37 — PRESERVED VERBATIM</w:t>
      </w:r>
    </w:p>
    <w:p>
      <w:pPr>
        <w:pBdr>
          <w:left w:val="single" w:color="B8C2CC" w:sz="12" w:space="8"/>
        </w:pBdr>
        <w:shd w:fill="F2F4F6" w:color="auto" w:val="clear"/>
        <w:spacing w:after="60" w:before="40"/>
        <w:ind w:left="200" w:right="120"/>
      </w:pPr>
      <w:r>
        <w:rPr>
          <w:sz w:val="19"/>
          <w:szCs w:val="19"/>
        </w:rPr>
        <w:t xml:space="preserve">Held. About 43,000 nurse posts were still vacant four years after the 2019 recruitment pledge, almost unchanged, and about 34,700 in 2024. International recruitment was the main fix, leaving the UK unusually reliant on it until 2024.</w:t>
      </w:r>
    </w:p>
    <w:p>
      <w:pPr>
        <w:pBdr>
          <w:left w:val="single" w:color="B8C2CC" w:sz="12" w:space="8"/>
        </w:pBdr>
        <w:shd w:fill="F2F4F6" w:color="auto" w:val="clear"/>
        <w:spacing w:after="140" w:before="0"/>
        <w:ind w:left="200" w:right="120"/>
      </w:pPr>
      <w:r>
        <w:rPr>
          <w:sz w:val="19"/>
          <w:szCs w:val="19"/>
        </w:rPr>
        <w:t xml:space="preserve">Additional references (as supplied; links may be missing): nhs waiting list growing four times faster than the nurse workforce; and 2 more.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“Held” is misleading: the paper projected falling supply, and supply grew; the account conflates persistent vacancies, a demand-side gap the paper did not model, with the projected contraction. The figure of about 43,000 vacancies in 2023 is verified (about 3.5 years after the pledge). “About 34,700 in 2024” refers to 31 December 2023, and the later fall to about 23,000 by June 2026 is omitted. International recruitment as the main source of net growth is verified; reliance did not end in 2024, since international inflows fell while the internationally educated share of the register kept rising. The cited RCN item is advocacy material and two references are unidentified.</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remove the verdict, explain that supply grew through a channel the scenarios held fixed, and correct the vacancy dates; </w:t>
      </w:r>
      <w:r>
        <w:rPr>
          <w:b/>
          <w:bCs/>
        </w:rPr>
        <w:t xml:space="preserve">strengthen with new evidence</w:t>
      </w:r>
      <w:r>
        <w:t xml:space="preserve"> from official vacancy statistics to 2026 and NMC data; </w:t>
      </w:r>
      <w:r>
        <w:rPr>
          <w:b/>
          <w:bCs/>
        </w:rPr>
        <w:t xml:space="preserve">flag for source verification</w:t>
      </w:r>
      <w:r>
        <w:t xml:space="preserve"> the two unidentified references.</w:t>
      </w:r>
    </w:p>
    <w:p>
      <w:pPr>
        <w:pBdr>
          <w:bottom w:val="single" w:color="B8C2CC" w:sz="6" w:space="1"/>
        </w:pBdr>
        <w:spacing w:after="120"/>
      </w:pPr>
    </w:p>
    <w:p>
      <w:pPr>
        <w:pStyle w:val="Heading2"/>
      </w:pPr>
      <w:r>
        <w:t xml:space="preserve">Account 17 — Health impacts of waste incinerators and landfills to 2050 (2011)</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52 (“Waste facility health impacts (2011)”).</w:t>
      </w:r>
    </w:p>
    <w:p>
      <w:pPr>
        <w:spacing w:after="100"/>
      </w:pPr>
      <w:r>
        <w:rPr>
          <w:rFonts w:ascii="Calibri" w:cs="Calibri" w:eastAsia="Calibri" w:hAnsi="Calibri"/>
          <w:b/>
          <w:bCs/>
          <w:color w:val="1F3A5F"/>
          <w:sz w:val="20"/>
          <w:szCs w:val="20"/>
        </w:rPr>
        <w:t xml:space="preserve">Original study. </w:t>
      </w:r>
      <w:r>
        <w:t xml:space="preserve">Forastiere, Francesco, Badaloni, Chiara, de Hoogh, Kees, von Kraus, Martin K., Martuzzi, Marco, Mitis, Francesco, Palkovicova, Lubica, Porta, Daniela, Preiss, Philipp, Ranzi, Andrea, Perucci, Carlo A. &amp; Briggs, David (2011). Health impact assessment of waste management facilities in three European countries. </w:t>
      </w:r>
      <w:r>
        <w:rPr>
          <w:i/>
          <w:iCs/>
        </w:rPr>
        <w:t xml:space="preserve">Environmental Health</w:t>
      </w:r>
      <w:r>
        <w:t xml:space="preserve"> 10, 53 (EU FP6 INTARESE project). </w:t>
      </w:r>
      <w:hyperlink w:history="1" r:id="rIdurinaqpuqzh-uvfmxblu4">
        <w:r>
          <w:rPr>
            <w:rStyle w:val="Hyperlink"/>
          </w:rPr>
          <w:t xml:space="preserve">https://doi.org/10.1186/1476-069X-10-53</w:t>
        </w:r>
      </w:hyperlink>
      <w:r>
        <w:t xml:space="preserve"> (open access; full text and appendix read).</w:t>
      </w:r>
    </w:p>
    <w:p>
      <w:pPr>
        <w:spacing w:after="100"/>
      </w:pPr>
      <w:r>
        <w:rPr>
          <w:rFonts w:ascii="Calibri" w:cs="Calibri" w:eastAsia="Calibri" w:hAnsi="Calibri"/>
          <w:b/>
          <w:bCs/>
          <w:color w:val="1F3A5F"/>
          <w:sz w:val="20"/>
          <w:szCs w:val="20"/>
        </w:rPr>
        <w:t xml:space="preserve">Original future claim. </w:t>
      </w:r>
      <w:r>
        <w:t xml:space="preserve">Paraphrase (the catalogue excerpt, HISTORICAL-CLAIMS record 496, reproduces the abstract sentence): assuming the incinerators operating in 2001 continue until 2020, the authors were moderately confident that annual cancer cases attributable to exposure in 2001–2020 would reach 11 (Italy), 0 (Slovakia) and 7 (England) in 2020 and then decline to zero by 2050; most of the attributable cancers expected over 2001–2050 (2,729, 24 and 1,125) stem from exposure to older plants before 2001. The decline to zero follows from the model’s accounting boundary — a fixed 2001 resident cohort, exposure counted only to 2020, and an assumed fall in excess risk after exposure ceases — rather than from a forecast that harm disappears. Key phrase (discussion): most health effects “will be seen over several decades”.</w:t>
      </w:r>
    </w:p>
    <w:p>
      <w:pPr>
        <w:spacing w:after="100"/>
      </w:pPr>
      <w:r>
        <w:rPr>
          <w:rFonts w:ascii="Calibri" w:cs="Calibri" w:eastAsia="Calibri" w:hAnsi="Calibri"/>
          <w:b/>
          <w:bCs/>
          <w:color w:val="1F3A5F"/>
          <w:sz w:val="20"/>
          <w:szCs w:val="20"/>
        </w:rPr>
        <w:t xml:space="preserve">What was envisioned. </w:t>
      </w:r>
      <w:r>
        <w:t xml:space="preserve">A conditional baseline for the health burden of the waste facilities operating in 2001, intended for later policy assessment: a small and declining cancer burden from modern, much cleaner incinerators, a larger legacy burden from older plants, and a few reproductive effects near landfills.</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scenario’s central condition was overtaken by policy, most clearly in the United Kingdom. Diverting waste from landfill increased incineration rather than winding it down: UK municipal waste incinerated rose from about 2.5 million tonnes (7% of treated waste) in 2001 to about 14.4 million tonnes (48%) in 2024, almost all with energy recovery, while landfill fell from 80% to 6%. In Italy incineration roughly doubled by the mid-2010s and then levelled off at about a fifth of municipal waste, while landfill fell from about two-thirds to 15%; in Slovakia incineration stayed at about 0.2 million tonnes while landfill fell from over 80% to under 40%. More people therefore live near operating plants than the scenario assumed, but those plants are modern ones.</w:t>
      </w:r>
    </w:p>
    <w:p>
      <w:r>
        <w:t xml:space="preserve">Later studies of modern UK plants found modelled particulate contributions orders of magnitude below background and no excess stillbirths, infant deaths or other adverse birth outcomes, although small excesses of heart and genital anomalies could not be ruled out. Studies around Italian plants reported associations with preterm birth and miscarriage, and reviews conclude that older incinerators were linked to harm while evidence on newer plants is more reassuring but perhaps too recent to reveal long-latency effects such as cancer. Two findings qualify the model without testing its projection: a Spanish study of 1997–2006 data found cancer mortality about 9% higher in towns within 5 km of incinerators and hazardous-waste installations, consistent with the excess risk assumed for older plants; and the discovery in 2020 of widespread dioxin soil contamination in Lausanne, attributed to a former incinerator, suggests that the assumption of risk fading soon after emissions stop may not hold for persistent pollutants reaching people through locally produced food. An Italian landfill study (2016) also linked hydrogen sulphide exposure with lung-cancer mortality and respiratory disease, beyond the reproductive effects the 2011 study assumed.</w:t>
      </w:r>
    </w:p>
    <w:p>
      <w:pPr>
        <w:spacing w:after="100"/>
      </w:pPr>
      <w:r>
        <w:rPr>
          <w:rFonts w:ascii="Calibri" w:cs="Calibri" w:eastAsia="Calibri" w:hAnsi="Calibri"/>
          <w:b/>
          <w:bCs/>
          <w:color w:val="1F3A5F"/>
          <w:sz w:val="20"/>
          <w:szCs w:val="20"/>
        </w:rPr>
        <w:t xml:space="preserve">Interpretation. </w:t>
      </w:r>
      <w:r>
        <w:t xml:space="preserve">The study is best read as a conditional baseline rather than a testable forecast. Its 2050 horizon has not been reached, and its key condition — that the contribution of plants operating in 2001 ends around 2020 — was replaced by a large expansion of modern incineration in England. Later evidence reframes rather than refutes it: modern plants appear to add very small exposures, while legacy contamination questions the cessation assumption for persistent pollutants.</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OECD. </w:t>
      </w:r>
      <w:r>
        <w:rPr>
          <w:i/>
          <w:iCs/>
          <w:sz w:val="19"/>
          <w:szCs w:val="19"/>
        </w:rPr>
        <w:t xml:space="preserve">Municipal waste: generation and treatment</w:t>
      </w:r>
      <w:r>
        <w:rPr>
          <w:sz w:val="19"/>
          <w:szCs w:val="19"/>
        </w:rPr>
        <w:t xml:space="preserve"> (dataflow DSD_MUNW@DF_MUNW), United Kingdom series (accessed October 2026). </w:t>
      </w:r>
      <w:hyperlink w:history="1" r:id="rIdxdr_iyqba8cconyoadsfe">
        <w:r>
          <w:rPr>
            <w:rStyle w:val="Hyperlink"/>
            <w:sz w:val="19"/>
            <w:szCs w:val="19"/>
          </w:rPr>
          <w:t xml:space="preserve">https://data-explorer.oecd.org</w:t>
        </w:r>
      </w:hyperlink>
      <w:r>
        <w:rPr>
          <w:sz w:val="19"/>
          <w:szCs w:val="19"/>
        </w:rPr>
        <w:t xml:space="preserve"> — UK incineration 2,535 kt (2001), 5,040 kt (2011), 14,400 kt (2024); landfill 80.0% (2001) to 6.1% (2024). Dataset; direct evidence on the scenario’s conditions (UK, not England).</w:t>
      </w:r>
    </w:p>
    <w:p>
      <w:pPr>
        <w:spacing w:after="80"/>
        <w:ind w:left="360" w:hanging="360"/>
      </w:pPr>
      <w:r>
        <w:rPr>
          <w:sz w:val="19"/>
          <w:szCs w:val="19"/>
        </w:rPr>
        <w:t xml:space="preserve">Eurostat (updated 15 October 2026). </w:t>
      </w:r>
      <w:r>
        <w:rPr>
          <w:i/>
          <w:iCs/>
          <w:sz w:val="19"/>
          <w:szCs w:val="19"/>
        </w:rPr>
        <w:t xml:space="preserve">Municipal waste by waste management operations</w:t>
      </w:r>
      <w:r>
        <w:rPr>
          <w:sz w:val="19"/>
          <w:szCs w:val="19"/>
        </w:rPr>
        <w:t xml:space="preserve"> (env_wasmun). Eurostat database, </w:t>
      </w:r>
      <w:hyperlink w:history="1" r:id="rIdoyyp7zfuxvkn3dcq5gzdf">
        <w:r>
          <w:rPr>
            <w:rStyle w:val="Hyperlink"/>
            <w:sz w:val="19"/>
            <w:szCs w:val="19"/>
          </w:rPr>
          <w:t xml:space="preserve">https://ec.europa.eu/eurostat/web/main/data/database</w:t>
        </w:r>
      </w:hyperlink>
      <w:r>
        <w:rPr>
          <w:sz w:val="19"/>
          <w:szCs w:val="19"/>
        </w:rPr>
        <w:t xml:space="preserve"> — Italy incineration 2,516 kt (2001) and 5,484 kt (2024), landfill 67.7% to 15.0%; Slovakia landfill 81.6% to 38.1%. Dataset; direct evidence.</w:t>
      </w:r>
    </w:p>
    <w:p>
      <w:pPr>
        <w:spacing w:after="80"/>
        <w:ind w:left="360" w:hanging="360"/>
      </w:pPr>
      <w:r>
        <w:rPr>
          <w:sz w:val="19"/>
          <w:szCs w:val="19"/>
        </w:rPr>
        <w:t xml:space="preserve">Ghosh, R. E. et al. (2019). Fetal growth, stillbirth, infant mortality and other birth outcomes near UK municipal waste incinerators; retrospective population based cohort and case-control study. </w:t>
      </w:r>
      <w:r>
        <w:rPr>
          <w:i/>
          <w:iCs/>
          <w:sz w:val="19"/>
          <w:szCs w:val="19"/>
        </w:rPr>
        <w:t xml:space="preserve">Environment International</w:t>
      </w:r>
      <w:r>
        <w:rPr>
          <w:sz w:val="19"/>
          <w:szCs w:val="19"/>
        </w:rPr>
        <w:t xml:space="preserve"> 122, 151–158. </w:t>
      </w:r>
      <w:hyperlink w:history="1" r:id="rIdk96vy9uk7angzrsfarykx">
        <w:r>
          <w:rPr>
            <w:rStyle w:val="Hyperlink"/>
            <w:sz w:val="19"/>
            <w:szCs w:val="19"/>
          </w:rPr>
          <w:t xml:space="preserve">https://doi.org/10.1016/j.envint.2018.10.060</w:t>
        </w:r>
      </w:hyperlink>
      <w:r>
        <w:rPr>
          <w:sz w:val="19"/>
          <w:szCs w:val="19"/>
        </w:rPr>
        <w:t xml:space="preserve"> — 22 incinerators, about one million births 2003–2010: no excess risk. Abstract only; direct evidence (modern plants).</w:t>
      </w:r>
    </w:p>
    <w:p>
      <w:pPr>
        <w:spacing w:after="80"/>
        <w:ind w:left="360" w:hanging="360"/>
      </w:pPr>
      <w:r>
        <w:rPr>
          <w:sz w:val="19"/>
          <w:szCs w:val="19"/>
        </w:rPr>
        <w:t xml:space="preserve">Parkes, B. et al. (2020). Risk of congenital anomalies near municipal waste incinerators in England and Scotland. </w:t>
      </w:r>
      <w:r>
        <w:rPr>
          <w:i/>
          <w:iCs/>
          <w:sz w:val="19"/>
          <w:szCs w:val="19"/>
        </w:rPr>
        <w:t xml:space="preserve">Environment International</w:t>
      </w:r>
      <w:r>
        <w:rPr>
          <w:sz w:val="19"/>
          <w:szCs w:val="19"/>
        </w:rPr>
        <w:t xml:space="preserve"> 134, 104845. </w:t>
      </w:r>
      <w:hyperlink w:history="1" r:id="rId_wpjtgnunom91_2nnnpn9">
        <w:r>
          <w:rPr>
            <w:rStyle w:val="Hyperlink"/>
            <w:sz w:val="19"/>
            <w:szCs w:val="19"/>
          </w:rPr>
          <w:t xml:space="preserve">https://doi.org/10.1016/j.envint.2019.05.039</w:t>
        </w:r>
      </w:hyperlink>
      <w:r>
        <w:rPr>
          <w:sz w:val="19"/>
          <w:szCs w:val="19"/>
        </w:rPr>
        <w:t xml:space="preserve"> — no association with modelled PM10; small excesses of heart and genital anomalies with proximity, possibly confounded. Abstract only; direct evidence.</w:t>
      </w:r>
    </w:p>
    <w:p>
      <w:pPr>
        <w:spacing w:after="80"/>
        <w:ind w:left="360" w:hanging="360"/>
      </w:pPr>
      <w:r>
        <w:rPr>
          <w:sz w:val="19"/>
          <w:szCs w:val="19"/>
        </w:rPr>
        <w:t xml:space="preserve">Douglas, P. et al. (2017). Estimating particulate exposure from modern municipal waste incinerators in Great Britain. </w:t>
      </w:r>
      <w:r>
        <w:rPr>
          <w:i/>
          <w:iCs/>
          <w:sz w:val="19"/>
          <w:szCs w:val="19"/>
        </w:rPr>
        <w:t xml:space="preserve">Environmental Science &amp; Technology</w:t>
      </w:r>
      <w:r>
        <w:rPr>
          <w:sz w:val="19"/>
          <w:szCs w:val="19"/>
        </w:rPr>
        <w:t xml:space="preserve"> 51(13), 7511–7519. </w:t>
      </w:r>
      <w:hyperlink w:history="1" r:id="rIdwgvrpoguhz1svyy9l1ygs">
        <w:r>
          <w:rPr>
            <w:rStyle w:val="Hyperlink"/>
            <w:sz w:val="19"/>
            <w:szCs w:val="19"/>
          </w:rPr>
          <w:t xml:space="preserve">https://doi.org/10.1021/acs.est.6b06478</w:t>
        </w:r>
      </w:hyperlink>
      <w:r>
        <w:rPr>
          <w:sz w:val="19"/>
          <w:szCs w:val="19"/>
        </w:rPr>
        <w:t xml:space="preserve"> — modelled incinerator PM10 three to five orders of magnitude below background. Abstract only; explanatory evidence.</w:t>
      </w:r>
    </w:p>
    <w:p>
      <w:pPr>
        <w:spacing w:after="80"/>
        <w:ind w:left="360" w:hanging="360"/>
      </w:pPr>
      <w:r>
        <w:rPr>
          <w:sz w:val="19"/>
          <w:szCs w:val="19"/>
        </w:rPr>
        <w:t xml:space="preserve">García-Pérez, J. et al. (2013; online 2012). Cancer mortality in towns in the vicinity of incinerators and installations for the recovery or disposal of hazardous waste. </w:t>
      </w:r>
      <w:r>
        <w:rPr>
          <w:i/>
          <w:iCs/>
          <w:sz w:val="19"/>
          <w:szCs w:val="19"/>
        </w:rPr>
        <w:t xml:space="preserve">Environment International</w:t>
      </w:r>
      <w:r>
        <w:rPr>
          <w:sz w:val="19"/>
          <w:szCs w:val="19"/>
        </w:rPr>
        <w:t xml:space="preserve"> 51, 31–44. </w:t>
      </w:r>
      <w:hyperlink w:history="1" r:id="rIdwfqhazqqkodbgnyqzmsf1">
        <w:r>
          <w:rPr>
            <w:rStyle w:val="Hyperlink"/>
            <w:sz w:val="19"/>
            <w:szCs w:val="19"/>
          </w:rPr>
          <w:t xml:space="preserve">https://doi.org/10.1016/j.envint.2012.10.003</w:t>
        </w:r>
      </w:hyperlink>
      <w:r>
        <w:rPr>
          <w:sz w:val="19"/>
          <w:szCs w:val="19"/>
        </w:rPr>
        <w:t xml:space="preserve"> — relative risk 1.09 within 5 km, 1997–2006 data. Abstract only; explanatory evidence on older facilities (cited in the earlier account).</w:t>
      </w:r>
    </w:p>
    <w:p>
      <w:pPr>
        <w:spacing w:after="80"/>
        <w:ind w:left="360" w:hanging="360"/>
      </w:pPr>
      <w:r>
        <w:rPr>
          <w:sz w:val="19"/>
          <w:szCs w:val="19"/>
        </w:rPr>
        <w:t xml:space="preserve">Vernez, D. et al. (2023; online 2022). Polychlorinated dibenzo-p-dioxins and dibenzofurans soil contamination in Lausanne, Switzerland. </w:t>
      </w:r>
      <w:r>
        <w:rPr>
          <w:i/>
          <w:iCs/>
          <w:sz w:val="19"/>
          <w:szCs w:val="19"/>
        </w:rPr>
        <w:t xml:space="preserve">Environmental Pollution</w:t>
      </w:r>
      <w:r>
        <w:rPr>
          <w:sz w:val="19"/>
          <w:szCs w:val="19"/>
        </w:rPr>
        <w:t xml:space="preserve"> 316, 120441. </w:t>
      </w:r>
      <w:hyperlink w:history="1" r:id="rIdlwek3izqgi_5x74gk_azl">
        <w:r>
          <w:rPr>
            <w:rStyle w:val="Hyperlink"/>
            <w:sz w:val="19"/>
            <w:szCs w:val="19"/>
          </w:rPr>
          <w:t xml:space="preserve">https://doi.org/10.1016/j.envpol.2022.120441</w:t>
        </w:r>
      </w:hyperlink>
      <w:r>
        <w:rPr>
          <w:sz w:val="19"/>
          <w:szCs w:val="19"/>
        </w:rPr>
        <w:t xml:space="preserve"> — legacy contamination attributed to a former incinerator; modelled exposure via home-produced eggs. Abstract only; reframing evidence on the cessation assumption (cited in the earlier account).</w:t>
      </w:r>
    </w:p>
    <w:p>
      <w:pPr>
        <w:spacing w:after="80"/>
        <w:ind w:left="360" w:hanging="360"/>
      </w:pPr>
      <w:r>
        <w:rPr>
          <w:sz w:val="19"/>
          <w:szCs w:val="19"/>
        </w:rPr>
        <w:t xml:space="preserve">Mataloni, F. et al. (2016). Morbidity and mortality of people who live close to municipal waste landfills: a multisite cohort study. </w:t>
      </w:r>
      <w:r>
        <w:rPr>
          <w:i/>
          <w:iCs/>
          <w:sz w:val="19"/>
          <w:szCs w:val="19"/>
        </w:rPr>
        <w:t xml:space="preserve">International Journal of Epidemiology</w:t>
      </w:r>
      <w:r>
        <w:rPr>
          <w:sz w:val="19"/>
          <w:szCs w:val="19"/>
        </w:rPr>
        <w:t xml:space="preserve"> 45(3), 806–815. </w:t>
      </w:r>
      <w:hyperlink w:history="1" r:id="rId-1rb3_u2zrzqdq9akcmpf">
        <w:r>
          <w:rPr>
            <w:rStyle w:val="Hyperlink"/>
            <w:sz w:val="19"/>
            <w:szCs w:val="19"/>
          </w:rPr>
          <w:t xml:space="preserve">https://doi.org/10.1093/ije/dyw052</w:t>
        </w:r>
      </w:hyperlink>
      <w:r>
        <w:rPr>
          <w:sz w:val="19"/>
          <w:szCs w:val="19"/>
        </w:rPr>
        <w:t xml:space="preserve"> — hydrogen sulphide exposure near Lazio landfills associated with lung-cancer mortality and respiratory disease. Abstract only; reframing evidence on landfill effects.</w:t>
      </w:r>
    </w:p>
    <w:p>
      <w:pPr>
        <w:spacing w:after="100"/>
      </w:pPr>
      <w:r>
        <w:rPr>
          <w:rFonts w:ascii="Calibri" w:cs="Calibri" w:eastAsia="Calibri" w:hAnsi="Calibri"/>
          <w:b/>
          <w:bCs/>
          <w:color w:val="1F3A5F"/>
          <w:sz w:val="20"/>
          <w:szCs w:val="20"/>
        </w:rPr>
        <w:t xml:space="preserve">Evidence limitations. </w:t>
      </w:r>
      <w:r>
        <w:t xml:space="preserve">The later epidemiological evidence was assessed from abstracts. No study was identified that re-estimates the cancer burden near incinerators in the three countries after 2011. Incineration figures are for the UK rather than England, and plant numbers were not verified. Eurostat’s 2001 baselines differ from the paper’s own table.</w:t>
      </w:r>
    </w:p>
    <w:p>
      <w:pPr>
        <w:spacing w:after="100"/>
      </w:pPr>
      <w:r>
        <w:rPr>
          <w:rFonts w:ascii="Calibri" w:cs="Calibri" w:eastAsia="Calibri" w:hAnsi="Calibri"/>
          <w:b/>
          <w:bCs/>
          <w:color w:val="1F3A5F"/>
          <w:sz w:val="20"/>
          <w:szCs w:val="20"/>
        </w:rPr>
        <w:t xml:space="preserve">Review status. </w:t>
      </w:r>
      <w:r>
        <w:t xml:space="preserve">Provisional interpretation. The original and the waste statistics were verified; the later epidemiology is abstract-only.</w:t>
      </w:r>
    </w:p>
    <w:p>
      <w:pPr>
        <w:keepNext/>
        <w:spacing w:after="60" w:before="160"/>
      </w:pPr>
      <w:r>
        <w:rPr>
          <w:rFonts w:ascii="Calibri" w:cs="Calibri" w:eastAsia="Calibri" w:hAnsi="Calibri"/>
          <w:b/>
          <w:bCs/>
          <w:color w:val="1F3A5F"/>
          <w:spacing w:val="20"/>
          <w:sz w:val="17"/>
          <w:szCs w:val="17"/>
        </w:rPr>
        <w:t xml:space="preserve">EARLIER ACCOUNT 52 — PRESERVED VERBATIM</w:t>
      </w:r>
    </w:p>
    <w:p>
      <w:pPr>
        <w:pBdr>
          <w:left w:val="single" w:color="B8C2CC" w:sz="12" w:space="8"/>
        </w:pBdr>
        <w:shd w:fill="F2F4F6" w:color="auto" w:val="clear"/>
        <w:spacing w:after="60" w:before="40"/>
        <w:ind w:left="200" w:right="120"/>
      </w:pPr>
      <w:r>
        <w:rPr>
          <w:sz w:val="19"/>
          <w:szCs w:val="19"/>
        </w:rPr>
        <w:t xml:space="preserve">Partly. Excess cancer deaths near Spanish incinerators (2012) and dioxin exposure persisting near a closed Lausanne incinerator (2022) cast doubt on its projection that impacts fade to zero.</w:t>
      </w:r>
    </w:p>
    <w:p>
      <w:pPr>
        <w:pBdr>
          <w:left w:val="single" w:color="B8C2CC" w:sz="12" w:space="8"/>
        </w:pBdr>
        <w:shd w:fill="F2F4F6" w:color="auto" w:val="clear"/>
        <w:spacing w:after="140" w:before="0"/>
        <w:ind w:left="200" w:right="120"/>
      </w:pPr>
      <w:r>
        <w:rPr>
          <w:sz w:val="19"/>
          <w:szCs w:val="19"/>
        </w:rPr>
        <w:t xml:space="preserve">Later sources: Cancer mortality in towns in the vicinity of incinerators and installations for the recovery or disposal of hazardous waste (2012), </w:t>
      </w:r>
      <w:hyperlink w:history="1" r:id="rIdnf9teeakkhnabjpiy7rlp">
        <w:r>
          <w:rPr>
            <w:rStyle w:val="Hyperlink"/>
            <w:sz w:val="19"/>
            <w:szCs w:val="19"/>
          </w:rPr>
          <w:t xml:space="preserve">https://doi.org/10.1016/j.envint.2012.10.003</w:t>
        </w:r>
      </w:hyperlink>
      <w:r>
        <w:rPr>
          <w:sz w:val="19"/>
          <w:szCs w:val="19"/>
        </w:rPr>
        <w:t xml:space="preserve">;</w:t>
      </w:r>
      <w:r>
        <w:rPr>
          <w:sz w:val="19"/>
          <w:szCs w:val="19"/>
        </w:rPr>
        <w:t xml:space="preserve"> PCDD/PCDF soil contamination in Lausanne, Switzerland (2022), </w:t>
      </w:r>
      <w:hyperlink w:history="1" r:id="rId09lmmdkjsc6g0waxq0aiu">
        <w:r>
          <w:rPr>
            <w:rStyle w:val="Hyperlink"/>
            <w:sz w:val="19"/>
            <w:szCs w:val="19"/>
          </w:rPr>
          <w:t xml:space="preserve">https://doi.org/10.1016/j.envpol.2022.120441</w:t>
        </w:r>
      </w:hyperlink>
      <w:r>
        <w:rPr>
          <w:sz w:val="19"/>
          <w:szCs w:val="19"/>
        </w:rPr>
        <w:t xml:space="preserve">.</w:t>
      </w:r>
      <w:r>
        <w:rPr>
          <w:sz w:val="19"/>
          <w:szCs w:val="19"/>
        </w:rPr>
        <w:t xml:space="preserve">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reasoning does not hold. The decline to zero is a property of the model’s accounting boundary, not an empirical claim that harm vanishes, so evidence that harm exists does not refute it. The Spanish study reports relative risks (not counts of excess deaths) for 1997–2006, a period before the projection, and was published about 17 months after the original. The Lausanne case concerns legacy soil contamination and food ingestion from an older plant in a fourth country; it qualifies the model’s cessation assumption for persistent pollutants but does not test the projection. The account also misses the larger change: incineration in England expanded instead of ending around 2020.</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remove the verdict, explain the conditional nature of the decline, and replace the argument with evidence on changed facility trajectories, modern-plant epidemiology and legacy contamination; </w:t>
      </w:r>
      <w:r>
        <w:rPr>
          <w:b/>
          <w:bCs/>
        </w:rPr>
        <w:t xml:space="preserve">strengthen with new evidence</w:t>
      </w:r>
      <w:r>
        <w:t xml:space="preserve"> as listed.</w:t>
      </w:r>
    </w:p>
    <w:p>
      <w:r>
        <w:br w:type="page"/>
      </w:r>
    </w:p>
    <w:p>
      <w:pPr>
        <w:pStyle w:val="Heading1"/>
      </w:pPr>
      <w:r>
        <w:t xml:space="preserve">Migration and integration</w:t>
      </w:r>
    </w:p>
    <w:p>
      <w:pPr>
        <w:pStyle w:val="Heading2"/>
      </w:pPr>
      <w:r>
        <w:t xml:space="preserve">Account 18 — Immigration and integration scenarios for Europe to 2050 (2013)</w:t>
      </w:r>
    </w:p>
    <w:p>
      <w:pPr>
        <w:spacing w:after="100"/>
      </w:pPr>
      <w:r>
        <w:rPr>
          <w:rFonts w:ascii="Calibri" w:cs="Calibri" w:eastAsia="Calibri" w:hAnsi="Calibri"/>
          <w:b/>
          <w:bCs/>
          <w:color w:val="1F3A5F"/>
          <w:sz w:val="20"/>
          <w:szCs w:val="20"/>
        </w:rPr>
        <w:t xml:space="preserve">Existing VV Futures account. </w:t>
      </w:r>
      <w:r>
        <w:t xml:space="preserve">New account. There is no earlier VV Futures account for claim record 448.</w:t>
      </w:r>
    </w:p>
    <w:p>
      <w:pPr>
        <w:spacing w:after="100"/>
      </w:pPr>
      <w:r>
        <w:rPr>
          <w:rFonts w:ascii="Calibri" w:cs="Calibri" w:eastAsia="Calibri" w:hAnsi="Calibri"/>
          <w:b/>
          <w:bCs/>
          <w:color w:val="1F3A5F"/>
          <w:sz w:val="20"/>
          <w:szCs w:val="20"/>
        </w:rPr>
        <w:t xml:space="preserve">Original study. </w:t>
      </w:r>
      <w:r>
        <w:t xml:space="preserve">Avramov, Dragana (2013). Immigration and integration scenarios in global Europe: Forward-looking up to 2050. </w:t>
      </w:r>
      <w:r>
        <w:rPr>
          <w:i/>
          <w:iCs/>
        </w:rPr>
        <w:t xml:space="preserve">Sociologija</w:t>
      </w:r>
      <w:r>
        <w:t xml:space="preserve"> 55(2), 169–186. Population and Social Policy Consultants, Brussels. </w:t>
      </w:r>
      <w:hyperlink w:history="1" r:id="rIdhni1m5xh-bkpbhytewe7p">
        <w:r>
          <w:rPr>
            <w:rStyle w:val="Hyperlink"/>
          </w:rPr>
          <w:t xml:space="preserve">https://doi.org/10.2298/SOC1302169A</w:t>
        </w:r>
      </w:hyperlink>
      <w:r>
        <w:t xml:space="preserve"> (diamond open access; the full text could not be opened during this review, so the abstract was used).</w:t>
      </w:r>
    </w:p>
    <w:p>
      <w:pPr>
        <w:spacing w:after="100"/>
      </w:pPr>
      <w:r>
        <w:rPr>
          <w:rFonts w:ascii="Calibri" w:cs="Calibri" w:eastAsia="Calibri" w:hAnsi="Calibri"/>
          <w:b/>
          <w:bCs/>
          <w:color w:val="1F3A5F"/>
          <w:sz w:val="20"/>
          <w:szCs w:val="20"/>
        </w:rPr>
        <w:t xml:space="preserve">Original future claim. </w:t>
      </w:r>
      <w:r>
        <w:t xml:space="preserve">Paraphrase from the abstract: the article compares EU population prospects to 2050 under several migration hypotheses — business as usual, replacement migration, and recruitment to fill gaps in labour supply — and builds a deliberate shock storyline of no immigration into the EU, setting out the social consequences of the zero immigration that, according to the abstract, some policy circles desired. Its closing recommendation is that assessments of future immigration needs should combine integration scenarios with demographic projections and labour-market needs. Key phrase (abstract): “No immigration into European Union” as a shock hypothesis. The catalogued excerpt (HISTORICAL-CLAIMS record 448) reproduces only the recommendation sentence, which is methodological; the substantive future content lies in the comparison of migration hypotheses and the zero-immigration warning.</w:t>
      </w:r>
    </w:p>
    <w:p>
      <w:pPr>
        <w:spacing w:after="100"/>
      </w:pPr>
      <w:r>
        <w:rPr>
          <w:rFonts w:ascii="Calibri" w:cs="Calibri" w:eastAsia="Calibri" w:hAnsi="Calibri"/>
          <w:b/>
          <w:bCs/>
          <w:color w:val="1F3A5F"/>
          <w:sz w:val="20"/>
          <w:szCs w:val="20"/>
        </w:rPr>
        <w:t xml:space="preserve">What was envisioned. </w:t>
      </w:r>
      <w:r>
        <w:t xml:space="preserve">Avramov, who had contributed to the European Commission’s </w:t>
      </w:r>
      <w:r>
        <w:rPr>
          <w:i/>
          <w:iCs/>
        </w:rPr>
        <w:t xml:space="preserve">Global Europe 2050</w:t>
      </w:r>
      <w:r>
        <w:t xml:space="preserve"> foresight, treated immigration as a structural question for an ageing Union. She contrasted demographic and labour-market pathways under continued, replacement-level and labour-recruitment migration with a provocative counterfactual in which immigration stopped altogether, and argued that projections of population and labour supply would mislead unless paired with explicit scenarios for how well immigrants are integrated.</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European Union has moved further from the zero-immigration storyline than from any of the other hypotheses. Eurostat’s demographic balance shows natural change in the EU-27 negative in every year from 2012 onwards, deepening to roughly 1.35 million more deaths than births in 2025, while the population on 1 January rose from about 441.7 million in 2013 to about 452.0 million in 2026. Over 2013–2025 the recorded net migration (a residual that includes statistical adjustment) sums to roughly 19 million against roughly 9 million of natural decrease, so all of the Union’s population growth in the period came from migration.</w:t>
      </w:r>
    </w:p>
    <w:p>
      <w:r>
        <w:t xml:space="preserve">What drove migration, however, was not the orderly labour-recruitment logic of the scenarios but a sequence of shocks. First-time asylum applications exceeded 1.2 million in 2015; net migration collapsed to about 0.14 million in the pandemic year 2020; and the Russian invasion of Ukraine brought more than four million people under temporary protection, with net migration of about 3.2 million in 2022. Labour channels also widened — first residence permits issued for employment reasons rose from about 0.43 million in 2013 to about 1.3 million in 2025 — but they were one stream among several rather than the governing mechanism.</w:t>
      </w:r>
    </w:p>
    <w:p>
      <w:r>
        <w:t xml:space="preserve">Official foresight later adopted the comparison Avramov proposed. Eurostat’s EUROPOP2019 and EUROPOP2023 projections both place the EU population peak around 2026 under baseline assumptions, and their no-migration variants show immediate decline — to about 408 million by 2050 in EUROPOP2023, against about 448 million in the baseline — with a markedly higher old-age dependency ratio. JRC–IIASA studies went further and modelled integration scenarios alongside migration volumes, concluding that the degree of labour-market integration matters about as much as the number of arrivals for the balance between workers and dependants. Measured integration improved but did not converge: the employment rate of non-EU-born adults aged 20–64 rose from 57.0% in 2013 to 68.6% in 2025, narrowing the gap with the native-born from about 11 to about 9 percentage points. The 2050 horizon remains open.</w:t>
      </w:r>
    </w:p>
    <w:p>
      <w:pPr>
        <w:spacing w:after="100"/>
      </w:pPr>
      <w:r>
        <w:rPr>
          <w:rFonts w:ascii="Calibri" w:cs="Calibri" w:eastAsia="Calibri" w:hAnsi="Calibri"/>
          <w:b/>
          <w:bCs/>
          <w:color w:val="1F3A5F"/>
          <w:sz w:val="20"/>
          <w:szCs w:val="20"/>
        </w:rPr>
        <w:t xml:space="preserve">Interpretation. </w:t>
      </w:r>
      <w:r>
        <w:t xml:space="preserve">The methodological recommendation developed broadly along the envisioned pathway: integration and labour-market scenarios became standard companions of EU population projections. The migration pathway itself was transformed by unexpected events — an asylum surge, a pandemic and a war — rather than shaped by planned recruitment, and the zero-immigration storyline survives as a counterfactual reference case in official projections. The 2050 horizon has not been reached.</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Eurostat (dataset updated 30 September 2026). </w:t>
      </w:r>
      <w:r>
        <w:rPr>
          <w:i/>
          <w:iCs/>
          <w:sz w:val="19"/>
          <w:szCs w:val="19"/>
        </w:rPr>
        <w:t xml:space="preserve">Population change – demographic balance and crude rates at national level</w:t>
      </w:r>
      <w:r>
        <w:rPr>
          <w:sz w:val="19"/>
          <w:szCs w:val="19"/>
        </w:rPr>
        <w:t xml:space="preserve"> (demo_gind), EU27_2020, 2012–2025. Eurostat database, dataset code demo_gind, </w:t>
      </w:r>
      <w:hyperlink w:history="1" r:id="rIdn04usawgipwhf6hrmz8fd">
        <w:r>
          <w:rPr>
            <w:rStyle w:val="Hyperlink"/>
            <w:sz w:val="19"/>
            <w:szCs w:val="19"/>
          </w:rPr>
          <w:t xml:space="preserve">https://ec.europa.eu/eurostat/web/main/data/database</w:t>
        </w:r>
      </w:hyperlink>
      <w:r>
        <w:rPr>
          <w:sz w:val="19"/>
          <w:szCs w:val="19"/>
        </w:rPr>
        <w:t xml:space="preserve"> — negative natural change every year since 2012; population 441.7 million (2013) to 452.0 million (2026); net migration about 3.16 million in 2022. Dataset; values partly provisional.</w:t>
      </w:r>
    </w:p>
    <w:p>
      <w:pPr>
        <w:spacing w:after="80"/>
        <w:ind w:left="360" w:hanging="360"/>
      </w:pPr>
      <w:r>
        <w:rPr>
          <w:sz w:val="19"/>
          <w:szCs w:val="19"/>
        </w:rPr>
        <w:t xml:space="preserve">Eurostat (2023; dataset updated 2026). </w:t>
      </w:r>
      <w:r>
        <w:rPr>
          <w:i/>
          <w:iCs/>
          <w:sz w:val="19"/>
          <w:szCs w:val="19"/>
        </w:rPr>
        <w:t xml:space="preserve">EUROPOP2023 population projections</w:t>
      </w:r>
      <w:r>
        <w:rPr>
          <w:sz w:val="19"/>
          <w:szCs w:val="19"/>
        </w:rPr>
        <w:t xml:space="preserve"> (proj_23np), EU27_2020. Eurostat database, dataset code proj_23np, </w:t>
      </w:r>
      <w:hyperlink w:history="1" r:id="rIdslt2btzzk0cy7hvdvhng1">
        <w:r>
          <w:rPr>
            <w:rStyle w:val="Hyperlink"/>
            <w:sz w:val="19"/>
            <w:szCs w:val="19"/>
          </w:rPr>
          <w:t xml:space="preserve">https://ec.europa.eu/eurostat/web/main/data/database</w:t>
        </w:r>
      </w:hyperlink>
      <w:r>
        <w:rPr>
          <w:sz w:val="19"/>
          <w:szCs w:val="19"/>
        </w:rPr>
        <w:t xml:space="preserve"> — baseline peak in 2026 (about 453.3 million) and 447.9 million in 2050; no-migration variant 408.5 million in 2050; old-age dependency ratio 50.4 (baseline) versus 56.2 (no migration) in 2050. Later foresight.</w:t>
      </w:r>
    </w:p>
    <w:p>
      <w:pPr>
        <w:spacing w:after="80"/>
        <w:ind w:left="360" w:hanging="360"/>
      </w:pPr>
      <w:r>
        <w:rPr>
          <w:sz w:val="19"/>
          <w:szCs w:val="19"/>
        </w:rPr>
        <w:t xml:space="preserve">Eurostat (2019). </w:t>
      </w:r>
      <w:r>
        <w:rPr>
          <w:i/>
          <w:iCs/>
          <w:sz w:val="19"/>
          <w:szCs w:val="19"/>
        </w:rPr>
        <w:t xml:space="preserve">EUROPOP2019 population projections</w:t>
      </w:r>
      <w:r>
        <w:rPr>
          <w:sz w:val="19"/>
          <w:szCs w:val="19"/>
        </w:rPr>
        <w:t xml:space="preserve"> (proj_19np). Eurostat database, dataset code proj_19np, </w:t>
      </w:r>
      <w:hyperlink w:history="1" r:id="rIdp_hbsuw_9rqkivr6z_ycr">
        <w:r>
          <w:rPr>
            <w:rStyle w:val="Hyperlink"/>
            <w:sz w:val="19"/>
            <w:szCs w:val="19"/>
          </w:rPr>
          <w:t xml:space="preserve">https://ec.europa.eu/eurostat/web/main/data/database</w:t>
        </w:r>
      </w:hyperlink>
      <w:r>
        <w:rPr>
          <w:sz w:val="19"/>
          <w:szCs w:val="19"/>
        </w:rPr>
        <w:t xml:space="preserve"> — baseline also peaking in 2026; no-migration variant about 401 million in 2050. Later foresight.</w:t>
      </w:r>
    </w:p>
    <w:p>
      <w:pPr>
        <w:spacing w:after="80"/>
        <w:ind w:left="360" w:hanging="360"/>
      </w:pPr>
      <w:r>
        <w:rPr>
          <w:sz w:val="19"/>
          <w:szCs w:val="19"/>
        </w:rPr>
        <w:t xml:space="preserve">Eurostat (datasets updated September–October 2026). </w:t>
      </w:r>
      <w:r>
        <w:rPr>
          <w:i/>
          <w:iCs/>
          <w:sz w:val="19"/>
          <w:szCs w:val="19"/>
        </w:rPr>
        <w:t xml:space="preserve">Asylum applicants</w:t>
      </w:r>
      <w:r>
        <w:rPr>
          <w:sz w:val="19"/>
          <w:szCs w:val="19"/>
        </w:rPr>
        <w:t xml:space="preserve"> (migr_asyappctza) and </w:t>
      </w:r>
      <w:r>
        <w:rPr>
          <w:i/>
          <w:iCs/>
          <w:sz w:val="19"/>
          <w:szCs w:val="19"/>
        </w:rPr>
        <w:t xml:space="preserve">Beneficiaries of temporary protection</w:t>
      </w:r>
      <w:r>
        <w:rPr>
          <w:sz w:val="19"/>
          <w:szCs w:val="19"/>
        </w:rPr>
        <w:t xml:space="preserve"> (migr_asytpsm). Eurostat database, dataset code migr_asyappctza, </w:t>
      </w:r>
      <w:hyperlink w:history="1" r:id="rIdsy617xnx9m_hhq2uiqxb1">
        <w:r>
          <w:rPr>
            <w:rStyle w:val="Hyperlink"/>
            <w:sz w:val="19"/>
            <w:szCs w:val="19"/>
          </w:rPr>
          <w:t xml:space="preserve">https://ec.europa.eu/eurostat/web/main/data/database</w:t>
        </w:r>
      </w:hyperlink>
      <w:r>
        <w:rPr>
          <w:sz w:val="19"/>
          <w:szCs w:val="19"/>
        </w:rPr>
        <w:t xml:space="preserve"> — about 1.22 million first-time applicants in 2015; 4.35 million temporary-protection beneficiaries in December 2025. Explanatory evidence.</w:t>
      </w:r>
    </w:p>
    <w:p>
      <w:pPr>
        <w:spacing w:after="80"/>
        <w:ind w:left="360" w:hanging="360"/>
      </w:pPr>
      <w:r>
        <w:rPr>
          <w:sz w:val="19"/>
          <w:szCs w:val="19"/>
        </w:rPr>
        <w:t xml:space="preserve">Eurostat. </w:t>
      </w:r>
      <w:r>
        <w:rPr>
          <w:i/>
          <w:iCs/>
          <w:sz w:val="19"/>
          <w:szCs w:val="19"/>
        </w:rPr>
        <w:t xml:space="preserve">First permits by reason</w:t>
      </w:r>
      <w:r>
        <w:rPr>
          <w:sz w:val="19"/>
          <w:szCs w:val="19"/>
        </w:rPr>
        <w:t xml:space="preserve"> (migr_resfirst) and </w:t>
      </w:r>
      <w:r>
        <w:rPr>
          <w:i/>
          <w:iCs/>
          <w:sz w:val="19"/>
          <w:szCs w:val="19"/>
        </w:rPr>
        <w:t xml:space="preserve">Employment rates by country of birth</w:t>
      </w:r>
      <w:r>
        <w:rPr>
          <w:sz w:val="19"/>
          <w:szCs w:val="19"/>
        </w:rPr>
        <w:t xml:space="preserve"> (lfsa_ergacob). Eurostat database, dataset code lfsa_ergacob, </w:t>
      </w:r>
      <w:hyperlink w:history="1" r:id="rIdiio8n5lwaotzobz87wxzf">
        <w:r>
          <w:rPr>
            <w:rStyle w:val="Hyperlink"/>
            <w:sz w:val="19"/>
            <w:szCs w:val="19"/>
          </w:rPr>
          <w:t xml:space="preserve">https://ec.europa.eu/eurostat/web/main/data/database</w:t>
        </w:r>
      </w:hyperlink>
      <w:r>
        <w:rPr>
          <w:sz w:val="19"/>
          <w:szCs w:val="19"/>
        </w:rPr>
        <w:t xml:space="preserve"> — employment permits about 0.43 million (2013) and 1.30 million (2025); employment rate of non-EU-born aged 20–64: 57.0% (2013), 68.6% (2025). Direct evidence on integration outcomes.</w:t>
      </w:r>
    </w:p>
    <w:p>
      <w:pPr>
        <w:spacing w:after="80"/>
        <w:ind w:left="360" w:hanging="360"/>
      </w:pPr>
      <w:r>
        <w:rPr>
          <w:sz w:val="19"/>
          <w:szCs w:val="19"/>
        </w:rPr>
        <w:t xml:space="preserve">Marois, G. &amp; Potančoková, M. (2020). </w:t>
      </w:r>
      <w:r>
        <w:rPr>
          <w:i/>
          <w:iCs/>
          <w:sz w:val="19"/>
          <w:szCs w:val="19"/>
        </w:rPr>
        <w:t xml:space="preserve">Scenarios of labour force participation and employment integration of immigrants in the EU: demographic perspective</w:t>
      </w:r>
      <w:r>
        <w:rPr>
          <w:sz w:val="19"/>
          <w:szCs w:val="19"/>
        </w:rPr>
        <w:t xml:space="preserve">. JRC Technical Report EUR 30146 EN. </w:t>
      </w:r>
      <w:hyperlink w:history="1" r:id="rId9cyapxldcdl5wrsqree7g">
        <w:r>
          <w:rPr>
            <w:rStyle w:val="Hyperlink"/>
            <w:sz w:val="19"/>
            <w:szCs w:val="19"/>
          </w:rPr>
          <w:t xml:space="preserve">https://doi.org/10.2760/021884</w:t>
        </w:r>
      </w:hyperlink>
      <w:r>
        <w:rPr>
          <w:sz w:val="19"/>
          <w:szCs w:val="19"/>
        </w:rPr>
        <w:t xml:space="preserve"> — at equal immigration volumes, high integration roughly halves the projected decline of the employed population while low integration almost doubles it. Full text read; later foresight that operationalises the original recommendation.</w:t>
      </w:r>
    </w:p>
    <w:p>
      <w:pPr>
        <w:spacing w:after="80"/>
        <w:ind w:left="360" w:hanging="360"/>
      </w:pPr>
      <w:r>
        <w:rPr>
          <w:sz w:val="19"/>
          <w:szCs w:val="19"/>
        </w:rPr>
        <w:t xml:space="preserve">Lutz, W. et al. (2019). </w:t>
      </w:r>
      <w:r>
        <w:rPr>
          <w:i/>
          <w:iCs/>
          <w:sz w:val="19"/>
          <w:szCs w:val="19"/>
        </w:rPr>
        <w:t xml:space="preserve">Demographic Scenarios for the EU: Migration, Population and Education</w:t>
      </w:r>
      <w:r>
        <w:rPr>
          <w:sz w:val="19"/>
          <w:szCs w:val="19"/>
        </w:rPr>
        <w:t xml:space="preserve">. JRC/IIASA. </w:t>
      </w:r>
      <w:hyperlink w:history="1" r:id="rIdhbqpp0tqboorohgxdxygo">
        <w:r>
          <w:rPr>
            <w:rStyle w:val="Hyperlink"/>
            <w:sz w:val="19"/>
            <w:szCs w:val="19"/>
          </w:rPr>
          <w:t xml:space="preserve">https://doi.org/10.2760/590301</w:t>
        </w:r>
      </w:hyperlink>
      <w:r>
        <w:rPr>
          <w:sz w:val="19"/>
          <w:szCs w:val="19"/>
        </w:rPr>
        <w:t xml:space="preserve"> — higher immigration enlarges the labour force but barely changes the ratio of dependants to workers; raising participation is the most effective lever. Executive summary read; later foresight.</w:t>
      </w:r>
    </w:p>
    <w:p>
      <w:pPr>
        <w:spacing w:after="100"/>
      </w:pPr>
      <w:r>
        <w:rPr>
          <w:rFonts w:ascii="Calibri" w:cs="Calibri" w:eastAsia="Calibri" w:hAnsi="Calibri"/>
          <w:b/>
          <w:bCs/>
          <w:color w:val="1F3A5F"/>
          <w:sz w:val="20"/>
          <w:szCs w:val="20"/>
        </w:rPr>
        <w:t xml:space="preserve">Evidence limitations. </w:t>
      </w:r>
      <w:r>
        <w:t xml:space="preserve">The original article could be assessed only from its abstract, so its specific projection figures, scenario names and listed social consequences of zero immigration remain unchecked. Eurostat net migration is a residual measure with series breaks and provisional recent values. The JRC–IIASA scenarios cover the EU-28 including the United Kingdom and model labour supply only. Recent policy milestones (the 2024 Pact on Migration and Asylum, the 2021–2027 integration action plan, the EU Talent Pool) were not verified in this review and are therefore not used.</w:t>
      </w:r>
    </w:p>
    <w:p>
      <w:pPr>
        <w:spacing w:after="100"/>
      </w:pPr>
      <w:r>
        <w:rPr>
          <w:rFonts w:ascii="Calibri" w:cs="Calibri" w:eastAsia="Calibri" w:hAnsi="Calibri"/>
          <w:b/>
          <w:bCs/>
          <w:color w:val="1F3A5F"/>
          <w:sz w:val="20"/>
          <w:szCs w:val="20"/>
        </w:rPr>
        <w:t xml:space="preserve">Review status. </w:t>
      </w:r>
      <w:r>
        <w:t xml:space="preserve">Abstract-only assessment. The original was read as an abstract; the Eurostat datasets and the two JRC reports were opened directly.</w:t>
      </w:r>
    </w:p>
    <w:p>
      <w:r>
        <w:br w:type="page"/>
      </w:r>
    </w:p>
    <w:p>
      <w:pPr>
        <w:pStyle w:val="Heading1"/>
      </w:pPr>
      <w:r>
        <w:t xml:space="preserve">Scope and fit: claims at the edge of the observatory’s frame</w:t>
      </w:r>
    </w:p>
    <w:p>
      <w:r>
        <w:t xml:space="preserve">Two earlier accounts concerned claims whose fit with a European foresight observatory is questionable: a global technology roadmap whose catalogued excerpt is a borrowed premise, and a Canadian study of farmers’ markets. Both accounts are revised to address what the original publications actually claimed, and both records are flagged for a scope decision by the maintainer.</w:t>
      </w:r>
    </w:p>
    <w:p>
      <w:pPr>
        <w:pStyle w:val="Heading2"/>
      </w:pPr>
      <w:r>
        <w:t xml:space="preserve">Account 19 — Superconductivity and the environment: a roadmap (2013)</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13 (“Superconductivity and the environment (2013)”).</w:t>
      </w:r>
    </w:p>
    <w:p>
      <w:pPr>
        <w:spacing w:after="100"/>
      </w:pPr>
      <w:r>
        <w:rPr>
          <w:rFonts w:ascii="Calibri" w:cs="Calibri" w:eastAsia="Calibri" w:hAnsi="Calibri"/>
          <w:b/>
          <w:bCs/>
          <w:color w:val="1F3A5F"/>
          <w:sz w:val="20"/>
          <w:szCs w:val="20"/>
        </w:rPr>
        <w:t xml:space="preserve">Original study. </w:t>
      </w:r>
      <w:r>
        <w:t xml:space="preserve">Nishijima, S., Eckroad, S., Marian, A., Choi, K., Kim, W. S., Terai, M. et al. (18 authors) (2013). Superconductivity and the environment: a Roadmap. </w:t>
      </w:r>
      <w:r>
        <w:rPr>
          <w:i/>
          <w:iCs/>
        </w:rPr>
        <w:t xml:space="preserve">Superconductor Science and Technology</w:t>
      </w:r>
      <w:r>
        <w:t xml:space="preserve"> 26(11), 113001. </w:t>
      </w:r>
      <w:hyperlink w:history="1" r:id="rIdfr6f0qo9kwypwkxomz2bi">
        <w:r>
          <w:rPr>
            <w:rStyle w:val="Hyperlink"/>
          </w:rPr>
          <w:t xml:space="preserve">https://doi.org/10.1088/0953-2048/26/11/113001</w:t>
        </w:r>
      </w:hyperlink>
      <w:r>
        <w:t xml:space="preserve"> (open access on the publisher site, but the full text could not be retrieved during this review; the detailed section-by-section abstract was used).</w:t>
      </w:r>
    </w:p>
    <w:p>
      <w:pPr>
        <w:spacing w:after="100"/>
      </w:pPr>
      <w:r>
        <w:rPr>
          <w:rFonts w:ascii="Calibri" w:cs="Calibri" w:eastAsia="Calibri" w:hAnsi="Calibri"/>
          <w:b/>
          <w:bCs/>
          <w:color w:val="1F3A5F"/>
          <w:sz w:val="20"/>
          <w:szCs w:val="20"/>
        </w:rPr>
        <w:t xml:space="preserve">Original future claim. </w:t>
      </w:r>
      <w:r>
        <w:t xml:space="preserve">The catalogued excerpt (HISTORICAL-CLAIMS record 455) is a quotation from the 2011 Equinox Summit: to stabilise atmospheric CO₂ at 550 ppm, all growth in energy demand would have to be met by non-carbon sources. In the roadmap this is a motivating premise, not a forecast. The roadmap’s own future-oriented content, paraphrased from its abstract, is that superconducting technologies — low-loss DC transmission of renewable power, magnetic energy storage, maglev and ship propulsion, magnetic separation for water recycling, sensitive magnetometry for natural-hazard monitoring and very low-power computing — would have a significant environmental impact once adopted, with adoption expected to be gradual: the abstract cites an earlier estimate that a 50% transfer of relevant equipment to superconducting systems would take about 20 years at normal replacement rates.</w:t>
      </w:r>
    </w:p>
    <w:p>
      <w:pPr>
        <w:spacing w:after="100"/>
      </w:pPr>
      <w:r>
        <w:rPr>
          <w:rFonts w:ascii="Calibri" w:cs="Calibri" w:eastAsia="Calibri" w:hAnsi="Calibri"/>
          <w:b/>
          <w:bCs/>
          <w:color w:val="1F3A5F"/>
          <w:sz w:val="20"/>
          <w:szCs w:val="20"/>
        </w:rPr>
        <w:t xml:space="preserve">What was envisioned. </w:t>
      </w:r>
      <w:r>
        <w:t xml:space="preserve">The roadmap, written by an international group led from Japan with contributors from the United States, Korea, China, Australia, Germany and France, set out how superconductivity could reduce energy losses and environmental burdens across power systems, transport, industry, sensing and computing. Its expectations were conditional on falling conductor and cooling costs and on the normal replacement cycle of electrical equipment; it was a statement of technological possibility, not a forecast of global emissions.</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The earlier VV Futures account judged this claim against global energy-demand statistics and the Mauna Loa CO₂ record. That test addresses the Equinox premise rather than the roadmap. The CO₂ record itself is accurately reported: NOAA’s Mauna Loa monthly mean reached 432.34 ppm in May 2026, 1.83 ppm above May 2025. But rising concentrations say nothing about whether superconducting technologies developed as the roadmap envisaged, and a concentration of about 432 ppm does not establish whether stabilisation at 550 ppm will or will not be achieved.</w:t>
      </w:r>
    </w:p>
    <w:p>
      <w:r>
        <w:t xml:space="preserve">This review could not verify later evidence on the roadmap’s actual subject. Candidate evidence for Europe includes high-temperature superconducting cable demonstrations in German city grids, a superconducting wind-turbine generator tested under an EU research programme, superconducting fault-current limiters, and the rapid growth of demand for high-temperature superconducting tape from fusion-magnet projects. None of these was opened and checked in this review, so none is used here. The roadmap’s own adoption horizon of roughly two decades points to the early 2030s.</w:t>
      </w:r>
    </w:p>
    <w:p>
      <w:pPr>
        <w:spacing w:after="100"/>
      </w:pPr>
      <w:r>
        <w:rPr>
          <w:rFonts w:ascii="Calibri" w:cs="Calibri" w:eastAsia="Calibri" w:hAnsi="Calibri"/>
          <w:b/>
          <w:bCs/>
          <w:color w:val="1F3A5F"/>
          <w:sz w:val="20"/>
          <w:szCs w:val="20"/>
        </w:rPr>
        <w:t xml:space="preserve">Interpretation. </w:t>
      </w:r>
      <w:r>
        <w:t xml:space="preserve">Reframed and unresolved. The meaningful question for VV Futures is how far superconducting energy, transport and sensing technologies moved from demonstration to deployment, not whether global energy growth was met by non-carbon sources. That question cannot be answered from the evidence verified here, and the roadmap’s link to Europe is limited to a cited EU estimate and the European authors’ sections.</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NOAA Global Monitoring Laboratory (2026). </w:t>
      </w:r>
      <w:r>
        <w:rPr>
          <w:i/>
          <w:iCs/>
          <w:sz w:val="19"/>
          <w:szCs w:val="19"/>
        </w:rPr>
        <w:t xml:space="preserve">Monthly mean CO₂ at Mauna Loa</w:t>
      </w:r>
      <w:r>
        <w:rPr>
          <w:sz w:val="19"/>
          <w:szCs w:val="19"/>
        </w:rPr>
        <w:t xml:space="preserve"> (co2_mm_mlo.txt; file created 9 October 2026). </w:t>
      </w:r>
      <w:hyperlink w:history="1" r:id="rIdnwox7vubououcwave7eru">
        <w:r>
          <w:rPr>
            <w:rStyle w:val="Hyperlink"/>
            <w:sz w:val="19"/>
            <w:szCs w:val="19"/>
          </w:rPr>
          <w:t xml:space="preserve">https://gml.noaa.gov/webdata/ccgg/trends/co2/co2_mm_mlo.txt</w:t>
        </w:r>
      </w:hyperlink>
      <w:r>
        <w:rPr>
          <w:sz w:val="19"/>
          <w:szCs w:val="19"/>
        </w:rPr>
        <w:t xml:space="preserve"> — 432.34 ppm in May 2026; 430.51 ppm in May 2025. Dataset; relevant only to the premise quoted by the roadmap, not to its technology claims.</w:t>
      </w:r>
    </w:p>
    <w:p>
      <w:pPr>
        <w:spacing w:after="100"/>
      </w:pPr>
      <w:r>
        <w:rPr>
          <w:rFonts w:ascii="Calibri" w:cs="Calibri" w:eastAsia="Calibri" w:hAnsi="Calibri"/>
          <w:b/>
          <w:bCs/>
          <w:color w:val="1F3A5F"/>
          <w:sz w:val="20"/>
          <w:szCs w:val="20"/>
        </w:rPr>
        <w:t xml:space="preserve">Evidence limitations. </w:t>
      </w:r>
      <w:r>
        <w:t xml:space="preserve">The roadmap was assessed from its abstract only, so section-level expectations and any dated milestones are unchecked. No later evidence on superconductor deployment was verified. The energy-demand statistics in the earlier account (wind and solar growth in 2024, fossil-fuel use) could not be traced to identifiable documents. The claim’s European scope is marginal.</w:t>
      </w:r>
    </w:p>
    <w:p>
      <w:pPr>
        <w:spacing w:after="100"/>
      </w:pPr>
      <w:r>
        <w:rPr>
          <w:rFonts w:ascii="Calibri" w:cs="Calibri" w:eastAsia="Calibri" w:hAnsi="Calibri"/>
          <w:b/>
          <w:bCs/>
          <w:color w:val="1F3A5F"/>
          <w:sz w:val="20"/>
          <w:szCs w:val="20"/>
        </w:rPr>
        <w:t xml:space="preserve">Review status. </w:t>
      </w:r>
      <w:r>
        <w:t xml:space="preserve">Insufficient evidence. Earlier account to be corrected; claim flagged as of marginal European scope.</w:t>
      </w:r>
    </w:p>
    <w:p>
      <w:pPr>
        <w:keepNext/>
        <w:spacing w:after="60" w:before="160"/>
      </w:pPr>
      <w:r>
        <w:rPr>
          <w:rFonts w:ascii="Calibri" w:cs="Calibri" w:eastAsia="Calibri" w:hAnsi="Calibri"/>
          <w:b/>
          <w:bCs/>
          <w:color w:val="1F3A5F"/>
          <w:spacing w:val="20"/>
          <w:sz w:val="17"/>
          <w:szCs w:val="17"/>
        </w:rPr>
        <w:t xml:space="preserve">EARLIER ACCOUNT 13 — PRESERVED VERBATIM</w:t>
      </w:r>
    </w:p>
    <w:p>
      <w:pPr>
        <w:pBdr>
          <w:left w:val="single" w:color="B8C2CC" w:sz="12" w:space="8"/>
        </w:pBdr>
        <w:shd w:fill="F2F4F6" w:color="auto" w:val="clear"/>
        <w:spacing w:after="60" w:before="40"/>
        <w:ind w:left="200" w:right="120"/>
      </w:pPr>
      <w:r>
        <w:rPr>
          <w:sz w:val="19"/>
          <w:szCs w:val="19"/>
        </w:rPr>
        <w:t xml:space="preserve">No. Growth isn’t being met by non-carbon energy. Wind and solar grew nine times faster than demand in 2024 but didn’t cover it, and fossil fuel use still rose just over 1%. CO2 at Mauna Loa peaked at 432 ppm in May 2026, 1.8 ppm above a year earlier.</w:t>
      </w:r>
    </w:p>
    <w:p>
      <w:pPr>
        <w:pBdr>
          <w:left w:val="single" w:color="B8C2CC" w:sz="12" w:space="8"/>
        </w:pBdr>
        <w:shd w:fill="F2F4F6" w:color="auto" w:val="clear"/>
        <w:spacing w:after="140" w:before="0"/>
        <w:ind w:left="200" w:right="120"/>
      </w:pPr>
      <w:r>
        <w:rPr>
          <w:sz w:val="19"/>
          <w:szCs w:val="19"/>
        </w:rPr>
        <w:t xml:space="preserve">Additional references (as supplied; links may be missing): dieselnet; ucsd.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Mauna Loa figures are correct (NOAA: 432.34 ppm in May 2026, 1.83 ppm above May 2025), although the earlier account attributes them to “ucsd” (Scripps), whose separate record could not be opened. The 2024 energy statistics could not be verified, and the references are site labels rather than citations. More importantly, the account evaluates the Equinox Summit premise quoted in the roadmap rather than the roadmap’s own claims about superconducting technology, so its verdict “No” does not answer the claim.</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Replace the verdict with an account of superconducting technology deployment (preferably in Europe), keep the verified CO₂ figures only as context for the premise, and </w:t>
      </w:r>
      <w:r>
        <w:rPr>
          <w:b/>
          <w:bCs/>
        </w:rPr>
        <w:t xml:space="preserve">flag for source verification</w:t>
      </w:r>
      <w:r>
        <w:t xml:space="preserve"> the unlinked energy statistics. The record should also be flagged as of marginal European scope.</w:t>
      </w:r>
    </w:p>
    <w:p>
      <w:pPr>
        <w:pBdr>
          <w:bottom w:val="single" w:color="B8C2CC" w:sz="6" w:space="1"/>
        </w:pBdr>
        <w:spacing w:after="120"/>
      </w:pPr>
    </w:p>
    <w:p>
      <w:pPr>
        <w:pStyle w:val="Heading2"/>
      </w:pPr>
      <w:r>
        <w:t xml:space="preserve">Account 20 — Future roles for farmers’ markets in Alberta and British Columbia (2012)</w:t>
      </w:r>
    </w:p>
    <w:p>
      <w:pPr>
        <w:spacing w:after="100"/>
      </w:pPr>
      <w:r>
        <w:rPr>
          <w:rFonts w:ascii="Calibri" w:cs="Calibri" w:eastAsia="Calibri" w:hAnsi="Calibri"/>
          <w:b/>
          <w:bCs/>
          <w:color w:val="1F3A5F"/>
          <w:sz w:val="20"/>
          <w:szCs w:val="20"/>
        </w:rPr>
        <w:t xml:space="preserve">Existing VV Futures account. </w:t>
      </w:r>
      <w:r>
        <w:t xml:space="preserve">Proposed revision of earlier account 27 (“Farmers’ markets, Alberta and BC (2012)”).</w:t>
      </w:r>
    </w:p>
    <w:p>
      <w:pPr>
        <w:spacing w:after="100"/>
      </w:pPr>
      <w:r>
        <w:rPr>
          <w:rFonts w:ascii="Calibri" w:cs="Calibri" w:eastAsia="Calibri" w:hAnsi="Calibri"/>
          <w:b/>
          <w:bCs/>
          <w:color w:val="1F3A5F"/>
          <w:sz w:val="20"/>
          <w:szCs w:val="20"/>
        </w:rPr>
        <w:t xml:space="preserve">Original study. </w:t>
      </w:r>
      <w:r>
        <w:t xml:space="preserve">Wittman, Hannah, Beckie, Mary Anne &amp; Hergesheimer, Chris (2012). Linking Local Food Systems and the Social Economy? Future Roles for Farmers’ Markets in Alberta and British Columbia. </w:t>
      </w:r>
      <w:r>
        <w:rPr>
          <w:i/>
          <w:iCs/>
        </w:rPr>
        <w:t xml:space="preserve">Rural Sociology</w:t>
      </w:r>
      <w:r>
        <w:t xml:space="preserve"> 77(1), 36–61. </w:t>
      </w:r>
      <w:hyperlink w:history="1" r:id="rIdyvuhlpbbxpn08nu4hxb-c">
        <w:r>
          <w:rPr>
            <w:rStyle w:val="Hyperlink"/>
          </w:rPr>
          <w:t xml:space="preserve">https://doi.org/10.1111/j.1549-0831.2011.00068.x</w:t>
        </w:r>
      </w:hyperlink>
      <w:r>
        <w:t xml:space="preserve"> (publisher full text not accessible during this review; abstract used).</w:t>
      </w:r>
    </w:p>
    <w:p>
      <w:pPr>
        <w:spacing w:after="100"/>
      </w:pPr>
      <w:r>
        <w:rPr>
          <w:rFonts w:ascii="Calibri" w:cs="Calibri" w:eastAsia="Calibri" w:hAnsi="Calibri"/>
          <w:b/>
          <w:bCs/>
          <w:color w:val="1F3A5F"/>
          <w:sz w:val="20"/>
          <w:szCs w:val="20"/>
        </w:rPr>
        <w:t xml:space="preserve">Original future claim. </w:t>
      </w:r>
      <w:r>
        <w:t xml:space="preserve">Paraphrase from the abstract: a Delphi panel of vendors, market managers and policy and government representatives in each province explored whether farmers’ markets could act as catalysts linking local food systems to the social economy. Participants sought ways to scale up local food systems beyond their current limits while keeping the markets’ “authentic experience” (abstract), and the authors concluded that the relationship between the social economy, infrastructure and authenticity required further study. No quantitative forecast and no time horizon are stated in the abstract. Catalogue excerpt: HISTORICAL-CLAIMS record 471.</w:t>
      </w:r>
    </w:p>
    <w:p>
      <w:pPr>
        <w:spacing w:after="100"/>
      </w:pPr>
      <w:r>
        <w:rPr>
          <w:rFonts w:ascii="Calibri" w:cs="Calibri" w:eastAsia="Calibri" w:hAnsi="Calibri"/>
          <w:b/>
          <w:bCs/>
          <w:color w:val="1F3A5F"/>
          <w:sz w:val="20"/>
          <w:szCs w:val="20"/>
        </w:rPr>
        <w:t xml:space="preserve">What was envisioned. </w:t>
      </w:r>
      <w:r>
        <w:t xml:space="preserve">The study imagined farmers’ markets, often run as grassroots non-profits, becoming hubs that connect local producers and consumers with wider social-economy goals, and it identified a tension between scaling up local food systems and preserving the authenticity that attracted shoppers. It is an exploratory stakeholder study about possible roles and strategies, not a forecast of market size.</w:t>
      </w:r>
    </w:p>
    <w:p>
      <w:pPr>
        <w:keepNext/>
        <w:spacing w:after="60" w:before="160"/>
      </w:pPr>
      <w:r>
        <w:rPr>
          <w:rFonts w:ascii="Calibri" w:cs="Calibri" w:eastAsia="Calibri" w:hAnsi="Calibri"/>
          <w:b/>
          <w:bCs/>
          <w:color w:val="1F3A5F"/>
          <w:spacing w:val="20"/>
          <w:sz w:val="17"/>
          <w:szCs w:val="17"/>
        </w:rPr>
        <w:t xml:space="preserve">SUBSEQUENT DEVELOPMENTS</w:t>
      </w:r>
    </w:p>
    <w:p>
      <w:r>
        <w:t xml:space="preserve">For British Columbia, a province-wide study by the BC Association of Farmers’ Markets with the University of Northern British Columbia, repeating the methods of a 2012 study, estimated direct sales of $155.28 million at the association’s 136 member markets in 2023 and an economic impact of $232.92 million (using an assumed multiplier of 1.5). After adjusting the 2012 results for food-price inflation, sales were 28% higher than in 2012. Most of the growth came from more member markets (109 to 136), larger markets, more shoppers and more market days; real spending per shopper rose only about 5%. The report presents markets as low-barrier direct-sales channels with a role in local food security and documents substantial spillover spending at neighbouring businesses.</w:t>
      </w:r>
    </w:p>
    <w:p>
      <w:r>
        <w:t xml:space="preserve">This is consistent with farmers’ markets having grown in number and reach in British Columbia. It does not show whether markets became the social-economy hubs the Delphi discussed, or how the tension between scale and authenticity played out, and no comparable evidence for Alberta was examined. Because the study concerns Canada, it falls outside the European scope of VV Futures; a European analogue would be the literature on short food supply chains and local food systems.</w:t>
      </w:r>
    </w:p>
    <w:p>
      <w:pPr>
        <w:spacing w:after="100"/>
      </w:pPr>
      <w:r>
        <w:rPr>
          <w:rFonts w:ascii="Calibri" w:cs="Calibri" w:eastAsia="Calibri" w:hAnsi="Calibri"/>
          <w:b/>
          <w:bCs/>
          <w:color w:val="1F3A5F"/>
          <w:sz w:val="20"/>
          <w:szCs w:val="20"/>
        </w:rPr>
        <w:t xml:space="preserve">Interpretation. </w:t>
      </w:r>
      <w:r>
        <w:t xml:space="preserve">Partly developed along the envisioned pathway in British Columbia: markets expanded and kept a community-oriented, direct-sales role. The specific question the Delphi posed — the linkage with the social economy and the scale–authenticity tension — remains open. The record lies outside the observatory’s European scope and could serve at most as a non-European comparator.</w:t>
      </w:r>
    </w:p>
    <w:p>
      <w:pPr>
        <w:keepNext/>
        <w:spacing w:after="60" w:before="160"/>
      </w:pPr>
      <w:r>
        <w:rPr>
          <w:rFonts w:ascii="Calibri" w:cs="Calibri" w:eastAsia="Calibri" w:hAnsi="Calibri"/>
          <w:b/>
          <w:bCs/>
          <w:color w:val="1F3A5F"/>
          <w:spacing w:val="20"/>
          <w:sz w:val="17"/>
          <w:szCs w:val="17"/>
        </w:rPr>
        <w:t xml:space="preserve">SOURCES</w:t>
      </w:r>
    </w:p>
    <w:p>
      <w:pPr>
        <w:spacing w:after="80"/>
        <w:ind w:left="360" w:hanging="360"/>
      </w:pPr>
      <w:r>
        <w:rPr>
          <w:sz w:val="19"/>
          <w:szCs w:val="19"/>
        </w:rPr>
        <w:t xml:space="preserve">BC Association of Farmers’ Markets &amp; Connell, D. (University of Northern British Columbia) (2024). </w:t>
      </w:r>
      <w:r>
        <w:rPr>
          <w:i/>
          <w:iCs/>
          <w:sz w:val="19"/>
          <w:szCs w:val="19"/>
        </w:rPr>
        <w:t xml:space="preserve">2023 BC Farmers’ Market Economic Impact Study – Provincial Report (Final)</w:t>
      </w:r>
      <w:r>
        <w:rPr>
          <w:sz w:val="19"/>
          <w:szCs w:val="19"/>
        </w:rPr>
        <w:t xml:space="preserve">, 18 January 2024. </w:t>
      </w:r>
      <w:hyperlink w:history="1" r:id="rIdj3gnkkni_gx9gwguy0rmo">
        <w:r>
          <w:rPr>
            <w:rStyle w:val="Hyperlink"/>
            <w:sz w:val="19"/>
            <w:szCs w:val="19"/>
          </w:rPr>
          <w:t xml:space="preserve">https://bcfarmersmarket.org/app/uploads/2024/02/Provincial_2023-BC-Farmers-Market-Economic-Impact-Study-Jan-18-2024.pdf</w:t>
        </w:r>
      </w:hyperlink>
      <w:r>
        <w:rPr>
          <w:sz w:val="19"/>
          <w:szCs w:val="19"/>
        </w:rPr>
        <w:t xml:space="preserve"> — direct sales $155.28 million at member markets in 2023; economic impact $232.92 million; 28% above inflation-adjusted 2012 sales, mainly through more markets and market days. Full text read (pp. 1–3); fieldwork May–September 2023.</w:t>
      </w:r>
    </w:p>
    <w:p>
      <w:pPr>
        <w:spacing w:after="100"/>
      </w:pPr>
      <w:r>
        <w:rPr>
          <w:rFonts w:ascii="Calibri" w:cs="Calibri" w:eastAsia="Calibri" w:hAnsi="Calibri"/>
          <w:b/>
          <w:bCs/>
          <w:color w:val="1F3A5F"/>
          <w:sz w:val="20"/>
          <w:szCs w:val="20"/>
        </w:rPr>
        <w:t xml:space="preserve">Evidence limitations. </w:t>
      </w:r>
      <w:r>
        <w:t xml:space="preserve">The original was read only as an abstract, so the Delphi items, consensus levels and any horizon are unchecked. The later evidence is a single practitioner-led economic study for one of the two provinces, with an assumed multiplier and a food-price deflator; sales growth is only indirect evidence for the social-economy claim. Alberta was not examined.</w:t>
      </w:r>
    </w:p>
    <w:p>
      <w:pPr>
        <w:spacing w:after="100"/>
      </w:pPr>
      <w:r>
        <w:rPr>
          <w:rFonts w:ascii="Calibri" w:cs="Calibri" w:eastAsia="Calibri" w:hAnsi="Calibri"/>
          <w:b/>
          <w:bCs/>
          <w:color w:val="1F3A5F"/>
          <w:sz w:val="20"/>
          <w:szCs w:val="20"/>
        </w:rPr>
        <w:t xml:space="preserve">Review status. </w:t>
      </w:r>
      <w:r>
        <w:t xml:space="preserve">Abstract-only assessment. Flagged as outside the European scope of VV Futures.</w:t>
      </w:r>
    </w:p>
    <w:p>
      <w:pPr>
        <w:keepNext/>
        <w:spacing w:after="60" w:before="160"/>
      </w:pPr>
      <w:r>
        <w:rPr>
          <w:rFonts w:ascii="Calibri" w:cs="Calibri" w:eastAsia="Calibri" w:hAnsi="Calibri"/>
          <w:b/>
          <w:bCs/>
          <w:color w:val="1F3A5F"/>
          <w:spacing w:val="20"/>
          <w:sz w:val="17"/>
          <w:szCs w:val="17"/>
        </w:rPr>
        <w:t xml:space="preserve">EARLIER ACCOUNT 27 — PRESERVED VERBATIM</w:t>
      </w:r>
    </w:p>
    <w:p>
      <w:pPr>
        <w:pBdr>
          <w:left w:val="single" w:color="B8C2CC" w:sz="12" w:space="8"/>
        </w:pBdr>
        <w:shd w:fill="F2F4F6" w:color="auto" w:val="clear"/>
        <w:spacing w:after="60" w:before="40"/>
        <w:ind w:left="200" w:right="120"/>
      </w:pPr>
      <w:r>
        <w:rPr>
          <w:sz w:val="19"/>
          <w:szCs w:val="19"/>
        </w:rPr>
        <w:t xml:space="preserve">Held, based on BC data. BC market sales reached $155 million in 2023, worth $233 million to the economy, 28% above 2012 after inflation.</w:t>
      </w:r>
    </w:p>
    <w:p>
      <w:pPr>
        <w:pBdr>
          <w:left w:val="single" w:color="B8C2CC" w:sz="12" w:space="8"/>
        </w:pBdr>
        <w:shd w:fill="F2F4F6" w:color="auto" w:val="clear"/>
        <w:spacing w:after="140" w:before="0"/>
        <w:ind w:left="200" w:right="120"/>
      </w:pPr>
      <w:r>
        <w:rPr>
          <w:sz w:val="19"/>
          <w:szCs w:val="19"/>
        </w:rPr>
        <w:t xml:space="preserve">Additional references (as supplied; links may be missing): straight. Status: LLM-reviewed; awaiting source verification.</w:t>
      </w:r>
    </w:p>
    <w:p>
      <w:pPr>
        <w:spacing w:after="100"/>
      </w:pPr>
      <w:r>
        <w:rPr>
          <w:rFonts w:ascii="Calibri" w:cs="Calibri" w:eastAsia="Calibri" w:hAnsi="Calibri"/>
          <w:b/>
          <w:bCs/>
          <w:color w:val="1F3A5F"/>
          <w:sz w:val="20"/>
          <w:szCs w:val="20"/>
        </w:rPr>
        <w:t xml:space="preserve">Assessment of the earlier account. </w:t>
      </w:r>
      <w:r>
        <w:t xml:space="preserve">The three figures are correct but need qualification: they refer to the association’s member markets, the economic-impact figure rests on an assumed multiplier, and the 28% comparison uses 2012 results re-expressed with a food-price deflator. The verdict “Held” is not supported, because the Delphi did not forecast sales; it concerned the markets’ social-economy role and the tension between scaling up and authenticity. The cited reference “straight” (probably a news item) should be replaced by the primary report.</w:t>
      </w:r>
    </w:p>
    <w:p>
      <w:pPr>
        <w:spacing w:after="100"/>
      </w:pPr>
      <w:r>
        <w:rPr>
          <w:rFonts w:ascii="Calibri" w:cs="Calibri" w:eastAsia="Calibri" w:hAnsi="Calibri"/>
          <w:b/>
          <w:bCs/>
          <w:color w:val="1F3A5F"/>
          <w:sz w:val="20"/>
          <w:szCs w:val="20"/>
        </w:rPr>
        <w:t xml:space="preserve">Proposed action. </w:t>
      </w:r>
      <w:r>
        <w:rPr>
          <w:b/>
          <w:bCs/>
        </w:rPr>
        <w:t xml:space="preserve">Correct or qualify.</w:t>
      </w:r>
      <w:r>
        <w:t xml:space="preserve"> Keep the verified figures with their qualifiers, replace “Held” with the partial, qualified interpretation above, cite the BCAFM/UNBC report, and flag the record as outside European scope.</w:t>
      </w:r>
    </w:p>
    <w:p>
      <w:r>
        <w:br w:type="page"/>
      </w:r>
    </w:p>
    <w:p>
      <w:pPr>
        <w:pStyle w:val="Heading1"/>
      </w:pPr>
      <w:r>
        <w:t xml:space="preserve">Appendix A — Crosswalk of the 58 earlier accounts</w:t>
      </w:r>
    </w:p>
    <w:p>
      <w:r>
        <w:t xml:space="preserve">The table lists all 58 earlier accounts supplied in VV-FUTURES-REVIEWED-FINDINGS. For the fifteen revisited accounts it gives the account number in this document and the proposed action. For the others it records only what can be read from the supplied document itself — in particular whether the later evidence is linked by DOI or survives only as unlinked references — as a guide to future verification. These notes are not assessments of the accounts’ content.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000"/>
        <w:gridCol w:w="1700"/>
        <w:gridCol w:w="2912"/>
      </w:tblGrid>
      <w:tr>
        <w:trPr>
          <w:cantSplit/>
          <w:tblHeader/>
        </w:trPr>
        <w:tc>
          <w:tcPr>
            <w:tcW w:type="dxa" w:w="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Earlier no.</w:t>
            </w:r>
          </w:p>
        </w:tc>
        <w:tc>
          <w:tcPr>
            <w:tcW w:type="dxa" w:w="29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Earlier title (short)</w:t>
            </w:r>
          </w:p>
        </w:tc>
        <w:tc>
          <w:tcPr>
            <w:tcW w:type="dxa" w:w="10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Claim record</w:t>
            </w:r>
          </w:p>
        </w:tc>
        <w:tc>
          <w:tcPr>
            <w:tcW w:type="dxa" w:w="1700"/>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This review</w:t>
            </w:r>
          </w:p>
        </w:tc>
        <w:tc>
          <w:tcPr>
            <w:tcW w:type="dxa" w:w="2912"/>
            <w:tcBorders>
              <w:top w:val="single" w:color="B8C2CC" w:sz="4"/>
              <w:left w:val="single" w:color="B8C2CC" w:sz="4"/>
              <w:bottom w:val="single" w:color="B8C2CC" w:sz="4"/>
              <w:right w:val="single" w:color="B8C2CC" w:sz="4"/>
            </w:tcBorders>
            <w:shd w:fill="DCE3EA" w:color="auto" w:val="clear"/>
            <w:tcMar>
              <w:top w:type="dxa" w:w="50"/>
              <w:left w:type="dxa" w:w="90"/>
              <w:bottom w:type="dxa" w:w="50"/>
              <w:right w:type="dxa" w:w="90"/>
            </w:tcMar>
            <w:vAlign w:val="top"/>
          </w:tcPr>
          <w:p>
            <w:pPr>
              <w:spacing w:after="30" w:before="30"/>
            </w:pPr>
            <w:r>
              <w:rPr>
                <w:rFonts w:ascii="Calibri" w:cs="Calibri" w:eastAsia="Calibri" w:hAnsi="Calibri"/>
                <w:b/>
                <w:bCs/>
                <w:sz w:val="16"/>
                <w:szCs w:val="16"/>
              </w:rPr>
              <w:t xml:space="preserve">Note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Strategic energy technology policy to 2050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435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(2023).</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 as a global security actor (FOCUS,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437</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04</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replace inappropriate source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Animal health and parasites in a warming Europe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438</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2 DOI-linked later source(s) (2015, 2024).</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Climate, air pollution and respiratory health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440</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2 DOI-linked later source(s) (2023, 2024).</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ExxonMobil long-term energy outlook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441</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api; downtoearth);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Resilient futures, UK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Chair's Statement -- Module 1 Report: Resilience and preparedness of the United Kingdom; and 2 more);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European atmosphere in 2050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444</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07</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Foresight and grand challenges, Ireland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Research Priority Areas 2018 to 2023; and 2 more);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09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Foresight Future Flooding, UK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447</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hellorayo);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European eel larvae models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450</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trebuchet-magazine);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Woody biomass, EU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11</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 flag one source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Blue Growth maritime scenarios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453</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2 DOI-linked later source(s) (2021, 2020).</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Superconductivity and the environment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19</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flag sources and scope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 Decarbonisation Roadmap 2050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457</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(2022); plus unlinked references (europa; recycling-magazine).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NT for Podlaskie 2020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459</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2 DOI-linked later source(s) (2015, 2016).</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Towards Europe 2035 (FOCUS,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460</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05</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Warming and wetland plants (2013)</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461</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3 sources, names not preserved);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History of futures, Dutch water scenarios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(2016).</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19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After-crisis scenarios for European regions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463</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(2018).</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Flood adaptation and ecosystem services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464</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umontpellier; doaj);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Finland 2050 backcasting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13</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 with 2025 data</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Vegetation in European Russia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466</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(2022).</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Horizon scanning and sense-making (BEPA,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467</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3 DOI-linked later source(s) (2022, 2025, 2019).</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Future ozone exposure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468</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08</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Climate change and ozone mortality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469</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09</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UK bioenergy sustainability constraints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470</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biodieselmagazine; pellet);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Farmers' markets, Alberta and BC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471</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20</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flag non-European scope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New emerging issues and wild cards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2 DOI-linked later source(s) (2015, 2019).</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29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REMIND-D, Germany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473</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umweltbundesamt; climatescorecard);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Organic food market scenarios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474</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fibl);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Aedes albopictus suitability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10</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 with 2026 data</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Dutch GP workforce planning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476</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rekenkamer (2 pages));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CIRCE Mediterranean projections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477</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(2024).</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The Great Future Debate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478</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ku; akademika);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 direct payments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479</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arc2020.eu; and 2 more);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UK water adaptation with weather generators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480</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(2016).</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NHS nursing supply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481</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16</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 with 2024–2026 data</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Eurozone scenarios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2 DOI-linked later source(s) (2018, 2017).</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39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Climate change and power-sector water use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483</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europa (2 pages));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Energy landscapes (2012)</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484</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(2019).</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Organic food demand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fibl);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Ageing and productivity, Bulgaria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486</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(2020).</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European trees' future ranges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487</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2 DOI-linked later source(s) (2023, 2022).</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BPM research issues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488</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(2022).</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Pharmaceutical consumption, Netherlands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489</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rivm (2 pages));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EU transport energy to 2030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490</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europa);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Finland--Russia rail deregulation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491</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12</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flag border-closure statements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Fiscal sustainability and forecast accuracy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3 sources, names not preserved);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UK food futures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493</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Warnings in food security report as food chain vulnerabilities revealed; and 2 more);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Metrology research foresight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494</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lne; europa);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Depressed English region and education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schoolsweek; bath);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Waste facility health impacts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496</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17</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Correct or qualify; strengthen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Integrating foresight into government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497</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(2024).</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Foresight tackling obesities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498</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14</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Strengthen with new evidence; qualify verdict</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Operational earthquake forecasting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499</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EGU2017 19030; and 2 more);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POPs under climate change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500</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Later evidence recorded only as unlinked references (as supplied: rsc; au); traceability should be restored before verification.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Constructivist forecasting, EU as a military power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501</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Revisited — Account 06</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Flag for source verification; correct or qualify</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Swedish forest products (2011)</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502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w:t>
            </w:r>
          </w:p>
        </w:tc>
        <w:tc>
          <w:tcPr>
            <w:tcW w:type="dxa" w:w="2912"/>
            <w:tcBorders>
              <w:top w:val="single" w:color="B8C2CC" w:sz="4"/>
              <w:left w:val="single" w:color="B8C2CC" w:sz="4"/>
              <w:bottom w:val="single" w:color="B8C2CC" w:sz="4"/>
              <w:right w:val="single" w:color="B8C2CC" w:sz="4"/>
            </w:tcBorders>
            <w:tcMar>
              <w:top w:type="dxa" w:w="50"/>
              <w:left w:type="dxa" w:w="90"/>
              <w:bottom w:type="dxa" w:w="50"/>
              <w:right w:type="dxa" w:w="90"/>
            </w:tcMar>
            <w:vAlign w:val="top"/>
          </w:tcPr>
          <w:p>
            <w:pPr>
              <w:spacing w:after="30" w:before="30"/>
            </w:pPr>
            <w:r>
              <w:rPr>
                <w:b w:val="false"/>
                <w:bCs w:val="false"/>
                <w:sz w:val="16"/>
                <w:szCs w:val="16"/>
              </w:rPr>
              <w:t xml:space="preserve">Not revisited. 1 DOI-linked later source(s) (2026).</w:t>
            </w:r>
          </w:p>
        </w:tc>
      </w:tr>
    </w:tbl>
    <w:sectPr>
      <w:headerReference w:type="default" r:id="rId6"/>
      <w:footerReference w:type="default" r:id="rId7"/>
      <w:pgSz w:w="11906" w:h="16838" w:orient="portrait"/>
      <w:pgMar w:top="1300" w:right="1247" w:bottom="1200" w:left="1247"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rPr>
        <w:rFonts w:ascii="Calibri" w:cs="Calibri" w:eastAsia="Calibri" w:hAnsi="Calibri"/>
        <w:color w:val="5B6770"/>
        <w:sz w:val="16"/>
        <w:szCs w:val="16"/>
      </w:rPr>
    </w:pPr>
    <w:r>
      <w:rPr>
        <w:rFonts w:ascii="Calibri" w:cs="Calibri" w:eastAsia="Calibri" w:hAnsi="Calibri"/>
        <w:color w:val="5B6770"/>
        <w:sz w:val="16"/>
        <w:szCs w:val="16"/>
      </w:rPr>
      <w:t xml:space="preserve">Review conducted 24 October 2026 ·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9000"/>
      </w:tabs>
    </w:pPr>
    <w:r>
      <w:rPr>
        <w:rFonts w:ascii="Calibri" w:cs="Calibri" w:eastAsia="Calibri" w:hAnsi="Calibri"/>
        <w:color w:val="5B6770"/>
        <w:sz w:val="16"/>
        <w:szCs w:val="16"/>
      </w:rPr>
      <w:t xml:space="preserve">VV Futures — European Foresight Observatory</w:t>
    </w:r>
    <w:r>
      <w:rPr>
        <w:rFonts w:ascii="Calibri" w:cs="Calibri" w:eastAsia="Calibri" w:hAnsi="Calibri"/>
        <w:color w:val="5B6770"/>
        <w:sz w:val="16"/>
        <w:szCs w:val="16"/>
      </w:rPr>
      <w:t xml:space="preserve">	New Reviewed Findings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933"/>
        <w:sz w:val="21"/>
        <w:szCs w:val="21"/>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A5F"/>
      <w:sz w:val="44"/>
      <w:szCs w:val="44"/>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5"/>
      <w:szCs w:val="25"/>
    </w:rPr>
  </w:style>
  <w:style w:type="paragraph" w:styleId="Footer">
    <w:name w:val="footer"/>
    <w:basedOn w:val="Normal"/>
    <w:pPr>
      <w:spacing w:after="0"/>
    </w:pPr>
    <w:rPr>
      <w:rFonts w:ascii="Calibri" w:cs="Calibri" w:eastAsia="Calibri" w:hAnsi="Calibri"/>
      <w:color w:val="5B6770"/>
      <w:sz w:val="16"/>
      <w:szCs w:val="16"/>
    </w:rPr>
  </w:style>
  <w:style w:type="paragraph" w:styleId="Heading3">
    <w:name w:val="Heading 3"/>
    <w:basedOn w:val="Normal"/>
    <w:next w:val="Normal"/>
    <w:qFormat/>
    <w:pPr>
      <w:keepNext/>
      <w:spacing w:after="80" w:before="200"/>
      <w:outlineLvl w:val="2"/>
    </w:pPr>
    <w:rPr>
      <w:rFonts w:ascii="Calibri" w:cs="Calibri" w:eastAsia="Calibri" w:hAnsi="Calibri"/>
      <w:b/>
      <w:bCs/>
      <w:color w:val="1F2933"/>
      <w:sz w:val="22"/>
      <w:szCs w:val="22"/>
    </w:rPr>
  </w:style>
  <w:style w:type="character" w:styleId="Hyperlink">
    <w:name w:val="Hyperlink"/>
    <w:basedOn w:val="DefaultParagraphFont"/>
    <w:uiPriority w:val="99"/>
    <w:unhideWhenUsed/>
    <w:rPr>
      <w:color w:val="1F5F99"/>
      <w:u w:val="single" w:color="1F5F9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cbxafnclevsjwper3zs-n" Type="http://schemas.openxmlformats.org/officeDocument/2006/relationships/hyperlink" Target="https://doi.org/10.54648/eerr2013040" TargetMode="External"/><Relationship Id="rId-zw3lqsvvrm6eids1iszs" Type="http://schemas.openxmlformats.org/officeDocument/2006/relationships/hyperlink" Target="https://ec.europa.eu/eurostat/web/main/data/database" TargetMode="External"/><Relationship Id="rIdnedeqlwqu8vh3-o-yugbo" Type="http://schemas.openxmlformats.org/officeDocument/2006/relationships/hyperlink" Target="https://doi.org/10.26889/9781784671167" TargetMode="External"/><Relationship Id="rIdpcpu0tlarazsprfxk2124" Type="http://schemas.openxmlformats.org/officeDocument/2006/relationships/hyperlink" Target="https://fiia.fi/wp-content/uploads/2017/04/bp216_the_southern_gas_corridor.pdf" TargetMode="External"/><Relationship Id="rIdao7sg2eoguobsbm1vnuqc" Type="http://schemas.openxmlformats.org/officeDocument/2006/relationships/hyperlink" Target="https://www.tap-ag.com/news/news-stories/one-flow-two-milestones-60-bcm-delivered-to-europe-50-bcm-to-italy" TargetMode="External"/><Relationship Id="rIdr-4qa_m22wvk3qvlifjiu" Type="http://schemas.openxmlformats.org/officeDocument/2006/relationships/hyperlink" Target="https://eur-lex.europa.eu/legal-content/EN/TXT/?uri=CELEX:52022DC0230" TargetMode="External"/><Relationship Id="rIdipnltvwaafk7xf6pd7myh" Type="http://schemas.openxmlformats.org/officeDocument/2006/relationships/hyperlink" Target="https://eur-lex.europa.eu/eli/reg/2026/261/oj" TargetMode="External"/><Relationship Id="rIdryq03w4vrcyewr0obsvto" Type="http://schemas.openxmlformats.org/officeDocument/2006/relationships/hyperlink" Target="https://doi.org/10.12720/sgce.3.3.299-306" TargetMode="External"/><Relationship Id="rIdg4opx2xcnfgjcpswhdgre" Type="http://schemas.openxmlformats.org/officeDocument/2006/relationships/hyperlink" Target="https://ourworldindata.org/grapher/share-electricity-renewables" TargetMode="External"/><Relationship Id="rId1zvgw0ne9pwfuxh_po2uh" Type="http://schemas.openxmlformats.org/officeDocument/2006/relationships/hyperlink" Target="https://ec.europa.eu/eurostat/web/main/data/database" TargetMode="External"/><Relationship Id="rIdg8etbtsusuuh_4jyp2wtx" Type="http://schemas.openxmlformats.org/officeDocument/2006/relationships/hyperlink" Target="https://www.ise.fraunhofer.de/content/dam/ise/en/documents/press-releases/2016/Study_Supergrid_final_160412_.pdf" TargetMode="External"/><Relationship Id="rIdmbh80zkkimbrh4brvvmxh" Type="http://schemas.openxmlformats.org/officeDocument/2006/relationships/hyperlink" Target="https://doi.org/10.1016/j.renene.2015.10.008" TargetMode="External"/><Relationship Id="rIdhd-izvhlrckgczvfxfldz" Type="http://schemas.openxmlformats.org/officeDocument/2006/relationships/hyperlink" Target="https://eur-lex.europa.eu/legal-content/EN/TXT/?uri=CELEX:52022DC0230" TargetMode="External"/><Relationship Id="rIdypxmm1p6jj-ghbr10e0r5" Type="http://schemas.openxmlformats.org/officeDocument/2006/relationships/hyperlink" Target="https://doi.org/10.1016/j.enpol.2021.112613" TargetMode="External"/><Relationship Id="rIdktcujm4fou_iakjanfelt" Type="http://schemas.openxmlformats.org/officeDocument/2006/relationships/hyperlink" Target="https://doi.org/10.1002/ghg.1410" TargetMode="External"/><Relationship Id="rIdgdzdve5tvyr5gjkcp2jpd" Type="http://schemas.openxmlformats.org/officeDocument/2006/relationships/hyperlink" Target="https://eur-lex.europa.eu/eli/reg/2024/1735/oj" TargetMode="External"/><Relationship Id="rIdfbmpz5nfs-jvooomp6qz1" Type="http://schemas.openxmlformats.org/officeDocument/2006/relationships/hyperlink" Target="https://eur-lex.europa.eu/legal-content/EN/TXT/?uri=CELEX:52024DC0062" TargetMode="External"/><Relationship Id="rIdcyea5ggc35v9rbuoq0gxg" Type="http://schemas.openxmlformats.org/officeDocument/2006/relationships/hyperlink" Target="https://pgjonline.com/news/2025/august/norways-northern-lights-ccs-project-starts-operations-with-first-co2-injected" TargetMode="External"/><Relationship Id="rIdhnupsyc4lfogp9p90stml" Type="http://schemas.openxmlformats.org/officeDocument/2006/relationships/hyperlink" Target="https://arxiv.org/abs/2402.19042" TargetMode="External"/><Relationship Id="rIdq7e0gbplbqavfmtaalexj" Type="http://schemas.openxmlformats.org/officeDocument/2006/relationships/hyperlink" Target="https://arxiv.org/abs/2601.15090" TargetMode="External"/><Relationship Id="rIdndnmudrdt2g5oxbwdfnba" Type="http://schemas.openxmlformats.org/officeDocument/2006/relationships/hyperlink" Target="https://doi.org/10.11610/isij.2902" TargetMode="External"/><Relationship Id="rId26ymc3clyspzjtxkrp3mx" Type="http://schemas.openxmlformats.org/officeDocument/2006/relationships/hyperlink" Target="https://data.consilium.europa.eu/doc/document/ST-6891-2023-INIT/en/pdf" TargetMode="External"/><Relationship Id="rId_qjbzo3e0mrn8j48gjepw" Type="http://schemas.openxmlformats.org/officeDocument/2006/relationships/hyperlink" Target="https://www.consilium.europa.eu/en/policies/european-peace-facility/" TargetMode="External"/><Relationship Id="rId4pr5a7cx-vwetjvsg3hf6" Type="http://schemas.openxmlformats.org/officeDocument/2006/relationships/hyperlink" Target="https://www.europarl.europa.eu/RegData/etudes/IDAN/2025/764354/ECTI_IDA(2025" TargetMode="External"/><Relationship Id="rIdzo2lvw3fiyr_p91sggh2m" Type="http://schemas.openxmlformats.org/officeDocument/2006/relationships/hyperlink" Target="https://eda.europa.eu/docs/default-source/eda-publications/2026-eda_defencedata_webpublic.pdf" TargetMode="External"/><Relationship Id="rIdpnz4j7g9ld7amwrvbpkqe" Type="http://schemas.openxmlformats.org/officeDocument/2006/relationships/hyperlink" Target="https://www.nato.int" TargetMode="External"/><Relationship Id="rIdsawzonzltdxvruvvgyauj" Type="http://schemas.openxmlformats.org/officeDocument/2006/relationships/hyperlink" Target="https://cordis.europa.eu/project/id/261633" TargetMode="External"/><Relationship Id="rIdp2-uxmvwsx3x1yjzkb_j-" Type="http://schemas.openxmlformats.org/officeDocument/2006/relationships/hyperlink" Target="https://doi.org/10.1093/eurpub/ckaf071" TargetMode="External"/><Relationship Id="rIdeh3n45heazaaz54hmv6m_" Type="http://schemas.openxmlformats.org/officeDocument/2006/relationships/hyperlink" Target="https://doi.org/10.1007/s44282-026-00594-1" TargetMode="External"/><Relationship Id="rIdghcxh4wrmzsbyrfoo2fbp" Type="http://schemas.openxmlformats.org/officeDocument/2006/relationships/hyperlink" Target="https://doi.org/10.11610/isij.2912" TargetMode="External"/><Relationship Id="rId1aulfaxrjtilietahfdtw" Type="http://schemas.openxmlformats.org/officeDocument/2006/relationships/hyperlink" Target="https://eda.europa.eu/docs/default-source/eda-publications/2026-eda_defencedata_webpublic.pdf" TargetMode="External"/><Relationship Id="rIdthlpa1lfro1mle-o_uwtj" Type="http://schemas.openxmlformats.org/officeDocument/2006/relationships/hyperlink" Target="https://www.nato.int" TargetMode="External"/><Relationship Id="rIdaeggaz0eau5nwhxh_q2fb" Type="http://schemas.openxmlformats.org/officeDocument/2006/relationships/hyperlink" Target="https://www.consilium.europa.eu/en/policies/european-peace-facility/" TargetMode="External"/><Relationship Id="rIdfe-p7x5sbsjjy_2wcc_vb" Type="http://schemas.openxmlformats.org/officeDocument/2006/relationships/hyperlink" Target="https://www.europarl.europa.eu/RegData/etudes/IDAN/2025/764354/ECTI_IDA(2025" TargetMode="External"/><Relationship Id="rId8lr2cs3z52amwtd3dobz-" Type="http://schemas.openxmlformats.org/officeDocument/2006/relationships/hyperlink" Target="https://doi.org/10.1080/13501763.2023.2172061" TargetMode="External"/><Relationship Id="rIdkbenc_cffperspjd38eqd" Type="http://schemas.openxmlformats.org/officeDocument/2006/relationships/hyperlink" Target="https://doi.org/10.1080/09662839.2022.2159384" TargetMode="External"/><Relationship Id="rIdlvsvvn3zbn37l1vex7eix" Type="http://schemas.openxmlformats.org/officeDocument/2006/relationships/hyperlink" Target="https://doi.org/10.4324/9781032636566" TargetMode="External"/><Relationship Id="rIdl_or-hse6c6ojhdbdv0nc" Type="http://schemas.openxmlformats.org/officeDocument/2006/relationships/hyperlink" Target="https://doi.org/10.1007/s44282-026-00594-1" TargetMode="External"/><Relationship Id="rIdivtidcxghjx06qfh5axge" Type="http://schemas.openxmlformats.org/officeDocument/2006/relationships/hyperlink" Target="https://doi.org/10.1093/eurpub/ckaf071" TargetMode="External"/><Relationship Id="rIdozrxsg1blvzfpw3mqsx3x" Type="http://schemas.openxmlformats.org/officeDocument/2006/relationships/hyperlink" Target="https://doi.org/10.1007/s44282-026-00594-1" TargetMode="External"/><Relationship Id="rIdxny8cnfey37w73kuqeywg" Type="http://schemas.openxmlformats.org/officeDocument/2006/relationships/hyperlink" Target="https://doi.org/10.4324/9781032636566" TargetMode="External"/><Relationship Id="rIdysy5uzpbkdtfvzfp19wya" Type="http://schemas.openxmlformats.org/officeDocument/2006/relationships/hyperlink" Target="https://doi.org/10.1111/j.1468-2478.2011.00648.x" TargetMode="External"/><Relationship Id="rIdyh3lihacvuab8mzcecjpp" Type="http://schemas.openxmlformats.org/officeDocument/2006/relationships/hyperlink" Target="https://doi.org/10.1080/09662839.2022.2159384" TargetMode="External"/><Relationship Id="rIdud7yxu3tjchmijqbq81lw" Type="http://schemas.openxmlformats.org/officeDocument/2006/relationships/hyperlink" Target="https://doi.org/10.4324/9781032636566" TargetMode="External"/><Relationship Id="rIdavdu-wtoax-mx3vjygsck" Type="http://schemas.openxmlformats.org/officeDocument/2006/relationships/hyperlink" Target="https://doi.org/10.4324/9781003010302-10" TargetMode="External"/><Relationship Id="rIdqwcfrkhocaf8gie2mbsz5" Type="http://schemas.openxmlformats.org/officeDocument/2006/relationships/hyperlink" Target="https://doi.org/10.1016/j.polgeo.2026.103616" TargetMode="External"/><Relationship Id="rIdfreo_lytuatexrm8uhie8" Type="http://schemas.openxmlformats.org/officeDocument/2006/relationships/hyperlink" Target="https://doi.org/10.1177/00108367261490365" TargetMode="External"/><Relationship Id="rId7lcsx9lul_mzxttcak12l" Type="http://schemas.openxmlformats.org/officeDocument/2006/relationships/hyperlink" Target="https://eda.europa.eu/docs/default-source/eda-publications/2026-eda_defencedata_webpublic.pdf" TargetMode="External"/><Relationship Id="rIdcv_kdyggyw2b1tn_awp1e" Type="http://schemas.openxmlformats.org/officeDocument/2006/relationships/hyperlink" Target="https://doi.org/10.4324/9781032636566" TargetMode="External"/><Relationship Id="rIdio1wdeenhg02llddwlfew" Type="http://schemas.openxmlformats.org/officeDocument/2006/relationships/hyperlink" Target="https://doi.org/10.1093/eurpub/ckaf071" TargetMode="External"/><Relationship Id="rIddewkcjiywcowlcbxqkn7i" Type="http://schemas.openxmlformats.org/officeDocument/2006/relationships/hyperlink" Target="https://doi.org/10.1016/j.polgeo.2026.103616" TargetMode="External"/><Relationship Id="rIdcx0fiqhhrmibltti8x365" Type="http://schemas.openxmlformats.org/officeDocument/2006/relationships/hyperlink" Target="https://doi.org/10.5194/acp-13-7451-2013" TargetMode="External"/><Relationship Id="rIdhq-mfyk6tnq3khiwmbtv_" Type="http://schemas.openxmlformats.org/officeDocument/2006/relationships/hyperlink" Target="https://doi.org/10.4209/aaqr.230237" TargetMode="External"/><Relationship Id="rIdx46ekttxgdnrqj29ls2on" Type="http://schemas.openxmlformats.org/officeDocument/2006/relationships/hyperlink" Target="https://doi.org/10.1038/s41467-024-46103-3" TargetMode="External"/><Relationship Id="rIdty6trg7cjm4p4e3pccgwh" Type="http://schemas.openxmlformats.org/officeDocument/2006/relationships/hyperlink" Target="https://doi.org/10.5194/acp-25-16009-2025" TargetMode="External"/><Relationship Id="rIdhv94izjuz6vprzu5av8nc" Type="http://schemas.openxmlformats.org/officeDocument/2006/relationships/hyperlink" Target="https://doi.org/10.1038/s41591-024-02976-x" TargetMode="External"/><Relationship Id="rIdz0knxzzrhtgvhr_ziuc-o" Type="http://schemas.openxmlformats.org/officeDocument/2006/relationships/hyperlink" Target="https://doi.org/10.1038/s41467-025-60449-2" TargetMode="External"/><Relationship Id="rIdwxbmhracwd7anajgkaztu" Type="http://schemas.openxmlformats.org/officeDocument/2006/relationships/hyperlink" Target="https://openalex.org/W7213705154" TargetMode="External"/><Relationship Id="rIdv8wqulzwddx3jqywrvhai" Type="http://schemas.openxmlformats.org/officeDocument/2006/relationships/hyperlink" Target="https://doi.org/10.5194/egusphere-egu25-17230" TargetMode="External"/><Relationship Id="rIdibmvf21abbfbs3onrjmgl" Type="http://schemas.openxmlformats.org/officeDocument/2006/relationships/hyperlink" Target="https://doi.org/10.4209/aaqr.230237" TargetMode="External"/><Relationship Id="rIdyd6dlnnybglcq29rv-mlt" Type="http://schemas.openxmlformats.org/officeDocument/2006/relationships/hyperlink" Target="https://doi.org/10.5194/acp-12-10613-2012" TargetMode="External"/><Relationship Id="rIdu02rfscuyt1v5z8ef3vqb" Type="http://schemas.openxmlformats.org/officeDocument/2006/relationships/hyperlink" Target="https://doi.org/10.4209/aaqr.230237" TargetMode="External"/><Relationship Id="rIdhblkuwthjkuzgknlhnq6z" Type="http://schemas.openxmlformats.org/officeDocument/2006/relationships/hyperlink" Target="https://doi.org/10.5194/acp-25-16009-2025" TargetMode="External"/><Relationship Id="rIdv7wyfhw977qdtawat1iae" Type="http://schemas.openxmlformats.org/officeDocument/2006/relationships/hyperlink" Target="https://doi.org/10.1038/s41591-024-02976-x" TargetMode="External"/><Relationship Id="rIdtzv26zn3kyls9dhbwpf6t" Type="http://schemas.openxmlformats.org/officeDocument/2006/relationships/hyperlink" Target="https://doi.org/10.1038/s41467-024-46103-3" TargetMode="External"/><Relationship Id="rIdiuyjzownh3rh8szna7p8x" Type="http://schemas.openxmlformats.org/officeDocument/2006/relationships/hyperlink" Target="https://doi.org/10.4209/aaqr.230237" TargetMode="External"/><Relationship Id="rIdsv7ujncs_4ik4t7uqbuey" Type="http://schemas.openxmlformats.org/officeDocument/2006/relationships/hyperlink" Target="https://doi.org/10.1038/s41591-024-02976-x" TargetMode="External"/><Relationship Id="rIdttyfhg8ncwuyp7-tova_8" Type="http://schemas.openxmlformats.org/officeDocument/2006/relationships/hyperlink" Target="https://doi.org/10.1183/09031936.00210411" TargetMode="External"/><Relationship Id="rIdeyo1pe9sppkdavafau8ts" Type="http://schemas.openxmlformats.org/officeDocument/2006/relationships/hyperlink" Target="https://doi.org/10.4209/aaqr.230237" TargetMode="External"/><Relationship Id="rIds39fuhju8zrbwvclcmyno" Type="http://schemas.openxmlformats.org/officeDocument/2006/relationships/hyperlink" Target="https://doi.org/10.1038/s41467-024-46103-3" TargetMode="External"/><Relationship Id="rIdfs-tn4mliw_ktheu2qj64" Type="http://schemas.openxmlformats.org/officeDocument/2006/relationships/hyperlink" Target="https://doi.org/10.1088/1748-9326/ab1cd9" TargetMode="External"/><Relationship Id="rIde5k2b8rprekswlmmoncxp" Type="http://schemas.openxmlformats.org/officeDocument/2006/relationships/hyperlink" Target="https://doi.org/10.3390/ijerph120302837" TargetMode="External"/><Relationship Id="rIdxdnnmtepecrsj0gs-vbia" Type="http://schemas.openxmlformats.org/officeDocument/2006/relationships/hyperlink" Target="https://doi.org/10.1007/s40572-017-0168-6" TargetMode="External"/><Relationship Id="rIdkfv2stqi6iuik6wa3hffq" Type="http://schemas.openxmlformats.org/officeDocument/2006/relationships/hyperlink" Target="https://doi.org/10.1038/s41591-024-02976-x" TargetMode="External"/><Relationship Id="rIdyd8frdhwhtgcqn-e-b8fe" Type="http://schemas.openxmlformats.org/officeDocument/2006/relationships/hyperlink" Target="https://doi.org/10.4209/aaqr.230237" TargetMode="External"/><Relationship Id="rIdx_ymhny5lyuos9g5rcls5" Type="http://schemas.openxmlformats.org/officeDocument/2006/relationships/hyperlink" Target="https://doi.org/10.5194/egusphere-egu25-17230" TargetMode="External"/><Relationship Id="rId8rg-xp0c-6e1w8su_cxkt" Type="http://schemas.openxmlformats.org/officeDocument/2006/relationships/hyperlink" Target="https://doi.org/10.1098/rsif.2012.0138" TargetMode="External"/><Relationship Id="rIdxqcm2vlg3_jzfz3ri9ak0" Type="http://schemas.openxmlformats.org/officeDocument/2006/relationships/hyperlink" Target="https://www.ecdc.europa.eu/en/publications-data/aedes-albopictus-current-known-distribution-june-2025" TargetMode="External"/><Relationship Id="rIdgtq-spl7_m4buasnbdmq2" Type="http://schemas.openxmlformats.org/officeDocument/2006/relationships/hyperlink" Target="https://www.ecdc.europa.eu/en/publications-data/aedes-albopictus-current-known-distribution-april-2026" TargetMode="External"/><Relationship Id="rId0puunw_usxreha8lfakvo" Type="http://schemas.openxmlformats.org/officeDocument/2006/relationships/hyperlink" Target="https://www.ecdc.europa.eu/en/news-events/world-mosquito-day-2025-europe-sets-new-records-mosquito-borne-diseases" TargetMode="External"/><Relationship Id="rIdm3vpxmdls47hnuhnccjle" Type="http://schemas.openxmlformats.org/officeDocument/2006/relationships/hyperlink" Target="https://www.ecdc.europa.eu/en/all-topics-z/Dengue/surveillance-and-disease-data/autochthonous-transmission-Dengue-virus-eueea" TargetMode="External"/><Relationship Id="rId358jge28um-z5vcsitbqv" Type="http://schemas.openxmlformats.org/officeDocument/2006/relationships/hyperlink" Target="https://doi.org/10.1038/s41598-021-89096-5" TargetMode="External"/><Relationship Id="rIdoxb_6vojvh2mud_jceepo" Type="http://schemas.openxmlformats.org/officeDocument/2006/relationships/hyperlink" Target="https://doi.org/10.1038/s41564-019-0376-y" TargetMode="External"/><Relationship Id="rIdex_inlxp52hypy6rko4fl" Type="http://schemas.openxmlformats.org/officeDocument/2006/relationships/hyperlink" Target="https://doi.org/10.1016/S2468-2667(24" TargetMode="External"/><Relationship Id="rIda22xzfughq-vpzsow72gc" Type="http://schemas.openxmlformats.org/officeDocument/2006/relationships/hyperlink" Target="https://doi.org/10.1016/S2542-5196(23" TargetMode="External"/><Relationship Id="rIdcamtdymj5-vd1gbemskqe" Type="http://schemas.openxmlformats.org/officeDocument/2006/relationships/hyperlink" Target="https://doi.org/10.1186/1750-0680-8-2" TargetMode="External"/><Relationship Id="rId-actdugt-mlsf9e78kihw" Type="http://schemas.openxmlformats.org/officeDocument/2006/relationships/hyperlink" Target="https://doi.org/10.1186/s13021-023-00234-0" TargetMode="External"/><Relationship Id="rIdsy7jxrlkxecv13kfygofa" Type="http://schemas.openxmlformats.org/officeDocument/2006/relationships/hyperlink" Target="https://doi.org/10.1111/gcb.16531" TargetMode="External"/><Relationship Id="rIdeg718tlquj4fldbjfufel" Type="http://schemas.openxmlformats.org/officeDocument/2006/relationships/hyperlink" Target="https://doi.org/10.1038/s41561-026-02032-y" TargetMode="External"/><Relationship Id="rIdqewwxlwxeio_r8-xzopat" Type="http://schemas.openxmlformats.org/officeDocument/2006/relationships/hyperlink" Target="https://doi.org/10.1038/nclimate2318" TargetMode="External"/><Relationship Id="rIdmehy_6gtg9mif01qmabgi" Type="http://schemas.openxmlformats.org/officeDocument/2006/relationships/hyperlink" Target="https://doi.org/10.1038/s41561-026-02032-y" TargetMode="External"/><Relationship Id="rIdobuhtc8hr4gvx8d7l843m" Type="http://schemas.openxmlformats.org/officeDocument/2006/relationships/hyperlink" Target="https://doi.org/10.1038/s41561-023-01274-4" TargetMode="External"/><Relationship Id="rIdyohej7m8vplmxdtv0l4q9" Type="http://schemas.openxmlformats.org/officeDocument/2006/relationships/hyperlink" Target="https://doi.org/10.1504/IJSTL.2011.039377" TargetMode="External"/><Relationship Id="rId-84qqzolfb83p2nilyat7" Type="http://schemas.openxmlformats.org/officeDocument/2006/relationships/hyperlink" Target="https://www.finlex.fi" TargetMode="External"/><Relationship Id="rId2rhbxrdmom7j0n9pba52p" Type="http://schemas.openxmlformats.org/officeDocument/2006/relationships/hyperlink" Target="https://www.vrgroup.fi" TargetMode="External"/><Relationship Id="rId6vzxwxweuhzenkotdaogi" Type="http://schemas.openxmlformats.org/officeDocument/2006/relationships/hyperlink" Target="https://www.railwaygazette.com" TargetMode="External"/><Relationship Id="rIdxbpnijrwq2aupxpg_0pz6" Type="http://schemas.openxmlformats.org/officeDocument/2006/relationships/hyperlink" Target="https://rata.digitraffic.fi" TargetMode="External"/><Relationship Id="rId53h-kffelr_6gwio7ewbj" Type="http://schemas.openxmlformats.org/officeDocument/2006/relationships/hyperlink" Target="https://www.railfreight.com" TargetMode="External"/><Relationship Id="rIdzxvvcgawiaqtbxtwdyyit" Type="http://schemas.openxmlformats.org/officeDocument/2006/relationships/hyperlink" Target="https://stat.fi/en/statistics/rtie" TargetMode="External"/><Relationship Id="rIdjdhmkcsooug991vzkjiqy" Type="http://schemas.openxmlformats.org/officeDocument/2006/relationships/hyperlink" Target="https://doi.org/10.1108/14636681211256099" TargetMode="External"/><Relationship Id="rIdzdtgshvf6xfi7g8ee7xg_" Type="http://schemas.openxmlformats.org/officeDocument/2006/relationships/hyperlink" Target="https://stat.fi/en/statistics/khki" TargetMode="External"/><Relationship Id="rIdiok4ahxfnodgdt4qbqdhw" Type="http://schemas.openxmlformats.org/officeDocument/2006/relationships/hyperlink" Target="https://stat.fi/en/publication/cmg0dqrnn5sz007t73i2bqrnl" TargetMode="External"/><Relationship Id="rId_o6r6g47bv2akjxvrani7" Type="http://schemas.openxmlformats.org/officeDocument/2006/relationships/hyperlink" Target="https://www.luke.fi/en" TargetMode="External"/><Relationship Id="rIdykpugckb-0qan1fw1hzuf" Type="http://schemas.openxmlformats.org/officeDocument/2006/relationships/hyperlink" Target="https://www.eduskunta.fi" TargetMode="External"/><Relationship Id="rIdtewywh-rvnkbkdtxlmflb" Type="http://schemas.openxmlformats.org/officeDocument/2006/relationships/hyperlink" Target="https://www.ilmastopaneeli.fi" TargetMode="External"/><Relationship Id="rIdsoyzblpy-0x6mkkfobbyx" Type="http://schemas.openxmlformats.org/officeDocument/2006/relationships/hyperlink" Target="https://urn.fi/URN:ISBN:978-952-327-843-2" TargetMode="External"/><Relationship Id="rIdpj-rehcnsvhwk_bydblma" Type="http://schemas.openxmlformats.org/officeDocument/2006/relationships/hyperlink" Target="https://doi.org/10.1136/jech.2011.142976b.14" TargetMode="External"/><Relationship Id="rIdtcjvlydgo9lklkwjuboym" Type="http://schemas.openxmlformats.org/officeDocument/2006/relationships/hyperlink" Target="https://assets.publishing.service.gov.uk/government/uploads/system/uploads/attachment_data/file/287937/07-1184x-tackling-obesities-future-choices-report.pdf" TargetMode="External"/><Relationship Id="rIdkodlbz1d87dkgqu2fq43d" Type="http://schemas.openxmlformats.org/officeDocument/2006/relationships/hyperlink" Target="https://digital.nhs.uk/data-and-information/publications/statistical/health-survey-for-england/2024" TargetMode="External"/><Relationship Id="rIdiz9monqwfunwzvnenbpbm" Type="http://schemas.openxmlformats.org/officeDocument/2006/relationships/hyperlink" Target="https://doi.org/10.1371/journal.pone.0252072" TargetMode="External"/><Relationship Id="rIdt0vu-j04adcc_m69jmcgx" Type="http://schemas.openxmlformats.org/officeDocument/2006/relationships/hyperlink" Target="https://doi.org/10.1038/s41586-026-10383-0" TargetMode="External"/><Relationship Id="rIde_w-6zbdiuw4odzqd1cu_" Type="http://schemas.openxmlformats.org/officeDocument/2006/relationships/hyperlink" Target="https://fingertips.phe.org.uk" TargetMode="External"/><Relationship Id="rId_uyoloxnpraz5kgatkta6" Type="http://schemas.openxmlformats.org/officeDocument/2006/relationships/hyperlink" Target="https://doi.org/10.1371/journal.pmed.1004160" TargetMode="External"/><Relationship Id="rIdmrrndnwi8ed5dwnt602lu" Type="http://schemas.openxmlformats.org/officeDocument/2006/relationships/hyperlink" Target="https://www.nice.org.uk/guidance/ta1026" TargetMode="External"/><Relationship Id="rIdlydki_khihlwfjsmy9byl" Type="http://schemas.openxmlformats.org/officeDocument/2006/relationships/hyperlink" Target="https://doi.org/10.1371/journal.pone.0079827" TargetMode="External"/><Relationship Id="rId3mkedoyxe_exylup_jm3n" Type="http://schemas.openxmlformats.org/officeDocument/2006/relationships/hyperlink" Target="https://doi.org/10.1038/s41586-026-10383-0" TargetMode="External"/><Relationship Id="rIdvtz_1zdr9u3bp7kzvebew" Type="http://schemas.openxmlformats.org/officeDocument/2006/relationships/hyperlink" Target="https://data.cso.ie" TargetMode="External"/><Relationship Id="rIdppvkdgpnddtewocoeb9cy" Type="http://schemas.openxmlformats.org/officeDocument/2006/relationships/hyperlink" Target="https://data.cso.ie" TargetMode="External"/><Relationship Id="rIdqnqqv23xumjlxibboaavu" Type="http://schemas.openxmlformats.org/officeDocument/2006/relationships/hyperlink" Target="https://doi.org/10.1159/000492115" TargetMode="External"/><Relationship Id="rIdkfxlz2zd50hvbdtyd00yd" Type="http://schemas.openxmlformats.org/officeDocument/2006/relationships/hyperlink" Target="https://doi.org/10.1371/journal.pone.0252072" TargetMode="External"/><Relationship Id="rIduqc7dcojjywxdpq22athv" Type="http://schemas.openxmlformats.org/officeDocument/2006/relationships/hyperlink" Target="https://doi.org/10.1186/1478-4491-10-16" TargetMode="External"/><Relationship Id="rIdswtdqjqxp4r-azzcryg5_" Type="http://schemas.openxmlformats.org/officeDocument/2006/relationships/hyperlink" Target="https://www.nao.org.uk/wp-content/uploads/2020/03/The-NHS-nursing-workforce-Summary.pdf" TargetMode="External"/><Relationship Id="rIdh-mtvquxump9atedmd10x" Type="http://schemas.openxmlformats.org/officeDocument/2006/relationships/hyperlink" Target="https://digital.nhs.uk/data-and-information/publications/statistical/nhs-vacancies-survey" TargetMode="External"/><Relationship Id="rIdgh9om0f6uhkmhi7zagbix" Type="http://schemas.openxmlformats.org/officeDocument/2006/relationships/hyperlink" Target="https://www.gov.uk/government/news" TargetMode="External"/><Relationship Id="rIdtm7g3uxhlwx03fvzjuxul" Type="http://schemas.openxmlformats.org/officeDocument/2006/relationships/hyperlink" Target="https://www.nuffieldtrust.org.uk" TargetMode="External"/><Relationship Id="rIdhhbv2lfzjoucnkh1c2x53" Type="http://schemas.openxmlformats.org/officeDocument/2006/relationships/hyperlink" Target="https://www.nmc.org.uk/about-us/reports-and-accounts/registration-statistics" TargetMode="External"/><Relationship Id="rIdpsp8ohwggosjkatgxmyw9" Type="http://schemas.openxmlformats.org/officeDocument/2006/relationships/hyperlink" Target="https://www.england.nhs.uk/long-read/nhs-long-term-workforce-plan-2/" TargetMode="External"/><Relationship Id="rIdurinaqpuqzh-uvfmxblu4" Type="http://schemas.openxmlformats.org/officeDocument/2006/relationships/hyperlink" Target="https://doi.org/10.1186/1476-069X-10-53" TargetMode="External"/><Relationship Id="rIdxdr_iyqba8cconyoadsfe" Type="http://schemas.openxmlformats.org/officeDocument/2006/relationships/hyperlink" Target="https://data-explorer.oecd.org" TargetMode="External"/><Relationship Id="rIdoyyp7zfuxvkn3dcq5gzdf" Type="http://schemas.openxmlformats.org/officeDocument/2006/relationships/hyperlink" Target="https://ec.europa.eu/eurostat/web/main/data/database" TargetMode="External"/><Relationship Id="rIdk96vy9uk7angzrsfarykx" Type="http://schemas.openxmlformats.org/officeDocument/2006/relationships/hyperlink" Target="https://doi.org/10.1016/j.envint.2018.10.060" TargetMode="External"/><Relationship Id="rId_wpjtgnunom91_2nnnpn9" Type="http://schemas.openxmlformats.org/officeDocument/2006/relationships/hyperlink" Target="https://doi.org/10.1016/j.envint.2019.05.039" TargetMode="External"/><Relationship Id="rIdwgvrpoguhz1svyy9l1ygs" Type="http://schemas.openxmlformats.org/officeDocument/2006/relationships/hyperlink" Target="https://doi.org/10.1021/acs.est.6b06478" TargetMode="External"/><Relationship Id="rIdwfqhazqqkodbgnyqzmsf1" Type="http://schemas.openxmlformats.org/officeDocument/2006/relationships/hyperlink" Target="https://doi.org/10.1016/j.envint.2012.10.003" TargetMode="External"/><Relationship Id="rIdlwek3izqgi_5x74gk_azl" Type="http://schemas.openxmlformats.org/officeDocument/2006/relationships/hyperlink" Target="https://doi.org/10.1016/j.envpol.2022.120441" TargetMode="External"/><Relationship Id="rId-1rb3_u2zrzqdq9akcmpf" Type="http://schemas.openxmlformats.org/officeDocument/2006/relationships/hyperlink" Target="https://doi.org/10.1093/ije/dyw052" TargetMode="External"/><Relationship Id="rIdnf9teeakkhnabjpiy7rlp" Type="http://schemas.openxmlformats.org/officeDocument/2006/relationships/hyperlink" Target="https://doi.org/10.1016/j.envint.2012.10.003" TargetMode="External"/><Relationship Id="rId09lmmdkjsc6g0waxq0aiu" Type="http://schemas.openxmlformats.org/officeDocument/2006/relationships/hyperlink" Target="https://doi.org/10.1016/j.envpol.2022.120441" TargetMode="External"/><Relationship Id="rIdhni1m5xh-bkpbhytewe7p" Type="http://schemas.openxmlformats.org/officeDocument/2006/relationships/hyperlink" Target="https://doi.org/10.2298/SOC1302169A" TargetMode="External"/><Relationship Id="rIdn04usawgipwhf6hrmz8fd" Type="http://schemas.openxmlformats.org/officeDocument/2006/relationships/hyperlink" Target="https://ec.europa.eu/eurostat/web/main/data/database" TargetMode="External"/><Relationship Id="rIdslt2btzzk0cy7hvdvhng1" Type="http://schemas.openxmlformats.org/officeDocument/2006/relationships/hyperlink" Target="https://ec.europa.eu/eurostat/web/main/data/database" TargetMode="External"/><Relationship Id="rIdp_hbsuw_9rqkivr6z_ycr" Type="http://schemas.openxmlformats.org/officeDocument/2006/relationships/hyperlink" Target="https://ec.europa.eu/eurostat/web/main/data/database" TargetMode="External"/><Relationship Id="rIdsy617xnx9m_hhq2uiqxb1" Type="http://schemas.openxmlformats.org/officeDocument/2006/relationships/hyperlink" Target="https://ec.europa.eu/eurostat/web/main/data/database" TargetMode="External"/><Relationship Id="rIdiio8n5lwaotzobz87wxzf" Type="http://schemas.openxmlformats.org/officeDocument/2006/relationships/hyperlink" Target="https://ec.europa.eu/eurostat/web/main/data/database" TargetMode="External"/><Relationship Id="rId9cyapxldcdl5wrsqree7g" Type="http://schemas.openxmlformats.org/officeDocument/2006/relationships/hyperlink" Target="https://doi.org/10.2760/021884" TargetMode="External"/><Relationship Id="rIdhbqpp0tqboorohgxdxygo" Type="http://schemas.openxmlformats.org/officeDocument/2006/relationships/hyperlink" Target="https://doi.org/10.2760/590301" TargetMode="External"/><Relationship Id="rIdfr6f0qo9kwypwkxomz2bi" Type="http://schemas.openxmlformats.org/officeDocument/2006/relationships/hyperlink" Target="https://doi.org/10.1088/0953-2048/26/11/113001" TargetMode="External"/><Relationship Id="rIdnwox7vubououcwave7eru" Type="http://schemas.openxmlformats.org/officeDocument/2006/relationships/hyperlink" Target="https://gml.noaa.gov/webdata/ccgg/trends/co2/co2_mm_mlo.txt" TargetMode="External"/><Relationship Id="rIdyvuhlpbbxpn08nu4hxb-c" Type="http://schemas.openxmlformats.org/officeDocument/2006/relationships/hyperlink" Target="https://doi.org/10.1111/j.1549-0831.2011.00068.x" TargetMode="External"/><Relationship Id="rIdj3gnkkni_gx9gwguy0rmo" Type="http://schemas.openxmlformats.org/officeDocument/2006/relationships/hyperlink" Target="https://bcfarmersmarket.org/app/uploads/2024/02/Provincial_2023-BC-Farmers-Market-Economic-Impact-Study-Jan-18-2024.pdf" TargetMode="External"/><Relationship Id="rId1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VV-FUTURES-NEW-REVIEWED-FINDINGS</dc:title>
  <dc:creator>VV Futures review (LLM-assisted)</dc:creator>
  <dc:description>Research review package, 24 October 2026</dc:description>
  <cp:lastModifiedBy>Un-named</cp:lastModifiedBy>
  <cp:revision>1</cp:revision>
  <dcterms:created xsi:type="dcterms:W3CDTF">2026-10-24T09:04:06.673Z</dcterms:created>
  <dcterms:modified xsi:type="dcterms:W3CDTF">2026-10-24T09:04:06.675Z</dcterms:modified>
</cp:coreProperties>
</file>

<file path=docProps/custom.xml><?xml version="1.0" encoding="utf-8"?>
<Properties xmlns="http://schemas.openxmlformats.org/officeDocument/2006/custom-properties" xmlns:vt="http://schemas.openxmlformats.org/officeDocument/2006/docPropsVTypes"/>
</file>