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40 ideas to revisit</w:t>
      </w:r>
    </w:p>
    <w:p>
      <w:r>
        <w:rPr>
          <w:b/>
        </w:rPr>
        <w:t>20 strongest research trails  /  20 research trails to recheck (maximum 20 each)</w:t>
      </w:r>
    </w:p>
    <w:p>
      <w:r>
        <w:t>Based on World Radar's living atlas (2026-10-21 19:14 UTC). 1,366 older and newer research entries available. This shortlist updates when Radar 2 publishes new data.</w:t>
      </w:r>
    </w:p>
    <w:p>
      <w:r>
        <w:t>IMPORTANT: "Strongest" means comparatively useful, traceable later evidence; it does NOT mean a prediction came true. "Weakest" means the saved follow-up trail is sparse, old, or potentially unrelated; it does NOT mean the original research was wrong or irrelevant. An unreviewed item is not given a fake 1–100 grade.</w:t>
      </w:r>
    </w:p>
    <w:p>
      <w:pPr>
        <w:pStyle w:val="Heading1"/>
      </w:pPr>
      <w:r>
        <w:t>The strongest research trails (20 selected; maximum 20)</w:t>
      </w:r>
    </w:p>
    <w:p>
      <w:r>
        <w:t>These are the strongest automatically screened later-research trails, not verified successes. Withdrawn, retracted and repeated publications are excluded from positive evidence.</w:t>
      </w:r>
    </w:p>
    <w:p>
      <w:pPr>
        <w:pStyle w:val="Heading2"/>
        <w:keepNext/>
      </w:pPr>
      <w:r>
        <w:t>01.  Mobility partnerships - the future of European migration policy?  (2012)</w:t>
      </w:r>
    </w:p>
    <w:p>
      <w:r>
        <w:rPr>
          <w:b/>
        </w:rPr>
        <w:t xml:space="preserve">NOW  </w:t>
      </w:r>
      <w:r>
        <w:t>Newer research (2026) discusses: This article applies a spatial approach to examine the transformation of German migration policy driven by contemporary megatrends such as demographic transition, decarbonization and digitalization.</w:t>
      </w:r>
    </w:p>
    <w:p>
      <w:r>
        <w:rPr>
          <w:b/>
        </w:rPr>
        <w:t xml:space="preserve">WHY HERE  </w:t>
      </w:r>
      <w:r>
        <w:t>This is a same-question research trail (4 linked publication(s)). It shows continuing work, not necessarily a measured outcome.</w:t>
      </w:r>
    </w:p>
    <w:p>
      <w:pPr>
        <w:spacing w:after="160"/>
      </w:pPr>
      <w:hyperlink r:id="rId11">
        <w:r>
          <w:rPr>
            <w:color w:val="000000"/>
            <w:u w:val="single"/>
          </w:rPr>
          <w:t>Original publication</w:t>
        </w:r>
      </w:hyperlink>
      <w:r>
        <w:t xml:space="preserve">   ·   </w:t>
      </w:r>
      <w:hyperlink r:id="rId12">
        <w:r>
          <w:rPr>
            <w:color w:val="000000"/>
            <w:u w:val="single"/>
          </w:rPr>
          <w:t>Later publication</w:t>
        </w:r>
      </w:hyperlink>
    </w:p>
    <w:p>
      <w:pPr>
        <w:pStyle w:val="Heading2"/>
        <w:keepNext/>
      </w:pPr>
      <w:r>
        <w:t>02.  Scenarios for population health inequalities in 2030 in Europe  (2020)</w:t>
      </w:r>
    </w:p>
    <w:p>
      <w:r>
        <w:rPr>
          <w:b/>
        </w:rPr>
        <w:t xml:space="preserve">NOW  </w:t>
      </w:r>
      <w:r>
        <w:t>A 2024 paper reports: This model combines individual-level data on demographics, health and mortality from linked administrative data for primary and secondary care with survey responses on individual-level risk factors and epidemiological evidence on the associations between risk factors an</w:t>
      </w:r>
    </w:p>
    <w:p>
      <w:r>
        <w:rPr>
          <w:b/>
        </w:rPr>
        <w:t xml:space="preserve">WHY HERE  </w:t>
      </w:r>
      <w:r>
        <w:t>This is a same-question research trail (3 linked publication(s)). It shows continuing work, not necessarily a measured outcome.</w:t>
      </w:r>
    </w:p>
    <w:p>
      <w:pPr>
        <w:spacing w:after="160"/>
      </w:pPr>
      <w:hyperlink r:id="rId13">
        <w:r>
          <w:rPr>
            <w:color w:val="000000"/>
            <w:u w:val="single"/>
          </w:rPr>
          <w:t>Original publication</w:t>
        </w:r>
      </w:hyperlink>
      <w:r>
        <w:t xml:space="preserve">   ·   </w:t>
      </w:r>
      <w:hyperlink r:id="rId14">
        <w:r>
          <w:rPr>
            <w:color w:val="000000"/>
            <w:u w:val="single"/>
          </w:rPr>
          <w:t>Later publication</w:t>
        </w:r>
      </w:hyperlink>
    </w:p>
    <w:p>
      <w:pPr>
        <w:pStyle w:val="Heading2"/>
        <w:keepNext/>
      </w:pPr>
      <w:r>
        <w:t>03.  Urban energy futures: a comparative analysis  (2018)</w:t>
      </w:r>
    </w:p>
    <w:p>
      <w:r>
        <w:rPr>
          <w:b/>
        </w:rPr>
        <w:t xml:space="preserve">NOW  </w:t>
      </w:r>
      <w:r>
        <w:t>A 2025 paper reports: Accurate short-term forecasting of urban electricity demand is essential for operational planning and climate-resilient energy management.</w:t>
      </w:r>
    </w:p>
    <w:p>
      <w:r>
        <w:rPr>
          <w:b/>
        </w:rPr>
        <w:t xml:space="preserve">WHY HERE  </w:t>
      </w:r>
      <w:r>
        <w:t>This is a same-question research trail (8 linked publication(s)). It shows continuing work, not necessarily a measured outcome.</w:t>
      </w:r>
    </w:p>
    <w:p>
      <w:pPr>
        <w:spacing w:after="160"/>
      </w:pPr>
      <w:hyperlink r:id="rId15">
        <w:r>
          <w:rPr>
            <w:color w:val="000000"/>
            <w:u w:val="single"/>
          </w:rPr>
          <w:t>Original publication</w:t>
        </w:r>
      </w:hyperlink>
      <w:r>
        <w:t xml:space="preserve">   ·   </w:t>
      </w:r>
      <w:hyperlink r:id="rId16">
        <w:r>
          <w:rPr>
            <w:color w:val="000000"/>
            <w:u w:val="single"/>
          </w:rPr>
          <w:t>Later publication</w:t>
        </w:r>
      </w:hyperlink>
    </w:p>
    <w:p>
      <w:pPr>
        <w:pStyle w:val="Heading2"/>
        <w:keepNext/>
      </w:pPr>
      <w:r>
        <w:t>04.  The Future of Internationalization of Higher Education in Europe  (2015)</w:t>
      </w:r>
    </w:p>
    <w:p>
      <w:r>
        <w:rPr>
          <w:b/>
        </w:rPr>
        <w:t xml:space="preserve">NOW  </w:t>
      </w:r>
      <w:r>
        <w:t>Newer research (2024) discusses: The results show that three patterns can be recognized: A first group of Universities of Applied Sciences tackle the issue of internationalization by providing degree programs in English with a clear international focus.</w:t>
      </w:r>
    </w:p>
    <w:p>
      <w:r>
        <w:rPr>
          <w:b/>
        </w:rPr>
        <w:t xml:space="preserve">WHY HERE  </w:t>
      </w:r>
      <w:r>
        <w:t>This is a same-question research trail (9 linked publication(s)). It shows continuing work, not necessarily a measured outcome.</w:t>
      </w:r>
    </w:p>
    <w:p>
      <w:pPr>
        <w:spacing w:after="160"/>
      </w:pPr>
      <w:hyperlink r:id="rId17">
        <w:r>
          <w:rPr>
            <w:color w:val="000000"/>
            <w:u w:val="single"/>
          </w:rPr>
          <w:t>Original publication</w:t>
        </w:r>
      </w:hyperlink>
      <w:r>
        <w:t xml:space="preserve">   ·   </w:t>
      </w:r>
      <w:hyperlink r:id="rId18">
        <w:r>
          <w:rPr>
            <w:color w:val="000000"/>
            <w:u w:val="single"/>
          </w:rPr>
          <w:t>Later publication</w:t>
        </w:r>
      </w:hyperlink>
    </w:p>
    <w:p>
      <w:pPr>
        <w:pStyle w:val="Heading2"/>
        <w:keepNext/>
      </w:pPr>
      <w:r>
        <w:t>05.  Financing Innovations for the Renewable Energy Transition in Europe  (2016)</w:t>
      </w:r>
    </w:p>
    <w:p>
      <w:r>
        <w:rPr>
          <w:b/>
        </w:rPr>
        <w:t xml:space="preserve">NOW  </w:t>
      </w:r>
      <w:r>
        <w:t>A 2021 paper reports: The affordability, ease of availability and technological maturity of oil in some regions has contributed to the slow uptake of investment in renewable energy projects.</w:t>
      </w:r>
    </w:p>
    <w:p>
      <w:r>
        <w:rPr>
          <w:b/>
        </w:rPr>
        <w:t xml:space="preserve">WHY HERE  </w:t>
      </w:r>
      <w:r>
        <w:t>This is a same-question research trail (7 linked publication(s)). It shows continuing work, not necessarily a measured outcome.</w:t>
      </w:r>
    </w:p>
    <w:p>
      <w:pPr>
        <w:spacing w:after="160"/>
      </w:pPr>
      <w:hyperlink r:id="rId19">
        <w:r>
          <w:rPr>
            <w:color w:val="000000"/>
            <w:u w:val="single"/>
          </w:rPr>
          <w:t>Original publication</w:t>
        </w:r>
      </w:hyperlink>
      <w:r>
        <w:t xml:space="preserve">   ·   </w:t>
      </w:r>
      <w:hyperlink r:id="rId20">
        <w:r>
          <w:rPr>
            <w:color w:val="000000"/>
            <w:u w:val="single"/>
          </w:rPr>
          <w:t>Later publication</w:t>
        </w:r>
      </w:hyperlink>
    </w:p>
    <w:p>
      <w:pPr>
        <w:pStyle w:val="Heading2"/>
        <w:keepNext/>
      </w:pPr>
      <w:r>
        <w:t>06.  Sustainable fashion supply chain management: the European scenario  (2014)</w:t>
      </w:r>
    </w:p>
    <w:p>
      <w:r>
        <w:rPr>
          <w:b/>
        </w:rPr>
        <w:t xml:space="preserve">NOW  </w:t>
      </w:r>
      <w:r>
        <w:t>Newer research (2017) discusses: In the present competitive world, the dynamics of market does not allow any deviation in quality of end product.Therefore, the importance of quality management is universally espoused by the researchers and practicing managers wor</w:t>
      </w:r>
    </w:p>
    <w:p>
      <w:r>
        <w:rPr>
          <w:b/>
        </w:rPr>
        <w:t xml:space="preserve">WHY HERE  </w:t>
      </w:r>
      <w:r>
        <w:t>This is a same-question research trail (8 linked publication(s)). It shows continuing work, not necessarily a measured outcome.</w:t>
      </w:r>
    </w:p>
    <w:p>
      <w:pPr>
        <w:spacing w:after="160"/>
      </w:pPr>
      <w:hyperlink r:id="rId21">
        <w:r>
          <w:rPr>
            <w:color w:val="000000"/>
            <w:u w:val="single"/>
          </w:rPr>
          <w:t>Original publication</w:t>
        </w:r>
      </w:hyperlink>
      <w:r>
        <w:t xml:space="preserve">   ·   </w:t>
      </w:r>
      <w:hyperlink r:id="rId22">
        <w:r>
          <w:rPr>
            <w:color w:val="000000"/>
            <w:u w:val="single"/>
          </w:rPr>
          <w:t>Later publication</w:t>
        </w:r>
      </w:hyperlink>
    </w:p>
    <w:p>
      <w:pPr>
        <w:pStyle w:val="Heading2"/>
        <w:keepNext/>
      </w:pPr>
      <w:r>
        <w:t>07.  International migration by 2030: impact of immigration policies scenarios on growth and employment  (2014)</w:t>
      </w:r>
    </w:p>
    <w:p>
      <w:r>
        <w:rPr>
          <w:b/>
        </w:rPr>
        <w:t xml:space="preserve">NOW  </w:t>
      </w:r>
      <w:r>
        <w:t>A 2017 paper reports: From July 2011 to July 2016, employment in Australia increased by 738,800.</w:t>
      </w:r>
    </w:p>
    <w:p>
      <w:r>
        <w:rPr>
          <w:b/>
        </w:rPr>
        <w:t xml:space="preserve">WHY HERE  </w:t>
      </w:r>
      <w:r>
        <w:t>This is a same-question research trail (5 linked publication(s)). It shows continuing work, not necessarily a measured outcome.</w:t>
      </w:r>
    </w:p>
    <w:p>
      <w:pPr>
        <w:spacing w:after="160"/>
      </w:pPr>
      <w:hyperlink r:id="rId23">
        <w:r>
          <w:rPr>
            <w:color w:val="000000"/>
            <w:u w:val="single"/>
          </w:rPr>
          <w:t>Original publication</w:t>
        </w:r>
      </w:hyperlink>
      <w:r>
        <w:t xml:space="preserve">   ·   </w:t>
      </w:r>
      <w:hyperlink r:id="rId24">
        <w:r>
          <w:rPr>
            <w:color w:val="000000"/>
            <w:u w:val="single"/>
          </w:rPr>
          <w:t>Later publication</w:t>
        </w:r>
      </w:hyperlink>
    </w:p>
    <w:p>
      <w:pPr>
        <w:pStyle w:val="Heading2"/>
        <w:keepNext/>
      </w:pPr>
      <w:r>
        <w:t>08.  MIGRATION AND MIGRANT WORKERS IN EUROPE  (2013)</w:t>
      </w:r>
    </w:p>
    <w:p>
      <w:r>
        <w:rPr>
          <w:b/>
        </w:rPr>
        <w:t xml:space="preserve">NOW  </w:t>
      </w:r>
      <w:r>
        <w:t>Newer research (2022) discusses: Migration is a need based priority for people who seek better opportunity and to improve their socio-economic conditions.</w:t>
      </w:r>
    </w:p>
    <w:p>
      <w:r>
        <w:rPr>
          <w:b/>
        </w:rPr>
        <w:t xml:space="preserve">WHY HERE  </w:t>
      </w:r>
      <w:r>
        <w:t>This is a same-question research trail (8 linked publication(s)). It shows continuing work, not necessarily a measured outcome.</w:t>
      </w:r>
    </w:p>
    <w:p>
      <w:pPr>
        <w:spacing w:after="160"/>
      </w:pPr>
      <w:hyperlink r:id="rId25">
        <w:r>
          <w:rPr>
            <w:color w:val="000000"/>
            <w:u w:val="single"/>
          </w:rPr>
          <w:t>Original publication</w:t>
        </w:r>
      </w:hyperlink>
      <w:r>
        <w:t xml:space="preserve">   ·   </w:t>
      </w:r>
      <w:hyperlink r:id="rId26">
        <w:r>
          <w:rPr>
            <w:color w:val="000000"/>
            <w:u w:val="single"/>
          </w:rPr>
          <w:t>Later publication</w:t>
        </w:r>
      </w:hyperlink>
    </w:p>
    <w:p>
      <w:pPr>
        <w:pStyle w:val="Heading2"/>
        <w:keepNext/>
      </w:pPr>
      <w:r>
        <w:t>09.  Evaluating current effects of upcoming EU Carbon Border Adjustment Mechanism: Evidence from China's futures market  (2023)</w:t>
      </w:r>
    </w:p>
    <w:p>
      <w:r>
        <w:rPr>
          <w:b/>
        </w:rPr>
        <w:t xml:space="preserve">NOW  </w:t>
      </w:r>
      <w:r>
        <w:t>A 2026 paper reports: The authors demonstrate that the CBAM represents a hybrid regulatory mechanism combining elements of environmental taxation, regulatory charges and trade policy instruments implemented through customs procedures.</w:t>
      </w:r>
    </w:p>
    <w:p>
      <w:r>
        <w:rPr>
          <w:b/>
        </w:rPr>
        <w:t xml:space="preserve">WHY HERE  </w:t>
      </w:r>
      <w:r>
        <w:t>This is a same-question research trail (3 linked publication(s)). It shows continuing work, not necessarily a measured outcome.</w:t>
      </w:r>
    </w:p>
    <w:p>
      <w:pPr>
        <w:spacing w:after="160"/>
      </w:pPr>
      <w:hyperlink r:id="rId27">
        <w:r>
          <w:rPr>
            <w:color w:val="000000"/>
            <w:u w:val="single"/>
          </w:rPr>
          <w:t>Original publication</w:t>
        </w:r>
      </w:hyperlink>
      <w:r>
        <w:t xml:space="preserve">   ·   </w:t>
      </w:r>
      <w:hyperlink r:id="rId28">
        <w:r>
          <w:rPr>
            <w:color w:val="000000"/>
            <w:u w:val="single"/>
          </w:rPr>
          <w:t>Later publication</w:t>
        </w:r>
      </w:hyperlink>
    </w:p>
    <w:p>
      <w:pPr>
        <w:pStyle w:val="Heading2"/>
        <w:keepNext/>
      </w:pPr>
      <w:r>
        <w:t>10.  Global food security: assessing trends in view of guiding future EU policies  (2016)</w:t>
      </w:r>
    </w:p>
    <w:p>
      <w:r>
        <w:rPr>
          <w:b/>
        </w:rPr>
        <w:t xml:space="preserve">NOW  </w:t>
      </w:r>
      <w:r>
        <w:t>Newer research (2022) discusses: Due to the stopping of Ukrainian exports, record food prices were observed, which significantly worsened the access of the low-income population to food products.</w:t>
      </w:r>
    </w:p>
    <w:p>
      <w:r>
        <w:rPr>
          <w:b/>
        </w:rPr>
        <w:t xml:space="preserve">WHY HERE  </w:t>
      </w:r>
      <w:r>
        <w:t>This is a same-question research trail (4 linked publication(s)). It shows continuing work, not necessarily a measured outcome.</w:t>
      </w:r>
    </w:p>
    <w:p>
      <w:pPr>
        <w:spacing w:after="160"/>
      </w:pPr>
      <w:hyperlink r:id="rId29">
        <w:r>
          <w:rPr>
            <w:color w:val="000000"/>
            <w:u w:val="single"/>
          </w:rPr>
          <w:t>Original publication</w:t>
        </w:r>
      </w:hyperlink>
      <w:r>
        <w:t xml:space="preserve">   ·   </w:t>
      </w:r>
      <w:hyperlink r:id="rId30">
        <w:r>
          <w:rPr>
            <w:color w:val="000000"/>
            <w:u w:val="single"/>
          </w:rPr>
          <w:t>Later publication</w:t>
        </w:r>
      </w:hyperlink>
    </w:p>
    <w:p>
      <w:pPr>
        <w:pStyle w:val="Heading2"/>
        <w:keepNext/>
      </w:pPr>
      <w:r>
        <w:t>11.  Demographic changes in Europe - new challenges for the European labour market  (2013)</w:t>
      </w:r>
    </w:p>
    <w:p>
      <w:r>
        <w:rPr>
          <w:b/>
        </w:rPr>
        <w:t xml:space="preserve">NOW  </w:t>
      </w:r>
      <w:r>
        <w:t>A 2018 paper reports: The older people’s integration opportunities into the labor market, their activity, employment and observed situation differences are examined in this article.</w:t>
      </w:r>
    </w:p>
    <w:p>
      <w:r>
        <w:rPr>
          <w:b/>
        </w:rPr>
        <w:t xml:space="preserve">WHY HERE  </w:t>
      </w:r>
      <w:r>
        <w:t>This is a same-question research trail (6 linked publication(s)). It shows continuing work, not necessarily a measured outcome.</w:t>
      </w:r>
    </w:p>
    <w:p>
      <w:pPr>
        <w:spacing w:after="160"/>
      </w:pPr>
      <w:hyperlink r:id="rId31">
        <w:r>
          <w:rPr>
            <w:color w:val="000000"/>
            <w:u w:val="single"/>
          </w:rPr>
          <w:t>Original publication</w:t>
        </w:r>
      </w:hyperlink>
      <w:r>
        <w:t xml:space="preserve">   ·   </w:t>
      </w:r>
      <w:hyperlink r:id="rId32">
        <w:r>
          <w:rPr>
            <w:color w:val="000000"/>
            <w:u w:val="single"/>
          </w:rPr>
          <w:t>Later publication</w:t>
        </w:r>
      </w:hyperlink>
    </w:p>
    <w:p>
      <w:pPr>
        <w:pStyle w:val="Heading2"/>
        <w:keepNext/>
      </w:pPr>
      <w:r>
        <w:t>12.  Sovereign debt crises and pension reforms in selected European countries  (2013)</w:t>
      </w:r>
    </w:p>
    <w:p>
      <w:r>
        <w:rPr>
          <w:b/>
        </w:rPr>
        <w:t xml:space="preserve">NOW  </w:t>
      </w:r>
      <w:r>
        <w:t>A 2015 paper reports: Reforms came about when incumbent governments were able to shift or share the blame for retrenchments enacted, to hide the true impact of changes, or expected to reap credit for reforms that put pension systems on a more sustainable footing in view of advancing populati</w:t>
      </w:r>
    </w:p>
    <w:p>
      <w:r>
        <w:rPr>
          <w:b/>
        </w:rPr>
        <w:t xml:space="preserve">WHY HERE  </w:t>
      </w:r>
      <w:r>
        <w:t>This is a same-question research trail (3 linked publication(s)). It shows continuing work, not necessarily a measured outcome.</w:t>
      </w:r>
    </w:p>
    <w:p>
      <w:pPr>
        <w:spacing w:after="160"/>
      </w:pPr>
      <w:hyperlink r:id="rId33">
        <w:r>
          <w:rPr>
            <w:color w:val="000000"/>
            <w:u w:val="single"/>
          </w:rPr>
          <w:t>Original publication</w:t>
        </w:r>
      </w:hyperlink>
      <w:r>
        <w:t xml:space="preserve">   ·   </w:t>
      </w:r>
      <w:hyperlink r:id="rId34">
        <w:r>
          <w:rPr>
            <w:color w:val="000000"/>
            <w:u w:val="single"/>
          </w:rPr>
          <w:t>Later publication</w:t>
        </w:r>
      </w:hyperlink>
    </w:p>
    <w:p>
      <w:pPr>
        <w:pStyle w:val="Heading2"/>
        <w:keepNext/>
      </w:pPr>
      <w:r>
        <w:t>13.  Offshore and onshore wind turbine blade waste material forecast at a regional level in Europe until 2050  (2020)</w:t>
      </w:r>
    </w:p>
    <w:p>
      <w:r>
        <w:rPr>
          <w:b/>
        </w:rPr>
        <w:t xml:space="preserve">NOW  </w:t>
      </w:r>
      <w:r>
        <w:t>A 2025 paper reports: Onshore and offshore wind energy exploration has significantly increased in recent years.</w:t>
      </w:r>
    </w:p>
    <w:p>
      <w:r>
        <w:rPr>
          <w:b/>
        </w:rPr>
        <w:t xml:space="preserve">WHY HERE  </w:t>
      </w:r>
      <w:r>
        <w:t>This is a same-question research trail (5 linked publication(s)). It shows continuing work, not necessarily a measured outcome.</w:t>
      </w:r>
    </w:p>
    <w:p>
      <w:pPr>
        <w:spacing w:after="160"/>
      </w:pPr>
      <w:hyperlink r:id="rId35">
        <w:r>
          <w:rPr>
            <w:color w:val="000000"/>
            <w:u w:val="single"/>
          </w:rPr>
          <w:t>Original publication</w:t>
        </w:r>
      </w:hyperlink>
      <w:r>
        <w:t xml:space="preserve">   ·   </w:t>
      </w:r>
      <w:hyperlink r:id="rId36">
        <w:r>
          <w:rPr>
            <w:color w:val="000000"/>
            <w:u w:val="single"/>
          </w:rPr>
          <w:t>Later publication</w:t>
        </w:r>
      </w:hyperlink>
    </w:p>
    <w:p>
      <w:pPr>
        <w:pStyle w:val="Heading2"/>
        <w:keepNext/>
      </w:pPr>
      <w:r>
        <w:t>14.  Record dry summer in 2015 challenges precipitation projections in Central Europe  (2016)</w:t>
      </w:r>
    </w:p>
    <w:p>
      <w:r>
        <w:rPr>
          <w:b/>
        </w:rPr>
        <w:t xml:space="preserve">NOW  </w:t>
      </w:r>
      <w:r>
        <w:t>Newer research (2026) discusses: Although ERA5 and MERRA-2 compares well to observed precipitation, both reanalysis datasets exhibit large discrepancies with the CMIP6 models when evaluating other terms in the atmospheric energy.</w:t>
      </w:r>
    </w:p>
    <w:p>
      <w:r>
        <w:rPr>
          <w:b/>
        </w:rPr>
        <w:t xml:space="preserve">WHY HERE  </w:t>
      </w:r>
      <w:r>
        <w:t>This is a same-question research trail (5 linked publication(s)). It shows continuing work, not necessarily a measured outcome.</w:t>
      </w:r>
    </w:p>
    <w:p>
      <w:pPr>
        <w:spacing w:after="160"/>
      </w:pPr>
      <w:hyperlink r:id="rId37">
        <w:r>
          <w:rPr>
            <w:color w:val="000000"/>
            <w:u w:val="single"/>
          </w:rPr>
          <w:t>Original publication</w:t>
        </w:r>
      </w:hyperlink>
      <w:r>
        <w:t xml:space="preserve">   ·   </w:t>
      </w:r>
      <w:hyperlink r:id="rId38">
        <w:r>
          <w:rPr>
            <w:color w:val="000000"/>
            <w:u w:val="single"/>
          </w:rPr>
          <w:t>Later publication</w:t>
        </w:r>
      </w:hyperlink>
    </w:p>
    <w:p>
      <w:pPr>
        <w:pStyle w:val="Heading2"/>
        <w:keepNext/>
      </w:pPr>
      <w:r>
        <w:t>15.  European atmosphere in 2050, a regional air quality and climate perspective under CMIP5 scenarios  (2013)</w:t>
      </w:r>
    </w:p>
    <w:p>
      <w:r>
        <w:rPr>
          <w:b/>
        </w:rPr>
        <w:t xml:space="preserve">NOW  </w:t>
      </w:r>
      <w:r>
        <w:t>Newer research (2022) discusses: As scientists engage in research motivated by climate change and the impacts of pollution on air, water, and human health, we increasingly recognize the need for the scientific community to improve communication and knowledge exch</w:t>
      </w:r>
    </w:p>
    <w:p>
      <w:r>
        <w:rPr>
          <w:b/>
        </w:rPr>
        <w:t xml:space="preserve">WHY HERE  </w:t>
      </w:r>
      <w:r>
        <w:t>This is a same-question research trail (4 linked publication(s)). It shows continuing work, not necessarily a measured outcome.</w:t>
      </w:r>
    </w:p>
    <w:p>
      <w:pPr>
        <w:spacing w:after="160"/>
      </w:pPr>
      <w:hyperlink r:id="rId39">
        <w:r>
          <w:rPr>
            <w:color w:val="000000"/>
            <w:u w:val="single"/>
          </w:rPr>
          <w:t>Original publication</w:t>
        </w:r>
      </w:hyperlink>
      <w:r>
        <w:t xml:space="preserve">   ·   </w:t>
      </w:r>
      <w:hyperlink r:id="rId40">
        <w:r>
          <w:rPr>
            <w:color w:val="000000"/>
            <w:u w:val="single"/>
          </w:rPr>
          <w:t>Later publication</w:t>
        </w:r>
      </w:hyperlink>
    </w:p>
    <w:p>
      <w:pPr>
        <w:pStyle w:val="Heading2"/>
        <w:keepNext/>
      </w:pPr>
      <w:r>
        <w:t>16.  Forecasting the volatility of EUA futures with economic policy uncertainty using the GARCH-MIDAS model  (2021)</w:t>
      </w:r>
    </w:p>
    <w:p>
      <w:r>
        <w:rPr>
          <w:b/>
        </w:rPr>
        <w:t xml:space="preserve">NOW  </w:t>
      </w:r>
      <w:r>
        <w:t>Newer research (2024) discusses: Abstract This paper examines whether the information contained in geopolitical risk (GPR) can improve the forecasting power of price volatility for carbon futures traded in the EU Emission Trading System.</w:t>
      </w:r>
    </w:p>
    <w:p>
      <w:r>
        <w:rPr>
          <w:b/>
        </w:rPr>
        <w:t xml:space="preserve">WHY HERE  </w:t>
      </w:r>
      <w:r>
        <w:t>This is a same-question research trail (5 linked publication(s)). It shows continuing work, not necessarily a measured outcome.</w:t>
      </w:r>
    </w:p>
    <w:p>
      <w:pPr>
        <w:spacing w:after="160"/>
      </w:pPr>
      <w:hyperlink r:id="rId41">
        <w:r>
          <w:rPr>
            <w:color w:val="000000"/>
            <w:u w:val="single"/>
          </w:rPr>
          <w:t>Original publication</w:t>
        </w:r>
      </w:hyperlink>
      <w:r>
        <w:t xml:space="preserve">   ·   </w:t>
      </w:r>
      <w:hyperlink r:id="rId42">
        <w:r>
          <w:rPr>
            <w:color w:val="000000"/>
            <w:u w:val="single"/>
          </w:rPr>
          <w:t>Later publication</w:t>
        </w:r>
      </w:hyperlink>
    </w:p>
    <w:p>
      <w:pPr>
        <w:pStyle w:val="Heading2"/>
        <w:keepNext/>
      </w:pPr>
      <w:r>
        <w:t>17.  A mountain food label for Europe?  (2015)</w:t>
      </w:r>
    </w:p>
    <w:p>
      <w:r>
        <w:rPr>
          <w:b/>
        </w:rPr>
        <w:t xml:space="preserve">NOW  </w:t>
      </w:r>
      <w:r>
        <w:t>Newer research (2022) discusses: As part of the European rural development strategy, the European Union created Regulation (EU) 1151/2012 and its Delegated Act 665/2014, establishing the quality scheme for mountain products.</w:t>
      </w:r>
    </w:p>
    <w:p>
      <w:r>
        <w:rPr>
          <w:b/>
        </w:rPr>
        <w:t xml:space="preserve">WHY HERE  </w:t>
      </w:r>
      <w:r>
        <w:t>This is a same-question research trail (7 linked publication(s)). It shows continuing work, not necessarily a measured outcome.</w:t>
      </w:r>
    </w:p>
    <w:p>
      <w:pPr>
        <w:spacing w:after="160"/>
      </w:pPr>
      <w:hyperlink r:id="rId43">
        <w:r>
          <w:rPr>
            <w:color w:val="000000"/>
            <w:u w:val="single"/>
          </w:rPr>
          <w:t>Original publication</w:t>
        </w:r>
      </w:hyperlink>
      <w:r>
        <w:t xml:space="preserve">   ·   </w:t>
      </w:r>
      <w:hyperlink r:id="rId44">
        <w:r>
          <w:rPr>
            <w:color w:val="000000"/>
            <w:u w:val="single"/>
          </w:rPr>
          <w:t>Later publication</w:t>
        </w:r>
      </w:hyperlink>
    </w:p>
    <w:p>
      <w:pPr>
        <w:pStyle w:val="Heading2"/>
        <w:keepNext/>
      </w:pPr>
      <w:r>
        <w:t>18.  Perceptions and Acceptance of Artificial Intelligence: A Multi-Dimensional Study  (2023)</w:t>
      </w:r>
    </w:p>
    <w:p>
      <w:r>
        <w:rPr>
          <w:b/>
        </w:rPr>
        <w:t xml:space="preserve">NOW  </w:t>
      </w:r>
      <w:r>
        <w:t>Newer research (2026) discusses: This project is a scoping review that aims to map and synthesize existing evidence on patients’ attitudes, perceptions, trust, and acceptance of artificial intelligence (AI) in healthcare.</w:t>
      </w:r>
    </w:p>
    <w:p>
      <w:r>
        <w:rPr>
          <w:b/>
        </w:rPr>
        <w:t xml:space="preserve">WHY HERE  </w:t>
      </w:r>
      <w:r>
        <w:t>This is a same-question research trail (7 linked publication(s)). It shows continuing work, not necessarily a measured outcome.</w:t>
      </w:r>
    </w:p>
    <w:p>
      <w:pPr>
        <w:spacing w:after="160"/>
      </w:pPr>
      <w:hyperlink r:id="rId45">
        <w:r>
          <w:rPr>
            <w:color w:val="000000"/>
            <w:u w:val="single"/>
          </w:rPr>
          <w:t>Original publication</w:t>
        </w:r>
      </w:hyperlink>
      <w:r>
        <w:t xml:space="preserve">   ·   </w:t>
      </w:r>
      <w:hyperlink r:id="rId46">
        <w:r>
          <w:rPr>
            <w:color w:val="000000"/>
            <w:u w:val="single"/>
          </w:rPr>
          <w:t>Later publication</w:t>
        </w:r>
      </w:hyperlink>
    </w:p>
    <w:p>
      <w:pPr>
        <w:pStyle w:val="Heading2"/>
        <w:keepNext/>
      </w:pPr>
      <w:r>
        <w:t>19.  Ethics and governance in the digital age  (2021)</w:t>
      </w:r>
    </w:p>
    <w:p>
      <w:r>
        <w:rPr>
          <w:b/>
        </w:rPr>
        <w:t xml:space="preserve">NOW  </w:t>
      </w:r>
      <w:r>
        <w:t>Newer research (2026) discusses: This chapter examines the ethical foundations and governance requirements of digital food safety in the era of Industry 4.0.</w:t>
      </w:r>
    </w:p>
    <w:p>
      <w:r>
        <w:rPr>
          <w:b/>
        </w:rPr>
        <w:t xml:space="preserve">WHY HERE  </w:t>
      </w:r>
      <w:r>
        <w:t>This is a same-question research trail (6 linked publication(s)). It shows continuing work, not necessarily a measured outcome.</w:t>
      </w:r>
    </w:p>
    <w:p>
      <w:pPr>
        <w:spacing w:after="160"/>
      </w:pPr>
      <w:hyperlink r:id="rId47">
        <w:r>
          <w:rPr>
            <w:color w:val="000000"/>
            <w:u w:val="single"/>
          </w:rPr>
          <w:t>Original publication</w:t>
        </w:r>
      </w:hyperlink>
      <w:r>
        <w:t xml:space="preserve">   ·   </w:t>
      </w:r>
      <w:hyperlink r:id="rId48">
        <w:r>
          <w:rPr>
            <w:color w:val="000000"/>
            <w:u w:val="single"/>
          </w:rPr>
          <w:t>Later publication</w:t>
        </w:r>
      </w:hyperlink>
    </w:p>
    <w:p>
      <w:pPr>
        <w:pStyle w:val="Heading2"/>
        <w:keepNext/>
      </w:pPr>
      <w:r>
        <w:t>20.  European evidence based consensus for endoscopy in inflammatory bowel disease  (2013)</w:t>
      </w:r>
    </w:p>
    <w:p>
      <w:r>
        <w:rPr>
          <w:b/>
        </w:rPr>
        <w:t xml:space="preserve">NOW  </w:t>
      </w:r>
      <w:r>
        <w:t>A 2015 paper reports: Patients with IBD are at increased risk of developing colorectal cancer [CRC] (evidence level [EL] 1) which, in the case of ulcerative colitis [UC], varies with the extent and duration of the disease [EL 1], family history of CRC, and the presence/absence of primary scl</w:t>
      </w:r>
    </w:p>
    <w:p>
      <w:r>
        <w:rPr>
          <w:b/>
        </w:rPr>
        <w:t xml:space="preserve">WHY HERE  </w:t>
      </w:r>
      <w:r>
        <w:t>This is a same-question research trail (8 linked publication(s)). It shows continuing work, not necessarily a measured outcome.</w:t>
      </w:r>
    </w:p>
    <w:p>
      <w:pPr>
        <w:spacing w:after="160"/>
      </w:pPr>
      <w:hyperlink r:id="rId49">
        <w:r>
          <w:rPr>
            <w:color w:val="000000"/>
            <w:u w:val="single"/>
          </w:rPr>
          <w:t>Original publication</w:t>
        </w:r>
      </w:hyperlink>
      <w:r>
        <w:t xml:space="preserve">   ·   </w:t>
      </w:r>
      <w:hyperlink r:id="rId50">
        <w:r>
          <w:rPr>
            <w:color w:val="000000"/>
            <w:u w:val="single"/>
          </w:rPr>
          <w:t>Later publication</w:t>
        </w:r>
      </w:hyperlink>
    </w:p>
    <w:p>
      <w:pPr>
        <w:pStyle w:val="Heading1"/>
      </w:pPr>
      <w:r>
        <w:t>Weakest / possibly outdated trails (20 selected; maximum 20)</w:t>
      </w:r>
    </w:p>
    <w:p>
      <w:r>
        <w:t>These are search-quality or publication-status warnings. A missing or poor link does not mean the original idea is obsolete, false or irrelevant.</w:t>
      </w:r>
    </w:p>
    <w:p>
      <w:pPr>
        <w:pStyle w:val="Heading2"/>
        <w:keepNext/>
      </w:pPr>
      <w:r>
        <w:t>01.  Withdrawn: Fossil Futures in Europe  (2023)</w:t>
      </w:r>
    </w:p>
    <w:p>
      <w:r>
        <w:rPr>
          <w:b/>
        </w:rPr>
        <w:t xml:space="preserve">WHY HERE  </w:t>
      </w:r>
      <w:r>
        <w:t>The original record is explicitly marked withdrawn or retracted. Retained for historical transparency, not treated as reliable evidence.</w:t>
      </w:r>
    </w:p>
    <w:p>
      <w:r>
        <w:rPr>
          <w:b/>
        </w:rPr>
        <w:t xml:space="preserve">OPEN  </w:t>
      </w:r>
      <w:r>
        <w:t>Still relevant, superseded, or simply under-researched? A source-based review is needed.</w:t>
      </w:r>
    </w:p>
    <w:p>
      <w:pPr>
        <w:spacing w:after="160"/>
      </w:pPr>
      <w:hyperlink r:id="rId51">
        <w:r>
          <w:rPr>
            <w:color w:val="000000"/>
            <w:u w:val="single"/>
          </w:rPr>
          <w:t>Original publication</w:t>
        </w:r>
      </w:hyperlink>
    </w:p>
    <w:p>
      <w:pPr>
        <w:pStyle w:val="Heading2"/>
        <w:keepNext/>
      </w:pPr>
      <w:r>
        <w:t>02.  RETRACTED ARTICLE: Sustainable development economy and the development of green economy in the European Union  (2023)</w:t>
      </w:r>
    </w:p>
    <w:p>
      <w:r>
        <w:rPr>
          <w:b/>
        </w:rPr>
        <w:t xml:space="preserve">WHY HERE  </w:t>
      </w:r>
      <w:r>
        <w:t>The original record is explicitly marked withdrawn or retracted. Retained for historical transparency, not treated as reliable evidence.</w:t>
      </w:r>
    </w:p>
    <w:p>
      <w:r>
        <w:rPr>
          <w:b/>
        </w:rPr>
        <w:t xml:space="preserve">OPEN  </w:t>
      </w:r>
      <w:r>
        <w:t>Still relevant, superseded, or simply under-researched? A source-based review is needed.</w:t>
      </w:r>
    </w:p>
    <w:p>
      <w:pPr>
        <w:spacing w:after="160"/>
      </w:pPr>
      <w:hyperlink r:id="rId52">
        <w:r>
          <w:rPr>
            <w:color w:val="000000"/>
            <w:u w:val="single"/>
          </w:rPr>
          <w:t>Original publication</w:t>
        </w:r>
      </w:hyperlink>
      <w:r>
        <w:t xml:space="preserve">   ·   </w:t>
      </w:r>
      <w:hyperlink r:id="rId53">
        <w:r>
          <w:rPr>
            <w:color w:val="000000"/>
            <w:u w:val="single"/>
          </w:rPr>
          <w:t>Later publication (check status)</w:t>
        </w:r>
      </w:hyperlink>
    </w:p>
    <w:p>
      <w:pPr>
        <w:pStyle w:val="Heading2"/>
        <w:keepNext/>
      </w:pPr>
      <w:r>
        <w:t>03.  EU ACCESSION MIGRATION: NATIONAL INSURANCE NUMBER ALLOCATIONS AND THE GEOGRAPHIES OF POLISH LABOUR IMMIGRATION TO THE UK  (2011)</w:t>
      </w:r>
    </w:p>
    <w:p>
      <w:r>
        <w:rPr>
          <w:b/>
        </w:rPr>
        <w:t xml:space="preserve">WHY HERE  </w:t>
      </w:r>
      <w:r>
        <w:t>The apparent later evidence closely repeats the original or another linked publication. An independent follow-up has not been established.</w:t>
      </w:r>
    </w:p>
    <w:p>
      <w:r>
        <w:rPr>
          <w:b/>
        </w:rPr>
        <w:t xml:space="preserve">OPEN  </w:t>
      </w:r>
      <w:r>
        <w:t>Still relevant, superseded, or simply under-researched? A source-based review is needed.</w:t>
      </w:r>
    </w:p>
    <w:p>
      <w:pPr>
        <w:spacing w:after="160"/>
      </w:pPr>
      <w:hyperlink r:id="rId54">
        <w:r>
          <w:rPr>
            <w:color w:val="000000"/>
            <w:u w:val="single"/>
          </w:rPr>
          <w:t>Original publication</w:t>
        </w:r>
      </w:hyperlink>
      <w:r>
        <w:t xml:space="preserve">   ·   </w:t>
      </w:r>
      <w:hyperlink r:id="rId55">
        <w:r>
          <w:rPr>
            <w:color w:val="000000"/>
            <w:u w:val="single"/>
          </w:rPr>
          <w:t>Later publication (check status)</w:t>
        </w:r>
      </w:hyperlink>
    </w:p>
    <w:p>
      <w:pPr>
        <w:pStyle w:val="Heading2"/>
        <w:keepNext/>
      </w:pPr>
      <w:r>
        <w:t>04.  Benchmarking del programa colombiano de prospectiva ante prácticas en Europa y Sur América (título original: Benchmarking the coloIombian foresight programme against practices in Europe and South America)  (2011)</w:t>
      </w:r>
    </w:p>
    <w:p>
      <w:r>
        <w:rPr>
          <w:b/>
        </w:rPr>
        <w:t xml:space="preserve">WHY HERE  </w:t>
      </w:r>
      <w:r>
        <w:t>The apparent later evidence closely repeats the original or another linked publication. An independent follow-up has not been established.</w:t>
      </w:r>
    </w:p>
    <w:p>
      <w:r>
        <w:rPr>
          <w:b/>
        </w:rPr>
        <w:t xml:space="preserve">OPEN  </w:t>
      </w:r>
      <w:r>
        <w:t>Still relevant, superseded, or simply under-researched? A source-based review is needed.</w:t>
      </w:r>
    </w:p>
    <w:p>
      <w:pPr>
        <w:spacing w:after="160"/>
      </w:pPr>
      <w:hyperlink r:id="rId56">
        <w:r>
          <w:rPr>
            <w:color w:val="000000"/>
            <w:u w:val="single"/>
          </w:rPr>
          <w:t>Original publication</w:t>
        </w:r>
      </w:hyperlink>
      <w:r>
        <w:t xml:space="preserve">   ·   </w:t>
      </w:r>
      <w:hyperlink r:id="rId57">
        <w:r>
          <w:rPr>
            <w:color w:val="000000"/>
            <w:u w:val="single"/>
          </w:rPr>
          <w:t>Later publication (check status)</w:t>
        </w:r>
      </w:hyperlink>
    </w:p>
    <w:p>
      <w:pPr>
        <w:pStyle w:val="Heading2"/>
        <w:keepNext/>
      </w:pPr>
      <w:r>
        <w:t>05.  Strategic scenarios of global logistics: what lies ahead for Europe?  (2012)</w:t>
      </w:r>
    </w:p>
    <w:p>
      <w:r>
        <w:rPr>
          <w:b/>
        </w:rPr>
        <w:t xml:space="preserve">WHY HERE  </w:t>
      </w:r>
      <w:r>
        <w:t>The apparent later evidence closely repeats the original or another linked publication. An independent follow-up has not been established.</w:t>
      </w:r>
    </w:p>
    <w:p>
      <w:r>
        <w:rPr>
          <w:b/>
        </w:rPr>
        <w:t xml:space="preserve">OPEN  </w:t>
      </w:r>
      <w:r>
        <w:t>Still relevant, superseded, or simply under-researched? A source-based review is needed.</w:t>
      </w:r>
    </w:p>
    <w:p>
      <w:pPr>
        <w:spacing w:after="160"/>
      </w:pPr>
      <w:hyperlink r:id="rId58">
        <w:r>
          <w:rPr>
            <w:color w:val="000000"/>
            <w:u w:val="single"/>
          </w:rPr>
          <w:t>Original publication</w:t>
        </w:r>
      </w:hyperlink>
      <w:r>
        <w:t xml:space="preserve">   ·   </w:t>
      </w:r>
      <w:hyperlink r:id="rId59">
        <w:r>
          <w:rPr>
            <w:color w:val="000000"/>
            <w:u w:val="single"/>
          </w:rPr>
          <w:t>Later publication (check status)</w:t>
        </w:r>
      </w:hyperlink>
    </w:p>
    <w:p>
      <w:pPr>
        <w:pStyle w:val="Heading2"/>
        <w:keepNext/>
      </w:pPr>
      <w:r>
        <w:t>06.  Review: Projections of Power: The United States and Europe in Colonial Southeast Asia, 1919–1941 , by Anne L. Foster  (2012)</w:t>
      </w:r>
    </w:p>
    <w:p>
      <w:r>
        <w:rPr>
          <w:b/>
        </w:rPr>
        <w:t xml:space="preserve">WHY HERE  </w:t>
      </w:r>
      <w:r>
        <w:t>The apparent later evidence closely repeats the original or another linked publication. An independent follow-up has not been established.</w:t>
      </w:r>
    </w:p>
    <w:p>
      <w:r>
        <w:rPr>
          <w:b/>
        </w:rPr>
        <w:t xml:space="preserve">OPEN  </w:t>
      </w:r>
      <w:r>
        <w:t>Still relevant, superseded, or simply under-researched? A source-based review is needed.</w:t>
      </w:r>
    </w:p>
    <w:p>
      <w:pPr>
        <w:spacing w:after="160"/>
      </w:pPr>
      <w:hyperlink r:id="rId60">
        <w:r>
          <w:rPr>
            <w:color w:val="000000"/>
            <w:u w:val="single"/>
          </w:rPr>
          <w:t>Original publication</w:t>
        </w:r>
      </w:hyperlink>
      <w:r>
        <w:t xml:space="preserve">   ·   </w:t>
      </w:r>
      <w:hyperlink r:id="rId61">
        <w:r>
          <w:rPr>
            <w:color w:val="000000"/>
            <w:u w:val="single"/>
          </w:rPr>
          <w:t>Later publication (check status)</w:t>
        </w:r>
      </w:hyperlink>
    </w:p>
    <w:p>
      <w:pPr>
        <w:pStyle w:val="Heading2"/>
        <w:keepNext/>
      </w:pPr>
      <w:r>
        <w:t>07.  Projections of Power: The United States and Europe in Colonial Southeast Asia, 1919–1941  (2012)</w:t>
      </w:r>
    </w:p>
    <w:p>
      <w:r>
        <w:rPr>
          <w:b/>
        </w:rPr>
        <w:t xml:space="preserve">WHY HERE  </w:t>
      </w:r>
      <w:r>
        <w:t>The apparent later evidence closely repeats the original or another linked publication. An independent follow-up has not been established.</w:t>
      </w:r>
    </w:p>
    <w:p>
      <w:r>
        <w:rPr>
          <w:b/>
        </w:rPr>
        <w:t xml:space="preserve">OPEN  </w:t>
      </w:r>
      <w:r>
        <w:t>Still relevant, superseded, or simply under-researched? A source-based review is needed.</w:t>
      </w:r>
    </w:p>
    <w:p>
      <w:pPr>
        <w:spacing w:after="160"/>
      </w:pPr>
      <w:hyperlink r:id="rId61">
        <w:r>
          <w:rPr>
            <w:color w:val="000000"/>
            <w:u w:val="single"/>
          </w:rPr>
          <w:t>Original publication</w:t>
        </w:r>
      </w:hyperlink>
      <w:r>
        <w:t xml:space="preserve">   ·   </w:t>
      </w:r>
      <w:hyperlink r:id="rId62">
        <w:r>
          <w:rPr>
            <w:color w:val="000000"/>
            <w:u w:val="single"/>
          </w:rPr>
          <w:t>Later publication (check status)</w:t>
        </w:r>
      </w:hyperlink>
    </w:p>
    <w:p>
      <w:pPr>
        <w:pStyle w:val="Heading2"/>
        <w:keepNext/>
      </w:pPr>
      <w:r>
        <w:t>08.  INTRODUCTION OF THE GRAIN FUTURES MARKET IN THE BLACK SEA REGION  (2013)</w:t>
      </w:r>
    </w:p>
    <w:p>
      <w:r>
        <w:rPr>
          <w:b/>
        </w:rPr>
        <w:t xml:space="preserve">WHY HERE  </w:t>
      </w:r>
      <w:r>
        <w:t>The apparent later evidence closely repeats the original or another linked publication. An independent follow-up has not been established.</w:t>
      </w:r>
    </w:p>
    <w:p>
      <w:r>
        <w:rPr>
          <w:b/>
        </w:rPr>
        <w:t xml:space="preserve">OPEN  </w:t>
      </w:r>
      <w:r>
        <w:t>Still relevant, superseded, or simply under-researched? A source-based review is needed.</w:t>
      </w:r>
    </w:p>
    <w:p>
      <w:pPr>
        <w:spacing w:after="160"/>
      </w:pPr>
      <w:hyperlink r:id="rId63">
        <w:r>
          <w:rPr>
            <w:color w:val="000000"/>
            <w:u w:val="single"/>
          </w:rPr>
          <w:t>Original publication</w:t>
        </w:r>
      </w:hyperlink>
      <w:r>
        <w:t xml:space="preserve">   ·   </w:t>
      </w:r>
      <w:hyperlink r:id="rId64">
        <w:r>
          <w:rPr>
            <w:color w:val="000000"/>
            <w:u w:val="single"/>
          </w:rPr>
          <w:t>Later publication (check status)</w:t>
        </w:r>
      </w:hyperlink>
    </w:p>
    <w:p>
      <w:pPr>
        <w:pStyle w:val="Heading2"/>
        <w:keepNext/>
      </w:pPr>
      <w:r>
        <w:t>09.  A Mitochondrial Phylogeny and Biogeographical Scenario for Asiatic Water Shrews of the Genus Chimarrogale: Implications for Taxonomy and Low-Latitude Migration Routes  (2013)</w:t>
      </w:r>
    </w:p>
    <w:p>
      <w:r>
        <w:rPr>
          <w:b/>
        </w:rPr>
        <w:t xml:space="preserve">WHY HERE  </w:t>
      </w:r>
      <w:r>
        <w:t>The apparent later evidence closely repeats the original or another linked publication. An independent follow-up has not been established.</w:t>
      </w:r>
    </w:p>
    <w:p>
      <w:r>
        <w:rPr>
          <w:b/>
        </w:rPr>
        <w:t xml:space="preserve">OPEN  </w:t>
      </w:r>
      <w:r>
        <w:t>Still relevant, superseded, or simply under-researched? A source-based review is needed.</w:t>
      </w:r>
    </w:p>
    <w:p>
      <w:pPr>
        <w:spacing w:after="160"/>
      </w:pPr>
      <w:hyperlink r:id="rId65">
        <w:r>
          <w:rPr>
            <w:color w:val="000000"/>
            <w:u w:val="single"/>
          </w:rPr>
          <w:t>Original publication</w:t>
        </w:r>
      </w:hyperlink>
      <w:r>
        <w:t xml:space="preserve">   ·   </w:t>
      </w:r>
      <w:hyperlink r:id="rId66">
        <w:r>
          <w:rPr>
            <w:color w:val="000000"/>
            <w:u w:val="single"/>
          </w:rPr>
          <w:t>Later publication (check status)</w:t>
        </w:r>
      </w:hyperlink>
    </w:p>
    <w:p>
      <w:pPr>
        <w:pStyle w:val="Heading2"/>
        <w:keepNext/>
      </w:pPr>
      <w:r>
        <w:t>10.  New forms of innovation: critical issues for future pathways  (2016)</w:t>
      </w:r>
    </w:p>
    <w:p>
      <w:r>
        <w:rPr>
          <w:b/>
        </w:rPr>
        <w:t xml:space="preserve">WHY HERE  </w:t>
      </w:r>
      <w:r>
        <w:t>The apparent later evidence closely repeats the original or another linked publication. An independent follow-up has not been established.</w:t>
      </w:r>
    </w:p>
    <w:p>
      <w:r>
        <w:rPr>
          <w:b/>
        </w:rPr>
        <w:t xml:space="preserve">OPEN  </w:t>
      </w:r>
      <w:r>
        <w:t>Still relevant, superseded, or simply under-researched? A source-based review is needed.</w:t>
      </w:r>
    </w:p>
    <w:p>
      <w:pPr>
        <w:spacing w:after="160"/>
      </w:pPr>
      <w:hyperlink r:id="rId67">
        <w:r>
          <w:rPr>
            <w:color w:val="000000"/>
            <w:u w:val="single"/>
          </w:rPr>
          <w:t>Original publication</w:t>
        </w:r>
      </w:hyperlink>
      <w:r>
        <w:t xml:space="preserve">   ·   </w:t>
      </w:r>
      <w:hyperlink r:id="rId68">
        <w:r>
          <w:rPr>
            <w:color w:val="000000"/>
            <w:u w:val="single"/>
          </w:rPr>
          <w:t>Later publication (check status)</w:t>
        </w:r>
      </w:hyperlink>
    </w:p>
    <w:p>
      <w:pPr>
        <w:pStyle w:val="Heading2"/>
        <w:keepNext/>
      </w:pPr>
      <w:r>
        <w:t>11.  Energy system impacts and policy implications of the European Intended Nationally Determined Contribution and low-carbon pathway to 2050  (2016)</w:t>
      </w:r>
    </w:p>
    <w:p>
      <w:r>
        <w:rPr>
          <w:b/>
        </w:rPr>
        <w:t xml:space="preserve">WHY HERE  </w:t>
      </w:r>
      <w:r>
        <w:t>The apparent later evidence closely repeats the original or another linked publication. An independent follow-up has not been established.</w:t>
      </w:r>
    </w:p>
    <w:p>
      <w:r>
        <w:rPr>
          <w:b/>
        </w:rPr>
        <w:t xml:space="preserve">OPEN  </w:t>
      </w:r>
      <w:r>
        <w:t>Still relevant, superseded, or simply under-researched? A source-based review is needed.</w:t>
      </w:r>
    </w:p>
    <w:p>
      <w:pPr>
        <w:spacing w:after="160"/>
      </w:pPr>
      <w:hyperlink r:id="rId69">
        <w:r>
          <w:rPr>
            <w:color w:val="000000"/>
            <w:u w:val="single"/>
          </w:rPr>
          <w:t>Original publication</w:t>
        </w:r>
      </w:hyperlink>
      <w:r>
        <w:t xml:space="preserve">   ·   </w:t>
      </w:r>
      <w:hyperlink r:id="rId70">
        <w:r>
          <w:rPr>
            <w:color w:val="000000"/>
            <w:u w:val="single"/>
          </w:rPr>
          <w:t>Later publication (check status)</w:t>
        </w:r>
      </w:hyperlink>
    </w:p>
    <w:p>
      <w:pPr>
        <w:pStyle w:val="Heading2"/>
        <w:keepNext/>
      </w:pPr>
      <w:r>
        <w:t>12.  Convenience Yields and Risk Premiums in the EU‐ETS—Evidence from the Kyoto Commitment Period  (2016)</w:t>
      </w:r>
    </w:p>
    <w:p>
      <w:r>
        <w:rPr>
          <w:b/>
        </w:rPr>
        <w:t xml:space="preserve">WHY HERE  </w:t>
      </w:r>
      <w:r>
        <w:t>The apparent later evidence closely repeats the original or another linked publication. An independent follow-up has not been established.</w:t>
      </w:r>
    </w:p>
    <w:p>
      <w:r>
        <w:rPr>
          <w:b/>
        </w:rPr>
        <w:t xml:space="preserve">OPEN  </w:t>
      </w:r>
      <w:r>
        <w:t>Still relevant, superseded, or simply under-researched? A source-based review is needed.</w:t>
      </w:r>
    </w:p>
    <w:p>
      <w:pPr>
        <w:spacing w:after="160"/>
      </w:pPr>
      <w:hyperlink r:id="rId71">
        <w:r>
          <w:rPr>
            <w:color w:val="000000"/>
            <w:u w:val="single"/>
          </w:rPr>
          <w:t>Original publication</w:t>
        </w:r>
      </w:hyperlink>
      <w:r>
        <w:t xml:space="preserve">   ·   </w:t>
      </w:r>
      <w:hyperlink r:id="rId72">
        <w:r>
          <w:rPr>
            <w:color w:val="000000"/>
            <w:u w:val="single"/>
          </w:rPr>
          <w:t>Later publication (check status)</w:t>
        </w:r>
      </w:hyperlink>
    </w:p>
    <w:p>
      <w:pPr>
        <w:pStyle w:val="Heading2"/>
        <w:keepNext/>
      </w:pPr>
      <w:r>
        <w:t>13.  A comparison of oil supply risks in EU, US, Japan, China and India under different climate scenarios  (2016)</w:t>
      </w:r>
    </w:p>
    <w:p>
      <w:r>
        <w:rPr>
          <w:b/>
        </w:rPr>
        <w:t xml:space="preserve">WHY HERE  </w:t>
      </w:r>
      <w:r>
        <w:t>The apparent later evidence closely repeats the original or another linked publication. An independent follow-up has not been established.</w:t>
      </w:r>
    </w:p>
    <w:p>
      <w:r>
        <w:rPr>
          <w:b/>
        </w:rPr>
        <w:t xml:space="preserve">OPEN  </w:t>
      </w:r>
      <w:r>
        <w:t>Still relevant, superseded, or simply under-researched? A source-based review is needed.</w:t>
      </w:r>
    </w:p>
    <w:p>
      <w:pPr>
        <w:spacing w:after="160"/>
      </w:pPr>
      <w:hyperlink r:id="rId73">
        <w:r>
          <w:rPr>
            <w:color w:val="000000"/>
            <w:u w:val="single"/>
          </w:rPr>
          <w:t>Original publication</w:t>
        </w:r>
      </w:hyperlink>
      <w:r>
        <w:t xml:space="preserve">   ·   </w:t>
      </w:r>
      <w:hyperlink r:id="rId74">
        <w:r>
          <w:rPr>
            <w:color w:val="000000"/>
            <w:u w:val="single"/>
          </w:rPr>
          <w:t>Later publication (check status)</w:t>
        </w:r>
      </w:hyperlink>
    </w:p>
    <w:p>
      <w:pPr>
        <w:pStyle w:val="Heading2"/>
        <w:keepNext/>
      </w:pPr>
      <w:r>
        <w:t>14.  Political and social trends in the future of global security. A meta-study on official perspectives in Europe and North America  (2017)</w:t>
      </w:r>
    </w:p>
    <w:p>
      <w:r>
        <w:rPr>
          <w:b/>
        </w:rPr>
        <w:t xml:space="preserve">WHY HERE  </w:t>
      </w:r>
      <w:r>
        <w:t>The apparent later evidence closely repeats the original or another linked publication. An independent follow-up has not been established.</w:t>
      </w:r>
    </w:p>
    <w:p>
      <w:r>
        <w:rPr>
          <w:b/>
        </w:rPr>
        <w:t xml:space="preserve">OPEN  </w:t>
      </w:r>
      <w:r>
        <w:t>Still relevant, superseded, or simply under-researched? A source-based review is needed.</w:t>
      </w:r>
    </w:p>
    <w:p>
      <w:pPr>
        <w:spacing w:after="160"/>
      </w:pPr>
      <w:hyperlink r:id="rId75">
        <w:r>
          <w:rPr>
            <w:color w:val="000000"/>
            <w:u w:val="single"/>
          </w:rPr>
          <w:t>Original publication</w:t>
        </w:r>
      </w:hyperlink>
      <w:r>
        <w:t xml:space="preserve">   ·   </w:t>
      </w:r>
      <w:hyperlink r:id="rId76">
        <w:r>
          <w:rPr>
            <w:color w:val="000000"/>
            <w:u w:val="single"/>
          </w:rPr>
          <w:t>Later publication (check status)</w:t>
        </w:r>
      </w:hyperlink>
    </w:p>
    <w:p>
      <w:pPr>
        <w:pStyle w:val="Heading2"/>
        <w:keepNext/>
      </w:pPr>
      <w:r>
        <w:t>15.  European Security Architecture after the United Kingdom’s Withdrawal from the European Union: Future Scenarios  (2019)</w:t>
      </w:r>
    </w:p>
    <w:p>
      <w:r>
        <w:rPr>
          <w:b/>
        </w:rPr>
        <w:t xml:space="preserve">WHY HERE  </w:t>
      </w:r>
      <w:r>
        <w:t>The apparent later evidence closely repeats the original or another linked publication. An independent follow-up has not been established.</w:t>
      </w:r>
    </w:p>
    <w:p>
      <w:r>
        <w:rPr>
          <w:b/>
        </w:rPr>
        <w:t xml:space="preserve">OPEN  </w:t>
      </w:r>
      <w:r>
        <w:t>Still relevant, superseded, or simply under-researched? A source-based review is needed.</w:t>
      </w:r>
    </w:p>
    <w:p>
      <w:pPr>
        <w:spacing w:after="160"/>
      </w:pPr>
      <w:hyperlink r:id="rId77">
        <w:r>
          <w:rPr>
            <w:color w:val="000000"/>
            <w:u w:val="single"/>
          </w:rPr>
          <w:t>Original publication</w:t>
        </w:r>
      </w:hyperlink>
      <w:r>
        <w:t xml:space="preserve">   ·   </w:t>
      </w:r>
      <w:hyperlink r:id="rId78">
        <w:r>
          <w:rPr>
            <w:color w:val="000000"/>
            <w:u w:val="single"/>
          </w:rPr>
          <w:t>Later publication (check status)</w:t>
        </w:r>
      </w:hyperlink>
    </w:p>
    <w:p>
      <w:pPr>
        <w:pStyle w:val="Heading2"/>
        <w:keepNext/>
      </w:pPr>
      <w:r>
        <w:t>16.  The Impact of Decarbonization Scenarios on Air Quality and Human Health in Poland—Analysis of Scenarios up to 2050  (2020)</w:t>
      </w:r>
    </w:p>
    <w:p>
      <w:r>
        <w:rPr>
          <w:b/>
        </w:rPr>
        <w:t xml:space="preserve">WHY HERE  </w:t>
      </w:r>
      <w:r>
        <w:t>The apparent later evidence closely repeats the original or another linked publication. An independent follow-up has not been established.</w:t>
      </w:r>
    </w:p>
    <w:p>
      <w:r>
        <w:rPr>
          <w:b/>
        </w:rPr>
        <w:t xml:space="preserve">OPEN  </w:t>
      </w:r>
      <w:r>
        <w:t>Still relevant, superseded, or simply under-researched? A source-based review is needed.</w:t>
      </w:r>
    </w:p>
    <w:p>
      <w:pPr>
        <w:spacing w:after="160"/>
      </w:pPr>
      <w:hyperlink r:id="rId79">
        <w:r>
          <w:rPr>
            <w:color w:val="000000"/>
            <w:u w:val="single"/>
          </w:rPr>
          <w:t>Original publication</w:t>
        </w:r>
      </w:hyperlink>
      <w:r>
        <w:t xml:space="preserve">   ·   </w:t>
      </w:r>
      <w:hyperlink r:id="rId80">
        <w:r>
          <w:rPr>
            <w:color w:val="000000"/>
            <w:u w:val="single"/>
          </w:rPr>
          <w:t>Later publication (check status)</w:t>
        </w:r>
      </w:hyperlink>
    </w:p>
    <w:p>
      <w:pPr>
        <w:pStyle w:val="Heading2"/>
        <w:keepNext/>
      </w:pPr>
      <w:r>
        <w:t>17.  Disaggregation of official demographic projections in sub-groups by education level: the neglected “composition effect” in the future path of life expectancy  (2021)</w:t>
      </w:r>
    </w:p>
    <w:p>
      <w:r>
        <w:rPr>
          <w:b/>
        </w:rPr>
        <w:t xml:space="preserve">WHY HERE  </w:t>
      </w:r>
      <w:r>
        <w:t>The apparent later evidence closely repeats the original or another linked publication. An independent follow-up has not been established.</w:t>
      </w:r>
    </w:p>
    <w:p>
      <w:r>
        <w:rPr>
          <w:b/>
        </w:rPr>
        <w:t xml:space="preserve">OPEN  </w:t>
      </w:r>
      <w:r>
        <w:t>Still relevant, superseded, or simply under-researched? A source-based review is needed.</w:t>
      </w:r>
    </w:p>
    <w:p>
      <w:pPr>
        <w:spacing w:after="160"/>
      </w:pPr>
      <w:hyperlink r:id="rId81">
        <w:r>
          <w:rPr>
            <w:color w:val="000000"/>
            <w:u w:val="single"/>
          </w:rPr>
          <w:t>Original publication</w:t>
        </w:r>
      </w:hyperlink>
      <w:r>
        <w:t xml:space="preserve">   ·   </w:t>
      </w:r>
      <w:hyperlink r:id="rId82">
        <w:r>
          <w:rPr>
            <w:color w:val="000000"/>
            <w:u w:val="single"/>
          </w:rPr>
          <w:t>Later publication (check status)</w:t>
        </w:r>
      </w:hyperlink>
    </w:p>
    <w:p>
      <w:pPr>
        <w:pStyle w:val="Heading2"/>
        <w:keepNext/>
      </w:pPr>
      <w:r>
        <w:t>18.  Ensuring sustainable agriculture by analyzing the European Union and Romanian legislation on soil resources protection  (2022)</w:t>
      </w:r>
    </w:p>
    <w:p>
      <w:r>
        <w:rPr>
          <w:b/>
        </w:rPr>
        <w:t xml:space="preserve">WHY HERE  </w:t>
      </w:r>
      <w:r>
        <w:t>The apparent later evidence closely repeats the original or another linked publication. An independent follow-up has not been established.</w:t>
      </w:r>
    </w:p>
    <w:p>
      <w:r>
        <w:rPr>
          <w:b/>
        </w:rPr>
        <w:t xml:space="preserve">OPEN  </w:t>
      </w:r>
      <w:r>
        <w:t>Still relevant, superseded, or simply under-researched? A source-based review is needed.</w:t>
      </w:r>
    </w:p>
    <w:p>
      <w:pPr>
        <w:spacing w:after="160"/>
      </w:pPr>
      <w:hyperlink r:id="rId83">
        <w:r>
          <w:rPr>
            <w:color w:val="000000"/>
            <w:u w:val="single"/>
          </w:rPr>
          <w:t>Original publication</w:t>
        </w:r>
      </w:hyperlink>
      <w:r>
        <w:t xml:space="preserve">   ·   </w:t>
      </w:r>
      <w:hyperlink r:id="rId84">
        <w:r>
          <w:rPr>
            <w:color w:val="000000"/>
            <w:u w:val="single"/>
          </w:rPr>
          <w:t>Later publication (check status)</w:t>
        </w:r>
      </w:hyperlink>
    </w:p>
    <w:p>
      <w:pPr>
        <w:pStyle w:val="Heading2"/>
        <w:keepNext/>
      </w:pPr>
      <w:r>
        <w:t>19.  Thematic Issue Presentation: Perspectives on innovation governance - challenges and dilemmas  (2023)</w:t>
      </w:r>
    </w:p>
    <w:p>
      <w:r>
        <w:rPr>
          <w:b/>
        </w:rPr>
        <w:t xml:space="preserve">WHY HERE  </w:t>
      </w:r>
      <w:r>
        <w:t>The apparent later evidence closely repeats the original or another linked publication. An independent follow-up has not been established.</w:t>
      </w:r>
    </w:p>
    <w:p>
      <w:r>
        <w:rPr>
          <w:b/>
        </w:rPr>
        <w:t xml:space="preserve">OPEN  </w:t>
      </w:r>
      <w:r>
        <w:t>Still relevant, superseded, or simply under-researched? A source-based review is needed.</w:t>
      </w:r>
    </w:p>
    <w:p>
      <w:pPr>
        <w:spacing w:after="160"/>
      </w:pPr>
      <w:hyperlink r:id="rId85">
        <w:r>
          <w:rPr>
            <w:color w:val="000000"/>
            <w:u w:val="single"/>
          </w:rPr>
          <w:t>Original publication</w:t>
        </w:r>
      </w:hyperlink>
      <w:r>
        <w:t xml:space="preserve">   ·   </w:t>
      </w:r>
      <w:hyperlink r:id="rId86">
        <w:r>
          <w:rPr>
            <w:color w:val="000000"/>
            <w:u w:val="single"/>
          </w:rPr>
          <w:t>Later publication (check status)</w:t>
        </w:r>
      </w:hyperlink>
    </w:p>
    <w:p>
      <w:pPr>
        <w:pStyle w:val="Heading2"/>
        <w:keepNext/>
      </w:pPr>
      <w:r>
        <w:t>20.  Strategic routes for wastewater treatment plant upgrades to reduce micropollutants in European surface water bodies  (2023)</w:t>
      </w:r>
    </w:p>
    <w:p>
      <w:r>
        <w:rPr>
          <w:b/>
        </w:rPr>
        <w:t xml:space="preserve">WHY HERE  </w:t>
      </w:r>
      <w:r>
        <w:t>The apparent later evidence closely repeats the original or another linked publication. An independent follow-up has not been established.</w:t>
      </w:r>
    </w:p>
    <w:p>
      <w:r>
        <w:rPr>
          <w:b/>
        </w:rPr>
        <w:t xml:space="preserve">OPEN  </w:t>
      </w:r>
      <w:r>
        <w:t>Still relevant, superseded, or simply under-researched? A source-based review is needed.</w:t>
      </w:r>
    </w:p>
    <w:p>
      <w:pPr>
        <w:spacing w:after="160"/>
      </w:pPr>
      <w:hyperlink r:id="rId87">
        <w:r>
          <w:rPr>
            <w:color w:val="000000"/>
            <w:u w:val="single"/>
          </w:rPr>
          <w:t>Original publication</w:t>
        </w:r>
      </w:hyperlink>
      <w:r>
        <w:t xml:space="preserve">   ·   </w:t>
      </w:r>
      <w:hyperlink r:id="rId88">
        <w:r>
          <w:rPr>
            <w:color w:val="000000"/>
            <w:u w:val="single"/>
          </w:rPr>
          <w:t>Later publication (check status)</w:t>
        </w:r>
      </w:hyperlink>
    </w:p>
    <w:p>
      <w:pPr>
        <w:pStyle w:val="Heading1"/>
      </w:pPr>
      <w:r>
        <w:t>How this list updates</w:t>
      </w:r>
    </w:p>
    <w:p>
      <w:r>
        <w:t>Each successful Radar 2 run refreshes living-atlas.json. The companion Word workflow then builds this file again from those saved entries. It selects candidates by source-linked review, same-question follow-ups, freshness and diversity of subjects. It does not perform an extra paid research scan.</w:t>
      </w:r>
    </w:p>
    <w:p>
      <w:r>
        <w:t>A proper best/worst judgement requires reading the original claim and checking independent later observations. Where that review is missing, the shortlist is a research triage list rather than a verdict.</w:t>
      </w:r>
    </w:p>
    <w:sectPr w:rsidR="00FC693F" w:rsidRPr="0006063C" w:rsidSect="00034616">
      <w:headerReference w:type="default" r:id="rId9"/>
      <w:footerReference w:type="default" r:id="rId10"/>
      <w:pgSz w:w="12240" w:h="15840"/>
      <w:pgMar w:top="936" w:right="1109" w:bottom="950" w:left="11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World Radar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15"/>
      </w:rPr>
      <w:t>WORLD RADAR   /   SHORT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keepNext/>
      <w:pBdr>
        <w:bottom w:val="single" w:sz="8" w:space="4" w:color="000000"/>
      </w:pBdr>
      <w:spacing w:after="100" w:line="240" w:lineRule="auto" w:before="200"/>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000000"/>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000000"/>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000000"/>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000000"/>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000000"/>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000000"/>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000000"/>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000000"/>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000000"/>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000000"/>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000000"/>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000000"/>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000000"/>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000000"/>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000000"/>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000000"/>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000000"/>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000000"/>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000000"/>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000000"/>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000000"/>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000000"/>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000000"/>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000000"/>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000000"/>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000000"/>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000000"/>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000000"/>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000000"/>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000000"/>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000000"/>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000000"/>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000000"/>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000000"/>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000000"/>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000000"/>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000000"/>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000000"/>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000000"/>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000000"/>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000000"/>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000000"/>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000000"/>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000000"/>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000000"/>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000000"/>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000000"/>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000000"/>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000000"/>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000000"/>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000000"/>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000000"/>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000000"/>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000000"/>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000000"/>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000000"/>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000000"/>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000000"/>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000000"/>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000000"/>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000000"/>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000000"/>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000000"/>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000000"/>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000000"/>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000000"/>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000000"/>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000000"/>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000000"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000000"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000000"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000000"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000000"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000000"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000000"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000000"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000000"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000000"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000000"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000000"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000000"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000000"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000000"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000000"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000000"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000000"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000000"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000000"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000000"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000000"/>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000000"/>
          <w:right w:val="nil"/>
          <w:insideH w:val="nil"/>
          <w:insideV w:val="nil"/>
        </w:tcBorders>
      </w:tcPr>
    </w:tblStylePr>
    <w:tblStylePr w:type="nwCell">
      <w:rPr>
        <w:color w:val="000000"/>
      </w:rPr>
      <w:tblPr/>
      <w:tcPr>
        <w:tcBorders>
          <w:top w:val="single" w:sz="18" w:space="0" w:color="auto"/>
          <w:left w:val="nil"/>
          <w:bottom w:val="single" w:sz="18" w:space="0" w:color="00000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000000"/>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000000"/>
          <w:right w:val="nil"/>
          <w:insideH w:val="nil"/>
          <w:insideV w:val="nil"/>
        </w:tcBorders>
      </w:tcPr>
    </w:tblStylePr>
    <w:tblStylePr w:type="nwCell">
      <w:rPr>
        <w:color w:val="000000"/>
      </w:rPr>
      <w:tblPr/>
      <w:tcPr>
        <w:tcBorders>
          <w:top w:val="single" w:sz="18" w:space="0" w:color="auto"/>
          <w:left w:val="nil"/>
          <w:bottom w:val="single" w:sz="18" w:space="0" w:color="00000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000000"/>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000000"/>
          <w:right w:val="nil"/>
          <w:insideH w:val="nil"/>
          <w:insideV w:val="nil"/>
        </w:tcBorders>
      </w:tcPr>
    </w:tblStylePr>
    <w:tblStylePr w:type="nwCell">
      <w:rPr>
        <w:color w:val="000000"/>
      </w:rPr>
      <w:tblPr/>
      <w:tcPr>
        <w:tcBorders>
          <w:top w:val="single" w:sz="18" w:space="0" w:color="auto"/>
          <w:left w:val="nil"/>
          <w:bottom w:val="single" w:sz="18" w:space="0" w:color="00000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000000"/>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000000"/>
          <w:right w:val="nil"/>
          <w:insideH w:val="nil"/>
          <w:insideV w:val="nil"/>
        </w:tcBorders>
      </w:tcPr>
    </w:tblStylePr>
    <w:tblStylePr w:type="nwCell">
      <w:rPr>
        <w:color w:val="000000"/>
      </w:rPr>
      <w:tblPr/>
      <w:tcPr>
        <w:tcBorders>
          <w:top w:val="single" w:sz="18" w:space="0" w:color="auto"/>
          <w:left w:val="nil"/>
          <w:bottom w:val="single" w:sz="18" w:space="0" w:color="00000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000000"/>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000000"/>
          <w:right w:val="nil"/>
          <w:insideH w:val="nil"/>
          <w:insideV w:val="nil"/>
        </w:tcBorders>
      </w:tcPr>
    </w:tblStylePr>
    <w:tblStylePr w:type="nwCell">
      <w:rPr>
        <w:color w:val="000000"/>
      </w:rPr>
      <w:tblPr/>
      <w:tcPr>
        <w:tcBorders>
          <w:top w:val="single" w:sz="18" w:space="0" w:color="auto"/>
          <w:left w:val="nil"/>
          <w:bottom w:val="single" w:sz="18" w:space="0" w:color="00000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000000"/>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000000"/>
          <w:right w:val="nil"/>
          <w:insideH w:val="nil"/>
          <w:insideV w:val="nil"/>
        </w:tcBorders>
      </w:tcPr>
    </w:tblStylePr>
    <w:tblStylePr w:type="nwCell">
      <w:rPr>
        <w:color w:val="000000"/>
      </w:rPr>
      <w:tblPr/>
      <w:tcPr>
        <w:tcBorders>
          <w:top w:val="single" w:sz="18" w:space="0" w:color="auto"/>
          <w:left w:val="nil"/>
          <w:bottom w:val="single" w:sz="18" w:space="0" w:color="00000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000000"/>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000000"/>
          <w:right w:val="nil"/>
          <w:insideH w:val="nil"/>
          <w:insideV w:val="nil"/>
        </w:tcBorders>
      </w:tcPr>
    </w:tblStylePr>
    <w:tblStylePr w:type="nwCell">
      <w:rPr>
        <w:color w:val="000000"/>
      </w:rPr>
      <w:tblPr/>
      <w:tcPr>
        <w:tcBorders>
          <w:top w:val="single" w:sz="18" w:space="0" w:color="auto"/>
          <w:left w:val="nil"/>
          <w:bottom w:val="single" w:sz="18" w:space="0" w:color="00000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themeColor="text1"/>
          <w:bottom w:val="single" w:sz="8" w:space="0" w:color="000000"/>
        </w:tcBorders>
      </w:tcPr>
    </w:tblStylePr>
    <w:tblStylePr w:type="firstCol">
      <w:rPr>
        <w:b/>
        <w:bCs/>
      </w:rPr>
    </w:tblStylePr>
    <w:tblStylePr w:type="lastCol">
      <w:rPr>
        <w:b/>
        <w:bCs/>
      </w:rPr>
      <w:tblPr/>
      <w:tcPr>
        <w:tcBorders>
          <w:top w:val="single" w:sz="8" w:space="0" w:color="000000" w:themeColor="text1"/>
          <w:bottom w:val="single" w:sz="8" w:space="0" w:color="00000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4F81BD" w:themeColor="accent1"/>
          <w:bottom w:val="single" w:sz="8" w:space="0" w:color="000000"/>
        </w:tcBorders>
      </w:tcPr>
    </w:tblStylePr>
    <w:tblStylePr w:type="firstCol">
      <w:rPr>
        <w:b/>
        <w:bCs/>
      </w:rPr>
    </w:tblStylePr>
    <w:tblStylePr w:type="lastCol">
      <w:rPr>
        <w:b/>
        <w:bCs/>
      </w:rPr>
      <w:tblPr/>
      <w:tcPr>
        <w:tcBorders>
          <w:top w:val="single" w:sz="8" w:space="0" w:color="4F81BD" w:themeColor="accent1"/>
          <w:bottom w:val="single" w:sz="8" w:space="0" w:color="00000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C0504D" w:themeColor="accent2"/>
          <w:bottom w:val="single" w:sz="8" w:space="0" w:color="000000"/>
        </w:tcBorders>
      </w:tcPr>
    </w:tblStylePr>
    <w:tblStylePr w:type="firstCol">
      <w:rPr>
        <w:b/>
        <w:bCs/>
      </w:rPr>
    </w:tblStylePr>
    <w:tblStylePr w:type="lastCol">
      <w:rPr>
        <w:b/>
        <w:bCs/>
      </w:rPr>
      <w:tblPr/>
      <w:tcPr>
        <w:tcBorders>
          <w:top w:val="single" w:sz="8" w:space="0" w:color="C0504D" w:themeColor="accent2"/>
          <w:bottom w:val="single" w:sz="8" w:space="0" w:color="00000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9BBB59" w:themeColor="accent3"/>
          <w:bottom w:val="single" w:sz="8" w:space="0" w:color="000000"/>
        </w:tcBorders>
      </w:tcPr>
    </w:tblStylePr>
    <w:tblStylePr w:type="firstCol">
      <w:rPr>
        <w:b/>
        <w:bCs/>
      </w:rPr>
    </w:tblStylePr>
    <w:tblStylePr w:type="lastCol">
      <w:rPr>
        <w:b/>
        <w:bCs/>
      </w:rPr>
      <w:tblPr/>
      <w:tcPr>
        <w:tcBorders>
          <w:top w:val="single" w:sz="8" w:space="0" w:color="9BBB59" w:themeColor="accent3"/>
          <w:bottom w:val="single" w:sz="8" w:space="0" w:color="00000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8064A2" w:themeColor="accent4"/>
          <w:bottom w:val="single" w:sz="8" w:space="0" w:color="000000"/>
        </w:tcBorders>
      </w:tcPr>
    </w:tblStylePr>
    <w:tblStylePr w:type="firstCol">
      <w:rPr>
        <w:b/>
        <w:bCs/>
      </w:rPr>
    </w:tblStylePr>
    <w:tblStylePr w:type="lastCol">
      <w:rPr>
        <w:b/>
        <w:bCs/>
      </w:rPr>
      <w:tblPr/>
      <w:tcPr>
        <w:tcBorders>
          <w:top w:val="single" w:sz="8" w:space="0" w:color="8064A2" w:themeColor="accent4"/>
          <w:bottom w:val="single" w:sz="8" w:space="0" w:color="00000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4BACC6" w:themeColor="accent5"/>
          <w:bottom w:val="single" w:sz="8" w:space="0" w:color="000000"/>
        </w:tcBorders>
      </w:tcPr>
    </w:tblStylePr>
    <w:tblStylePr w:type="firstCol">
      <w:rPr>
        <w:b/>
        <w:bCs/>
      </w:rPr>
    </w:tblStylePr>
    <w:tblStylePr w:type="lastCol">
      <w:rPr>
        <w:b/>
        <w:bCs/>
      </w:rPr>
      <w:tblPr/>
      <w:tcPr>
        <w:tcBorders>
          <w:top w:val="single" w:sz="8" w:space="0" w:color="4BACC6" w:themeColor="accent5"/>
          <w:bottom w:val="single" w:sz="8" w:space="0" w:color="00000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F79646" w:themeColor="accent6"/>
          <w:bottom w:val="single" w:sz="8" w:space="0" w:color="000000"/>
        </w:tcBorders>
      </w:tcPr>
    </w:tblStylePr>
    <w:tblStylePr w:type="firstCol">
      <w:rPr>
        <w:b/>
        <w:bCs/>
      </w:rPr>
    </w:tblStylePr>
    <w:tblStylePr w:type="lastCol">
      <w:rPr>
        <w:b/>
        <w:bCs/>
      </w:rPr>
      <w:tblPr/>
      <w:tcPr>
        <w:tcBorders>
          <w:top w:val="single" w:sz="8" w:space="0" w:color="F79646" w:themeColor="accent6"/>
          <w:bottom w:val="single" w:sz="8" w:space="0" w:color="00000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000000"/>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000000"/>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000000"/>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000000"/>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000000"/>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000000"/>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000000"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000000"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000000"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000000"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000000"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000000"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000000"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000000"/>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000000"/>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000000"/>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000000"/>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000000"/>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000000"/>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000000"/>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000000"/>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000000"/>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000000"/>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000000"/>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000000"/>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000000"/>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000000"/>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000000"/>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000000"/>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000000"/>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000000"/>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000000"/>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000000"/>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000000"/>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000000"/>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000000"/>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000000"/>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000000"/>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000000"/>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000000"/>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000000"/>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000000"/>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000000"/>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000000"/>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000000"/>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000000"/>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000000"/>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000000"/>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000000"/>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000000"/>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000000"/>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000000"/>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000000"/>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1080/21632324.2012.740851" TargetMode="External"/><Relationship Id="rId12" Type="http://schemas.openxmlformats.org/officeDocument/2006/relationships/hyperlink" Target="https://doi.org/10.7868/s3034599526020177" TargetMode="External"/><Relationship Id="rId13" Type="http://schemas.openxmlformats.org/officeDocument/2006/relationships/hyperlink" Target="https://doi.org/10.1093/eurpub/ckaa165.1288" TargetMode="External"/><Relationship Id="rId14" Type="http://schemas.openxmlformats.org/officeDocument/2006/relationships/hyperlink" Target="https://doi.org/10.1093/eurpub/ckae144.628" TargetMode="External"/><Relationship Id="rId15" Type="http://schemas.openxmlformats.org/officeDocument/2006/relationships/hyperlink" Target="https://doi.org/10.1186/s40309-018-0146-8" TargetMode="External"/><Relationship Id="rId16" Type="http://schemas.openxmlformats.org/officeDocument/2006/relationships/hyperlink" Target="https://doi.org/10.3390/en19010176" TargetMode="External"/><Relationship Id="rId17" Type="http://schemas.openxmlformats.org/officeDocument/2006/relationships/hyperlink" Target="https://doi.org/10.6017/ihe.2015.83.9073" TargetMode="External"/><Relationship Id="rId18" Type="http://schemas.openxmlformats.org/officeDocument/2006/relationships/hyperlink" Target="https://doi.org/10.1007/978-3-031-78361-6_9" TargetMode="External"/><Relationship Id="rId19" Type="http://schemas.openxmlformats.org/officeDocument/2006/relationships/hyperlink" Target="https://doi.org/10.3390/en9120990" TargetMode="External"/><Relationship Id="rId20" Type="http://schemas.openxmlformats.org/officeDocument/2006/relationships/hyperlink" Target="https://doi.org/10.1016/j.egyr.2021.06.041" TargetMode="External"/><Relationship Id="rId21" Type="http://schemas.openxmlformats.org/officeDocument/2006/relationships/hyperlink" Target="https://doi.org/10.1016/j.emj.2014.05.003" TargetMode="External"/><Relationship Id="rId22" Type="http://schemas.openxmlformats.org/officeDocument/2006/relationships/hyperlink" Target="https://doi.org/10.24327/ijrsr.2017.0803.0085" TargetMode="External"/><Relationship Id="rId23" Type="http://schemas.openxmlformats.org/officeDocument/2006/relationships/hyperlink" Target="https://doi.org/10.1108/fs-06-2012-0045" TargetMode="External"/><Relationship Id="rId24" Type="http://schemas.openxmlformats.org/officeDocument/2006/relationships/hyperlink" Target="https://doi.org/10.37970/aps.v1i1.8" TargetMode="External"/><Relationship Id="rId25" Type="http://schemas.openxmlformats.org/officeDocument/2006/relationships/hyperlink" Target="https://doi.org/10.25142/aak.2013.045" TargetMode="External"/><Relationship Id="rId26" Type="http://schemas.openxmlformats.org/officeDocument/2006/relationships/hyperlink" Target="https://doi.org/10.5281/zenodo.7451318" TargetMode="External"/><Relationship Id="rId27" Type="http://schemas.openxmlformats.org/officeDocument/2006/relationships/hyperlink" Target="https://doi.org/10.1016/j.enpol.2023.113573" TargetMode="External"/><Relationship Id="rId28" Type="http://schemas.openxmlformats.org/officeDocument/2006/relationships/hyperlink" Target="https://doi.org/10.3390/laws15050103" TargetMode="External"/><Relationship Id="rId29" Type="http://schemas.openxmlformats.org/officeDocument/2006/relationships/hyperlink" Target="https://doi.org/10.1108/fs-07-2015-0040" TargetMode="External"/><Relationship Id="rId30" Type="http://schemas.openxmlformats.org/officeDocument/2006/relationships/hyperlink" Target="https://doi.org/10.26565/2310-9513-2022-16-04" TargetMode="External"/><Relationship Id="rId31" Type="http://schemas.openxmlformats.org/officeDocument/2006/relationships/hyperlink" Target="https://doi.org/10.11118/actaun201260020051" TargetMode="External"/><Relationship Id="rId32" Type="http://schemas.openxmlformats.org/officeDocument/2006/relationships/hyperlink" Target="https://openalex.org/W7132712745" TargetMode="External"/><Relationship Id="rId33" Type="http://schemas.openxmlformats.org/officeDocument/2006/relationships/hyperlink" Target="https://doi.org/10.18559/ebr.2013.3.669" TargetMode="External"/><Relationship Id="rId34" Type="http://schemas.openxmlformats.org/officeDocument/2006/relationships/hyperlink" Target="https://doi.org/10.1057/9781137283177_6" TargetMode="External"/><Relationship Id="rId35" Type="http://schemas.openxmlformats.org/officeDocument/2006/relationships/hyperlink" Target="https://doi.org/10.1016/j.wasman.2020.03.018" TargetMode="External"/><Relationship Id="rId36" Type="http://schemas.openxmlformats.org/officeDocument/2006/relationships/hyperlink" Target="https://doi.org/10.1201/9781003281184-14" TargetMode="External"/><Relationship Id="rId37" Type="http://schemas.openxmlformats.org/officeDocument/2006/relationships/hyperlink" Target="https://doi.org/10.1038/srep28334" TargetMode="External"/><Relationship Id="rId38" Type="http://schemas.openxmlformats.org/officeDocument/2006/relationships/hyperlink" Target="https://doi.org/10.5194/acp-26-2041-2026" TargetMode="External"/><Relationship Id="rId39" Type="http://schemas.openxmlformats.org/officeDocument/2006/relationships/hyperlink" Target="https://doi.org/10.5194/acp-13-7451-2013" TargetMode="External"/><Relationship Id="rId40" Type="http://schemas.openxmlformats.org/officeDocument/2006/relationships/hyperlink" Target="https://doi.org/10.1039/d2em00176d" TargetMode="External"/><Relationship Id="rId41" Type="http://schemas.openxmlformats.org/officeDocument/2006/relationships/hyperlink" Target="https://doi.org/10.1186/s40854-021-00292-8" TargetMode="External"/><Relationship Id="rId42" Type="http://schemas.openxmlformats.org/officeDocument/2006/relationships/hyperlink" Target="https://doi.org/10.1007/s11846-023-00722-0" TargetMode="External"/><Relationship Id="rId43" Type="http://schemas.openxmlformats.org/officeDocument/2006/relationships/hyperlink" Target="https://doi.org/10.4000/rga.2654" TargetMode="External"/><Relationship Id="rId44" Type="http://schemas.openxmlformats.org/officeDocument/2006/relationships/hyperlink" Target="https://openalex.org/W7081712985" TargetMode="External"/><Relationship Id="rId45" Type="http://schemas.openxmlformats.org/officeDocument/2006/relationships/hyperlink" Target="https://doi.org/10.3390/socsci12090502" TargetMode="External"/><Relationship Id="rId46" Type="http://schemas.openxmlformats.org/officeDocument/2006/relationships/hyperlink" Target="https://doi.org/10.17605/osf.io/ygb7x" TargetMode="External"/><Relationship Id="rId47" Type="http://schemas.openxmlformats.org/officeDocument/2006/relationships/hyperlink" Target="https://doi.org/10.1177/17816858211061793" TargetMode="External"/><Relationship Id="rId48" Type="http://schemas.openxmlformats.org/officeDocument/2006/relationships/hyperlink" Target="https://doi.org/10.1002/9781394362660.ch04" TargetMode="External"/><Relationship Id="rId49" Type="http://schemas.openxmlformats.org/officeDocument/2006/relationships/hyperlink" Target="https://doi.org/10.1016/j.crohns.2013.09.016" TargetMode="External"/><Relationship Id="rId50" Type="http://schemas.openxmlformats.org/officeDocument/2006/relationships/hyperlink" Target="https://doi.org/10.1093/ecco-jcc/jjv141" TargetMode="External"/><Relationship Id="rId51" Type="http://schemas.openxmlformats.org/officeDocument/2006/relationships/hyperlink" Target="https://doi.org/10.1111/an.1610" TargetMode="External"/><Relationship Id="rId52" Type="http://schemas.openxmlformats.org/officeDocument/2006/relationships/hyperlink" Target="https://doi.org/10.1186/s13705-023-00410-7" TargetMode="External"/><Relationship Id="rId53" Type="http://schemas.openxmlformats.org/officeDocument/2006/relationships/hyperlink" Target="https://doi.org/10.1016/b978-0-443-41575-3.00018-6" TargetMode="External"/><Relationship Id="rId54" Type="http://schemas.openxmlformats.org/officeDocument/2006/relationships/hyperlink" Target="https://doi.org/10.1111/j.1467-9663.2011.00682.x" TargetMode="External"/><Relationship Id="rId55" Type="http://schemas.openxmlformats.org/officeDocument/2006/relationships/hyperlink" Target="https://openalex.org/W965442345" TargetMode="External"/><Relationship Id="rId56" Type="http://schemas.openxmlformats.org/officeDocument/2006/relationships/hyperlink" Target="https://doi.org/10.25100/cdea.v24i40.400" TargetMode="External"/><Relationship Id="rId57" Type="http://schemas.openxmlformats.org/officeDocument/2006/relationships/hyperlink" Target="https://doi.org/10.1596/1813-9450-8783" TargetMode="External"/><Relationship Id="rId58" Type="http://schemas.openxmlformats.org/officeDocument/2006/relationships/hyperlink" Target="https://doi.org/10.1007/s12544-011-0069-y" TargetMode="External"/><Relationship Id="rId59" Type="http://schemas.openxmlformats.org/officeDocument/2006/relationships/hyperlink" Target="https://doi.org/10.2307/jj.8306141.21" TargetMode="External"/><Relationship Id="rId60" Type="http://schemas.openxmlformats.org/officeDocument/2006/relationships/hyperlink" Target="https://doi.org/10.1525/phr.2012.81.1.133" TargetMode="External"/><Relationship Id="rId61" Type="http://schemas.openxmlformats.org/officeDocument/2006/relationships/hyperlink" Target="https://doi.org/10.1080/07075332.2012.697330" TargetMode="External"/><Relationship Id="rId62" Type="http://schemas.openxmlformats.org/officeDocument/2006/relationships/hyperlink" Target="https://doi.org/10.1088/1748-9326/aabe9d" TargetMode="External"/><Relationship Id="rId63" Type="http://schemas.openxmlformats.org/officeDocument/2006/relationships/hyperlink" Target="https://doi.org/10.22004/ag.econ.162027" TargetMode="External"/><Relationship Id="rId64" Type="http://schemas.openxmlformats.org/officeDocument/2006/relationships/hyperlink" Target="https://doi.org/10.3389/fpls.2026.1880606" TargetMode="External"/><Relationship Id="rId65" Type="http://schemas.openxmlformats.org/officeDocument/2006/relationships/hyperlink" Target="https://doi.org/10.1371/journal.pone.0077156" TargetMode="External"/><Relationship Id="rId66" Type="http://schemas.openxmlformats.org/officeDocument/2006/relationships/hyperlink" Target="https://doi.org/10.1038/s41598-021-04052-7" TargetMode="External"/><Relationship Id="rId67" Type="http://schemas.openxmlformats.org/officeDocument/2006/relationships/hyperlink" Target="https://doi.org/10.1108/fs-07-2014-0050" TargetMode="External"/><Relationship Id="rId68" Type="http://schemas.openxmlformats.org/officeDocument/2006/relationships/hyperlink" Target="https://openalex.org/W7222377215" TargetMode="External"/><Relationship Id="rId69" Type="http://schemas.openxmlformats.org/officeDocument/2006/relationships/hyperlink" Target="https://doi.org/10.1016/j.enpol.2016.10.023" TargetMode="External"/><Relationship Id="rId70" Type="http://schemas.openxmlformats.org/officeDocument/2006/relationships/hyperlink" Target="https://doi.org/10.1051/978-2-7598-2250-8.c009" TargetMode="External"/><Relationship Id="rId71" Type="http://schemas.openxmlformats.org/officeDocument/2006/relationships/hyperlink" Target="https://doi.org/10.1002/fut.21780" TargetMode="External"/><Relationship Id="rId72" Type="http://schemas.openxmlformats.org/officeDocument/2006/relationships/hyperlink" Target="https://openalex.org/W2952497623" TargetMode="External"/><Relationship Id="rId73" Type="http://schemas.openxmlformats.org/officeDocument/2006/relationships/hyperlink" Target="https://doi.org/10.1016/j.enpol.2015.10.015" TargetMode="External"/><Relationship Id="rId74" Type="http://schemas.openxmlformats.org/officeDocument/2006/relationships/hyperlink" Target="https://doi.org/10.25052/kscm.2026.05.26.1.59" TargetMode="External"/><Relationship Id="rId75" Type="http://schemas.openxmlformats.org/officeDocument/2006/relationships/hyperlink" Target="https://doi.org/10.1007/s40309-017-0120-x" TargetMode="External"/><Relationship Id="rId76" Type="http://schemas.openxmlformats.org/officeDocument/2006/relationships/hyperlink" Target="https://doi.org/10.24198/jwp.v11i2.71217" TargetMode="External"/><Relationship Id="rId77" Type="http://schemas.openxmlformats.org/officeDocument/2006/relationships/hyperlink" Target="https://doi.org/10.2478/lasr-2019-0007" TargetMode="External"/><Relationship Id="rId78" Type="http://schemas.openxmlformats.org/officeDocument/2006/relationships/hyperlink" Target="https://doi.org/10.5281/zenodo.20591282" TargetMode="External"/><Relationship Id="rId79" Type="http://schemas.openxmlformats.org/officeDocument/2006/relationships/hyperlink" Target="https://doi.org/10.3390/atmos11111222" TargetMode="External"/><Relationship Id="rId80" Type="http://schemas.openxmlformats.org/officeDocument/2006/relationships/hyperlink" Target="https://doi.org/10.3389/fpubh.2020.563358" TargetMode="External"/><Relationship Id="rId81" Type="http://schemas.openxmlformats.org/officeDocument/2006/relationships/hyperlink" Target="https://doi.org/10.1186/s41118-020-00113-3" TargetMode="External"/><Relationship Id="rId82" Type="http://schemas.openxmlformats.org/officeDocument/2006/relationships/hyperlink" Target="https://doi.org/10.1007/s11135-023-01818-1" TargetMode="External"/><Relationship Id="rId83" Type="http://schemas.openxmlformats.org/officeDocument/2006/relationships/hyperlink" Target="https://doi.org/10.46676/ij-fanres.v3i2.65" TargetMode="External"/><Relationship Id="rId84" Type="http://schemas.openxmlformats.org/officeDocument/2006/relationships/hyperlink" Target="https://doi.org/10.32628/ijsrst26131155" TargetMode="External"/><Relationship Id="rId85" Type="http://schemas.openxmlformats.org/officeDocument/2006/relationships/hyperlink" Target="https://doi.org/10.5380/nocsi.v0i5.93600" TargetMode="External"/><Relationship Id="rId86" Type="http://schemas.openxmlformats.org/officeDocument/2006/relationships/hyperlink" Target="https://doi.org/10.24857/rgsa.v18n2-194" TargetMode="External"/><Relationship Id="rId87" Type="http://schemas.openxmlformats.org/officeDocument/2006/relationships/hyperlink" Target="https://doi.org/10.1016/j.jclepro.2023.137867" TargetMode="External"/><Relationship Id="rId88" Type="http://schemas.openxmlformats.org/officeDocument/2006/relationships/hyperlink" Target="https://doi.org/10.66021/pakmcr14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