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6681D" w14:textId="5FF5AB35" w:rsidR="00C73438" w:rsidRDefault="00C73438" w:rsidP="00C73438">
      <w:pPr>
        <w:pStyle w:val="1"/>
        <w:rPr>
          <w:rFonts w:ascii="Arial" w:hAnsi="Arial" w:cs="Arial"/>
          <w:lang w:val="en-US"/>
        </w:rPr>
      </w:pPr>
      <w:r>
        <w:rPr>
          <w:rFonts w:ascii="Arial" w:hAnsi="Arial" w:cs="Arial"/>
          <w:lang w:val="en-US"/>
        </w:rPr>
        <w:t>Results from Classical Machine Learning methods</w:t>
      </w:r>
    </w:p>
    <w:p w14:paraId="699A7ED9" w14:textId="6C34DEA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C73438">
        <w:rPr>
          <w:rFonts w:ascii="Arial" w:hAnsi="Arial" w:cs="Arial"/>
          <w:sz w:val="24"/>
          <w:szCs w:val="24"/>
          <w:lang w:val="en-US"/>
        </w:rPr>
        <w:t xml:space="preserve">Breast cancer is the most common malignancy among women worldwide, accounting for approximately 36% of all oncological cases </w:t>
      </w:r>
      <w:r w:rsidRPr="00C73438">
        <w:rPr>
          <w:rFonts w:ascii="Arial" w:hAnsi="Arial" w:cs="Arial"/>
          <w:b/>
          <w:bCs/>
          <w:sz w:val="24"/>
          <w:szCs w:val="24"/>
          <w:lang w:val="en-US"/>
        </w:rPr>
        <w:t>[1]</w:t>
      </w:r>
      <w:r w:rsidR="00197A8D">
        <w:rPr>
          <w:rFonts w:ascii="Arial" w:hAnsi="Arial" w:cs="Arial"/>
          <w:sz w:val="24"/>
          <w:szCs w:val="24"/>
          <w:lang w:val="en-US"/>
        </w:rPr>
        <w:t xml:space="preserve"> with</w:t>
      </w:r>
      <w:r w:rsidRPr="00C73438">
        <w:rPr>
          <w:rFonts w:ascii="Arial" w:hAnsi="Arial" w:cs="Arial"/>
          <w:sz w:val="24"/>
          <w:szCs w:val="24"/>
          <w:lang w:val="en-US"/>
        </w:rPr>
        <w:t xml:space="preserve"> </w:t>
      </w:r>
      <w:r w:rsidR="00197A8D">
        <w:rPr>
          <w:rFonts w:ascii="Arial" w:hAnsi="Arial" w:cs="Arial"/>
          <w:sz w:val="24"/>
          <w:szCs w:val="24"/>
          <w:lang w:val="en-US"/>
        </w:rPr>
        <w:t>n</w:t>
      </w:r>
      <w:r w:rsidRPr="00C73438">
        <w:rPr>
          <w:rFonts w:ascii="Arial" w:hAnsi="Arial" w:cs="Arial"/>
          <w:sz w:val="24"/>
          <w:szCs w:val="24"/>
          <w:lang w:val="en-US"/>
        </w:rPr>
        <w:t xml:space="preserve">umerous machine learning algorithms have been applied to support the prognosis of breast cancer tissues </w:t>
      </w:r>
      <w:r w:rsidRPr="00C73438">
        <w:rPr>
          <w:rFonts w:ascii="Arial" w:hAnsi="Arial" w:cs="Arial"/>
          <w:b/>
          <w:bCs/>
          <w:sz w:val="24"/>
          <w:szCs w:val="24"/>
          <w:lang w:val="en-US"/>
        </w:rPr>
        <w:t>[2]</w:t>
      </w:r>
      <w:r w:rsidRPr="00C73438">
        <w:rPr>
          <w:rFonts w:ascii="Arial" w:hAnsi="Arial" w:cs="Arial"/>
          <w:sz w:val="24"/>
          <w:szCs w:val="24"/>
          <w:lang w:val="en-US"/>
        </w:rPr>
        <w:t xml:space="preserve">. </w:t>
      </w:r>
      <w:r w:rsidRPr="00D34B38">
        <w:rPr>
          <w:rFonts w:ascii="Arial" w:eastAsia="Times New Roman" w:hAnsi="Arial" w:cs="Arial"/>
          <w:sz w:val="24"/>
          <w:szCs w:val="24"/>
          <w:lang w:val="en-US" w:eastAsia="el-GR"/>
        </w:rPr>
        <w:t>Breast cancer is</w:t>
      </w:r>
      <w:r w:rsidR="00197A8D">
        <w:rPr>
          <w:rFonts w:ascii="Arial" w:eastAsia="Times New Roman" w:hAnsi="Arial" w:cs="Arial"/>
          <w:sz w:val="24"/>
          <w:szCs w:val="24"/>
          <w:lang w:val="en-US" w:eastAsia="el-GR"/>
        </w:rPr>
        <w:t xml:space="preserve"> also</w:t>
      </w:r>
      <w:r w:rsidRPr="00D34B38">
        <w:rPr>
          <w:rFonts w:ascii="Arial" w:eastAsia="Times New Roman" w:hAnsi="Arial" w:cs="Arial"/>
          <w:sz w:val="24"/>
          <w:szCs w:val="24"/>
          <w:lang w:val="en-US" w:eastAsia="el-GR"/>
        </w:rPr>
        <w:t xml:space="preserve"> the most prevalent malignant tumor worldwide, with an estimated 2.089 million women diagnosed in 2018, and its incidence continues to rise across all regions of the globe </w:t>
      </w:r>
      <w:r w:rsidRPr="00D34B38">
        <w:rPr>
          <w:rFonts w:ascii="Arial" w:eastAsia="Times New Roman" w:hAnsi="Arial" w:cs="Arial"/>
          <w:b/>
          <w:bCs/>
          <w:sz w:val="24"/>
          <w:szCs w:val="24"/>
          <w:lang w:val="en-US" w:eastAsia="el-GR"/>
        </w:rPr>
        <w:t>[1]</w:t>
      </w:r>
      <w:r w:rsidRPr="00D34B38">
        <w:rPr>
          <w:rFonts w:ascii="Arial" w:eastAsia="Times New Roman" w:hAnsi="Arial" w:cs="Arial"/>
          <w:sz w:val="24"/>
          <w:szCs w:val="24"/>
          <w:lang w:val="en-US" w:eastAsia="el-GR"/>
        </w:rPr>
        <w:t>. The highest incidence rates are observed in industrialized countries, a trend commonly associated with factors such as unhealthy dietary habits, nicotine use, chronic stress, and low levels of physical activity.</w:t>
      </w:r>
    </w:p>
    <w:p w14:paraId="67013082"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33AED7B9" w14:textId="6727743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Fine </w:t>
      </w:r>
      <w:r w:rsidR="00962076">
        <w:rPr>
          <w:rFonts w:ascii="Arial" w:eastAsia="Times New Roman" w:hAnsi="Arial" w:cs="Arial"/>
          <w:sz w:val="24"/>
          <w:szCs w:val="24"/>
          <w:lang w:val="en-US" w:eastAsia="el-GR"/>
        </w:rPr>
        <w:t>N</w:t>
      </w:r>
      <w:r w:rsidRPr="00D34B38">
        <w:rPr>
          <w:rFonts w:ascii="Arial" w:eastAsia="Times New Roman" w:hAnsi="Arial" w:cs="Arial"/>
          <w:sz w:val="24"/>
          <w:szCs w:val="24"/>
          <w:lang w:val="en-US" w:eastAsia="el-GR"/>
        </w:rPr>
        <w:t xml:space="preserve">eedle </w:t>
      </w:r>
      <w:r w:rsidR="00962076">
        <w:rPr>
          <w:rFonts w:ascii="Arial" w:eastAsia="Times New Roman" w:hAnsi="Arial" w:cs="Arial"/>
          <w:sz w:val="24"/>
          <w:szCs w:val="24"/>
          <w:lang w:val="en-US" w:eastAsia="el-GR"/>
        </w:rPr>
        <w:t>A</w:t>
      </w:r>
      <w:r w:rsidRPr="00D34B38">
        <w:rPr>
          <w:rFonts w:ascii="Arial" w:eastAsia="Times New Roman" w:hAnsi="Arial" w:cs="Arial"/>
          <w:sz w:val="24"/>
          <w:szCs w:val="24"/>
          <w:lang w:val="en-US" w:eastAsia="el-GR"/>
        </w:rPr>
        <w:t xml:space="preserve">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ascii="Arial" w:eastAsia="Times New Roman" w:hAnsi="Arial" w:cs="Arial"/>
          <w:b/>
          <w:bCs/>
          <w:sz w:val="24"/>
          <w:szCs w:val="24"/>
          <w:lang w:val="en-US" w:eastAsia="el-GR"/>
        </w:rPr>
        <w:t>[3]</w:t>
      </w:r>
      <w:r w:rsidRPr="00D34B38">
        <w:rPr>
          <w:rFonts w:ascii="Arial" w:eastAsia="Times New Roman" w:hAnsi="Arial" w:cs="Arial"/>
          <w:sz w:val="24"/>
          <w:szCs w:val="24"/>
          <w:lang w:val="en-US" w:eastAsia="el-GR"/>
        </w:rPr>
        <w:t>.</w:t>
      </w:r>
    </w:p>
    <w:p w14:paraId="11AF53C9" w14:textId="2D611F22" w:rsidR="0075519F"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recent years, various</w:t>
      </w:r>
      <w:r w:rsidR="00521FDA">
        <w:rPr>
          <w:rFonts w:ascii="Arial" w:eastAsia="Times New Roman" w:hAnsi="Arial" w:cs="Arial"/>
          <w:sz w:val="24"/>
          <w:szCs w:val="24"/>
          <w:lang w:val="en-US" w:eastAsia="el-GR"/>
        </w:rPr>
        <w:t xml:space="preserve"> classical</w:t>
      </w:r>
      <w:r w:rsidRPr="00D34B38">
        <w:rPr>
          <w:rFonts w:ascii="Arial" w:eastAsia="Times New Roman" w:hAnsi="Arial" w:cs="Arial"/>
          <w:sz w:val="24"/>
          <w:szCs w:val="24"/>
          <w:lang w:val="en-US" w:eastAsia="el-GR"/>
        </w:rPr>
        <w:t xml:space="preserve"> machine learning approaches have been proposed for predicting malignancy based on different sets of features, depending on the experimental design and methodology of each study </w:t>
      </w:r>
      <w:r w:rsidRPr="00D34B38">
        <w:rPr>
          <w:rFonts w:ascii="Arial" w:eastAsia="Times New Roman" w:hAnsi="Arial" w:cs="Arial"/>
          <w:b/>
          <w:bCs/>
          <w:sz w:val="24"/>
          <w:szCs w:val="24"/>
          <w:lang w:val="en-US" w:eastAsia="el-GR"/>
        </w:rPr>
        <w:t>[2]</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[4]</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[5]</w:t>
      </w:r>
      <w:r w:rsidRPr="00D34B38">
        <w:rPr>
          <w:rFonts w:ascii="Arial" w:eastAsia="Times New Roman" w:hAnsi="Arial" w:cs="Arial"/>
          <w:sz w:val="24"/>
          <w:szCs w:val="24"/>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w:t>
      </w:r>
      <w:r w:rsidR="009745C0">
        <w:rPr>
          <w:rFonts w:ascii="Arial" w:eastAsia="Times New Roman" w:hAnsi="Arial" w:cs="Arial"/>
          <w:sz w:val="24"/>
          <w:szCs w:val="24"/>
          <w:lang w:val="en-US" w:eastAsia="el-GR"/>
        </w:rPr>
        <w:t>scikit-learn</w:t>
      </w:r>
      <w:r w:rsidRPr="00D34B38">
        <w:rPr>
          <w:rFonts w:ascii="Arial" w:eastAsia="Times New Roman" w:hAnsi="Arial" w:cs="Arial"/>
          <w:sz w:val="24"/>
          <w:szCs w:val="24"/>
          <w:lang w:val="en-US" w:eastAsia="el-GR"/>
        </w:rPr>
        <w:t xml:space="preserve"> library, to distinguish between benign and malignant breast tissue samples </w:t>
      </w:r>
      <w:r w:rsidRPr="00D34B38">
        <w:rPr>
          <w:rFonts w:ascii="Arial" w:eastAsia="Times New Roman" w:hAnsi="Arial" w:cs="Arial"/>
          <w:b/>
          <w:bCs/>
          <w:sz w:val="24"/>
          <w:szCs w:val="24"/>
          <w:lang w:val="en-US" w:eastAsia="el-GR"/>
        </w:rPr>
        <w:t>[6]</w:t>
      </w:r>
      <w:r w:rsidRPr="00D34B38">
        <w:rPr>
          <w:rFonts w:ascii="Arial" w:eastAsia="Times New Roman" w:hAnsi="Arial" w:cs="Arial"/>
          <w:sz w:val="24"/>
          <w:szCs w:val="24"/>
          <w:lang w:val="en-US" w:eastAsia="el-GR"/>
        </w:rPr>
        <w:t>.</w:t>
      </w:r>
    </w:p>
    <w:p w14:paraId="01F4351F" w14:textId="6FC8781F" w:rsidR="000714CA" w:rsidRPr="000714CA" w:rsidRDefault="000714CA" w:rsidP="00C73438">
      <w:pPr>
        <w:spacing w:before="100" w:beforeAutospacing="1" w:after="100" w:afterAutospacing="1" w:line="240" w:lineRule="auto"/>
        <w:rPr>
          <w:rFonts w:ascii="Arial" w:eastAsia="Times New Roman" w:hAnsi="Arial" w:cs="Arial"/>
          <w:sz w:val="24"/>
          <w:szCs w:val="24"/>
          <w:lang w:val="en-US" w:eastAsia="el-GR"/>
        </w:rPr>
      </w:pPr>
      <w:r w:rsidRPr="000714CA">
        <w:rPr>
          <w:rFonts w:ascii="Arial" w:hAnsi="Arial" w:cs="Arial"/>
          <w:sz w:val="24"/>
          <w:szCs w:val="24"/>
          <w:lang w:val="en-US"/>
        </w:rPr>
        <w:t xml:space="preserve">Our analysis consists of three main steps. First, we perform an exploratory data analysis to examine the provided data, determining the number of features, their numerical ranges, and their distributions. We also check for missing values and potential class imbalances; this process allows us to understand the underlying patterns within the data and assess the complexity </w:t>
      </w:r>
      <w:r w:rsidRPr="000714CA">
        <w:rPr>
          <w:rFonts w:ascii="Arial" w:hAnsi="Arial" w:cs="Arial"/>
          <w:sz w:val="24"/>
          <w:szCs w:val="24"/>
          <w:lang w:val="en-US"/>
        </w:rPr>
        <w:lastRenderedPageBreak/>
        <w:t>of the classification problem. The second step involves identifying which of the six proposed models classifies the breast cancer tumors most accurately. To achieve this, we employ repeated nested cross-validation, splitting the dataset into training and validation subsets. All necessary data cleaning and preprocessing are performed within this stage to prevent data leakage between the subsets. Finally, once the best-performing model is identified, we fine-tune it using bootstrapping to gain a better understanding of its generalization potential. The resulting model is then trained on the entire dataset and saved. For future inference, the saved model can be loaded and applied to unseen data.</w:t>
      </w:r>
    </w:p>
    <w:p w14:paraId="656E0944" w14:textId="77777777" w:rsidR="000714CA" w:rsidRPr="000714CA" w:rsidRDefault="000714CA" w:rsidP="000714CA">
      <w:pPr>
        <w:pStyle w:val="1"/>
        <w:rPr>
          <w:rFonts w:ascii="Arial" w:eastAsia="Times New Roman" w:hAnsi="Arial" w:cs="Arial"/>
          <w:lang w:val="en-US" w:eastAsia="el-GR"/>
        </w:rPr>
      </w:pPr>
      <w:r w:rsidRPr="000714CA">
        <w:rPr>
          <w:rFonts w:ascii="Arial" w:eastAsia="Times New Roman" w:hAnsi="Arial" w:cs="Arial"/>
          <w:lang w:val="en-US" w:eastAsia="el-GR"/>
        </w:rPr>
        <w:t>Exploratory Data Analysis</w:t>
      </w:r>
    </w:p>
    <w:p w14:paraId="6D2FFF9D" w14:textId="218763F8"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Loading the dataset using the pandas Python library, we observe that it contains 569 entries across 32 columns. One column contains the tumor prognosis, indicating whether it is malignant or benign, while another represents a unique identification number for each sample. The remaining 30 columns constitute the features, which consist of measurements taken from masses drawn via fine-needle aspirates. Specifically, these features describe the cell nuclei and are based on properties such as the radius, defined as the mean distance from the center to perimeter points; texture, representing the standard deviation of grayscale values; perimeter; area; smoothness, or the local variation in radius lengths; compactness, calculated as perimeter squared divided by area minus one; concavity, the severity of concave portions of the contour; concave points, the number of concave portions of the contour; symmetry; and fractal dimension, a measure of complexity using coastline approximation. Each of these properties is characterized in three ways: the mean value, the standard error, and the worst value, which is the mean of the three largest recorded values.</w:t>
      </w:r>
    </w:p>
    <w:p w14:paraId="6212E19B" w14:textId="6BD8E690"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Upon loading the dataset, we find that it contains no missing or duplicate values. This is highly advantageous, as the presence of missing data would otherwise necessitate an imputation strategy to fill gaps or the removal of duplicate entries. While several reliable imputation methods exist for datasets of this nature, none can guarantee that synthesized values reflect the true underlying data; consequently, such adjustments could inadvertently skew the evaluation results. Furthermore, the absence of duplicates ensures that the sample size remains intact, as any further reduction of entries would only hinder the evaluation by making the available data even more scarce.</w:t>
      </w:r>
    </w:p>
    <w:p w14:paraId="7B120763" w14:textId="24955DD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Examining the distribution of the two classes across the 569 samples, we notice a class imbalance between the malignant and benign categories. There are 357 instances of benign tumors and 212 instances of malignant tumors, meaning that benign cases account for 62.74% of the samples while malignant cases cover the remaining 37.25%. This imbalance must be carefully considered when splitting the dataset and creating subsets. To address this, we ensure that every split of the data is stratified, maintaining the original class proportions across all subsets.</w:t>
      </w:r>
      <w:r>
        <w:rPr>
          <w:rFonts w:ascii="Arial" w:hAnsi="Arial" w:cs="Arial"/>
          <w:sz w:val="24"/>
          <w:szCs w:val="24"/>
          <w:lang w:val="en-US"/>
        </w:rPr>
        <w:t xml:space="preserve"> </w:t>
      </w:r>
      <w:r w:rsidRPr="0077092E">
        <w:rPr>
          <w:rFonts w:ascii="Arial" w:hAnsi="Arial" w:cs="Arial"/>
          <w:b/>
          <w:bCs/>
          <w:sz w:val="24"/>
          <w:szCs w:val="24"/>
          <w:lang w:val="en-US" w:eastAsia="el-GR"/>
        </w:rPr>
        <w:t>[IMAGE class_distro.png]</w:t>
      </w:r>
    </w:p>
    <w:p w14:paraId="113DDE3F" w14:textId="1B45329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lastRenderedPageBreak/>
        <w:t>Observing the distribution of each feature, we notice that the majority of them exist on different scales. To account for this, we will scale them using appropriate methods during the application of the repeated nested cross-validation technique.</w:t>
      </w:r>
      <w:r>
        <w:rPr>
          <w:rFonts w:ascii="Arial" w:hAnsi="Arial" w:cs="Arial"/>
          <w:sz w:val="24"/>
          <w:szCs w:val="24"/>
          <w:lang w:val="en-US"/>
        </w:rPr>
        <w:t xml:space="preserve"> </w:t>
      </w:r>
      <w:r w:rsidRPr="0077092E">
        <w:rPr>
          <w:rFonts w:ascii="Arial" w:hAnsi="Arial" w:cs="Arial"/>
          <w:b/>
          <w:bCs/>
          <w:sz w:val="24"/>
          <w:szCs w:val="24"/>
          <w:lang w:val="en-US" w:eastAsia="el-GR"/>
        </w:rPr>
        <w:t>[IMAGE boxplot_feature_distr.png]</w:t>
      </w:r>
    </w:p>
    <w:p w14:paraId="48B19262" w14:textId="1A5E0C20"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Following this, we proceed to inspect the correlation between the features and the diagnosis label. Based on Pearson’s correlation coefficient, we find that 15 out of the 30 features are heavily correlated, either positively or negatively, with the class label. These features include radius_mean, perimeter_mean, area_mean, compactness_mean, concavity_mean, concave points_mean, radius_se, perimeter_se, area_se, radius_worst, perimeter_worst, area_worst, compactness_worst, concavity_worst, and concave points_worst. While we could elect to retain only these features and significantly reduce the dimensionality of the problem, we believe that in a critical task like breast cancer detection, every feature provides valuable information.</w:t>
      </w:r>
      <w:r>
        <w:rPr>
          <w:rFonts w:ascii="Arial" w:hAnsi="Arial" w:cs="Arial"/>
          <w:sz w:val="24"/>
          <w:szCs w:val="24"/>
          <w:lang w:val="en-US"/>
        </w:rPr>
        <w:t xml:space="preserve"> </w:t>
      </w:r>
      <w:r w:rsidRPr="0077092E">
        <w:rPr>
          <w:rFonts w:ascii="Arial" w:hAnsi="Arial" w:cs="Arial"/>
          <w:b/>
          <w:bCs/>
          <w:sz w:val="24"/>
          <w:szCs w:val="24"/>
          <w:lang w:val="en-US" w:eastAsia="el-GR"/>
        </w:rPr>
        <w:t>[IMAGE features_corr_with_diagno.png]</w:t>
      </w:r>
    </w:p>
    <w:p w14:paraId="2503F028" w14:textId="6065A1FD"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Regarding the feature-wise correlation, we detect no significant linear relationships between features that are not naturally expected to be correlated. For instance, radius_mean is heavily correlated with perimeter_mean, and radius_worst shows a strong correlation with perimeter_worst. Such relationships are expected, as the radius is fundamentally used to calculate the perimeter in most circular or near-circular shapes.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360448EB" w14:textId="4830A50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As a final step of this analysis, we also perform principal component analysis on the entire dataset. Our purpose here is twofold. First and foremost, for our quantum implementation, we must perform some form of dimensionality reduction, as the number of features we can encode into the quantum circuit is limited. Therefore, we need to gain a rough understanding of how much information from our problem is preserved when we utilize 2, 4, 8, and 16 principal components.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0D36F8D9" w14:textId="2CA4CAC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Secondly, PCA allows us to gain a general understanding of class separability. If only two principal components are utilized and no significant linear class separability is observed, it is likely that the classes are not linearly separable.</w:t>
      </w:r>
      <w:r w:rsidR="00451D4A">
        <w:rPr>
          <w:rFonts w:ascii="Arial" w:hAnsi="Arial" w:cs="Arial"/>
          <w:sz w:val="24"/>
          <w:szCs w:val="24"/>
          <w:lang w:val="en-US"/>
        </w:rPr>
        <w:t xml:space="preserve"> </w:t>
      </w:r>
      <w:r w:rsidR="00451D4A" w:rsidRPr="00451D4A">
        <w:rPr>
          <w:rFonts w:ascii="Arial" w:hAnsi="Arial" w:cs="Arial"/>
          <w:b/>
          <w:bCs/>
          <w:sz w:val="24"/>
          <w:szCs w:val="24"/>
          <w:lang w:val="en-US" w:eastAsia="el-GR"/>
        </w:rPr>
        <w:t>[IMAGE PCA_2_components.png]</w:t>
      </w:r>
    </w:p>
    <w:p w14:paraId="49043758" w14:textId="51F088C6" w:rsidR="001C194F" w:rsidRDefault="001C194F" w:rsidP="00C73438">
      <w:pPr>
        <w:spacing w:before="100" w:beforeAutospacing="1" w:after="100" w:afterAutospacing="1" w:line="240" w:lineRule="auto"/>
        <w:rPr>
          <w:rFonts w:ascii="Arial" w:hAnsi="Arial" w:cs="Arial"/>
          <w:sz w:val="24"/>
          <w:szCs w:val="24"/>
          <w:lang w:val="en-US"/>
        </w:rPr>
      </w:pPr>
      <w:r w:rsidRPr="001C194F">
        <w:rPr>
          <w:rFonts w:ascii="Arial" w:hAnsi="Arial" w:cs="Arial"/>
          <w:sz w:val="24"/>
          <w:szCs w:val="24"/>
          <w:lang w:val="en-US"/>
        </w:rPr>
        <w:t>As a final step of the exploratory data analysis and to prepare for the evaluation of the proposed methods, we perform an 80-20 split of our dataset while ensuring that the class imbalance is preserved across both subsets. Additionally, since the models require numerical rather than categorical values, we encode our classes accordingly: the benign class, originally denoted by the letter B, is assigned the number 0, while the malignant class, originally denoted by the letter M, is assigned the number 1. Any further data processing will be conducted within the folds of the repeated nested cross-validation.</w:t>
      </w:r>
    </w:p>
    <w:p w14:paraId="13BBE5E7" w14:textId="48C1DAA0" w:rsidR="00AC78E9" w:rsidRDefault="00AC78E9" w:rsidP="00C73438">
      <w:pPr>
        <w:spacing w:before="100" w:beforeAutospacing="1" w:after="100" w:afterAutospacing="1" w:line="240" w:lineRule="auto"/>
        <w:rPr>
          <w:rFonts w:ascii="Arial" w:hAnsi="Arial" w:cs="Arial"/>
          <w:sz w:val="24"/>
          <w:szCs w:val="24"/>
          <w:lang w:val="en-US"/>
        </w:rPr>
      </w:pPr>
    </w:p>
    <w:p w14:paraId="53B71EA4" w14:textId="77777777" w:rsidR="00AC78E9" w:rsidRPr="00AC78E9" w:rsidRDefault="00AC78E9" w:rsidP="00AC78E9">
      <w:pPr>
        <w:pStyle w:val="1"/>
        <w:rPr>
          <w:rFonts w:ascii="Arial" w:hAnsi="Arial" w:cs="Arial"/>
          <w:lang w:val="en-US" w:eastAsia="el-GR"/>
        </w:rPr>
      </w:pPr>
      <w:r w:rsidRPr="00AC78E9">
        <w:rPr>
          <w:rFonts w:ascii="Arial" w:hAnsi="Arial" w:cs="Arial"/>
          <w:lang w:val="en-US" w:eastAsia="el-GR"/>
        </w:rPr>
        <w:lastRenderedPageBreak/>
        <w:t>Evaluation of the Classical Machine Learning methods</w:t>
      </w:r>
    </w:p>
    <w:p w14:paraId="4FED0A76" w14:textId="1C6AE2C8" w:rsidR="00AC78E9" w:rsidRDefault="00AC78E9" w:rsidP="00C73438">
      <w:pPr>
        <w:spacing w:before="100" w:beforeAutospacing="1" w:after="100" w:afterAutospacing="1" w:line="240" w:lineRule="auto"/>
        <w:rPr>
          <w:rFonts w:ascii="Arial" w:hAnsi="Arial" w:cs="Arial"/>
          <w:sz w:val="24"/>
          <w:szCs w:val="24"/>
          <w:lang w:val="en-US"/>
        </w:rPr>
      </w:pPr>
      <w:r w:rsidRPr="00AC78E9">
        <w:rPr>
          <w:rFonts w:ascii="Arial" w:hAnsi="Arial" w:cs="Arial"/>
          <w:sz w:val="24"/>
          <w:szCs w:val="24"/>
          <w:lang w:val="en-US"/>
        </w:rPr>
        <w:t>To determine which classical machine learning method is most suitable for our tumor classification task, we evaluate the generalization capabilities of Logistic Regression, Support Vector Machines, Linear Discriminant Analysis, Gaussian Naive Bayes, LightGBM, and Random Forest classifiers across nine key metrics. Since each model is characterized by its own unique set of hyperparameters, we utilize the Optuna [CITE] library in conjunction with repeated nested cross-validation</w:t>
      </w:r>
      <w:r w:rsidRPr="00AC78E9">
        <w:rPr>
          <w:rFonts w:ascii="Arial" w:hAnsi="Arial" w:cs="Arial"/>
          <w:sz w:val="24"/>
          <w:szCs w:val="24"/>
          <w:lang w:val="en-US"/>
        </w:rPr>
        <w:t xml:space="preserve">, </w:t>
      </w:r>
      <w:r w:rsidRPr="00AC78E9">
        <w:rPr>
          <w:rFonts w:ascii="Arial" w:hAnsi="Arial" w:cs="Arial"/>
          <w:sz w:val="24"/>
          <w:szCs w:val="24"/>
          <w:lang w:val="en-US"/>
        </w:rPr>
        <w:t>employing ten repetitions, five outer folds, and three inner folds</w:t>
      </w:r>
      <w:r w:rsidRPr="00AC78E9">
        <w:rPr>
          <w:rFonts w:ascii="Arial" w:hAnsi="Arial" w:cs="Arial"/>
          <w:sz w:val="24"/>
          <w:szCs w:val="24"/>
          <w:lang w:val="en-US"/>
        </w:rPr>
        <w:t xml:space="preserve">, </w:t>
      </w:r>
      <w:r w:rsidRPr="00AC78E9">
        <w:rPr>
          <w:rFonts w:ascii="Arial" w:hAnsi="Arial" w:cs="Arial"/>
          <w:sz w:val="24"/>
          <w:szCs w:val="24"/>
          <w:lang w:val="en-US"/>
        </w:rPr>
        <w:t>to obtain the scores for these metrics.</w:t>
      </w:r>
    </w:p>
    <w:p w14:paraId="7E5FCC56" w14:textId="6687B49B" w:rsidR="00AC78E9" w:rsidRDefault="00AC78E9" w:rsidP="00AC78E9">
      <w:pPr>
        <w:pStyle w:val="1"/>
        <w:rPr>
          <w:rFonts w:ascii="Arial" w:hAnsi="Arial" w:cs="Arial"/>
          <w:lang w:val="en-US"/>
        </w:rPr>
      </w:pPr>
      <w:r w:rsidRPr="00AC78E9">
        <w:rPr>
          <w:rFonts w:ascii="Arial" w:hAnsi="Arial" w:cs="Arial"/>
          <w:lang w:val="en-US"/>
        </w:rPr>
        <w:t>Classical models and their respective hyperparameters</w:t>
      </w:r>
    </w:p>
    <w:p w14:paraId="7F2878F8" w14:textId="4EB5BA0E" w:rsidR="00AC78E9" w:rsidRDefault="00AC78E9" w:rsidP="00AC78E9">
      <w:pPr>
        <w:rPr>
          <w:lang w:val="en-US"/>
        </w:rPr>
      </w:pPr>
    </w:p>
    <w:p w14:paraId="366D3D3C"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Optuna, a Bayesian optimization framework that efficiently explores high-dimensional search spaces. This tuning process was embedded within the inner loop of a repeated nested cross-validation (rnCV) pipeline, ensuring that hyperparameter selection was strictly separated from performance estimation and thereby preventing information leakage. The first five models were implemented using the </w:t>
      </w:r>
      <w:r w:rsidRPr="00AC78E9">
        <w:rPr>
          <w:rFonts w:ascii="Arial" w:eastAsia="Times New Roman" w:hAnsi="Arial" w:cs="Arial"/>
          <w:i/>
          <w:iCs/>
          <w:sz w:val="24"/>
          <w:szCs w:val="24"/>
          <w:lang w:val="en-US" w:eastAsia="el-GR"/>
        </w:rPr>
        <w:t>scikit-learn</w:t>
      </w:r>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 xml:space="preserve">library, while the gradient boosting model was implemented using the dedicated </w:t>
      </w:r>
      <w:r w:rsidRPr="00AC78E9">
        <w:rPr>
          <w:rFonts w:ascii="Arial" w:eastAsia="Times New Roman" w:hAnsi="Arial" w:cs="Arial"/>
          <w:i/>
          <w:iCs/>
          <w:sz w:val="24"/>
          <w:szCs w:val="24"/>
          <w:lang w:val="en-US" w:eastAsia="el-GR"/>
        </w:rPr>
        <w:t>LightGBM</w:t>
      </w:r>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library.</w:t>
      </w:r>
    </w:p>
    <w:p w14:paraId="17D2F793"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AC78E9">
        <w:rPr>
          <w:rFonts w:ascii="Arial" w:eastAsia="Times New Roman" w:hAnsi="Arial" w:cs="Arial"/>
          <w:i/>
          <w:iCs/>
          <w:sz w:val="24"/>
          <w:szCs w:val="24"/>
          <w:lang w:val="en-US" w:eastAsia="el-GR"/>
        </w:rPr>
        <w:t>saga</w:t>
      </w:r>
      <w:r w:rsidRPr="00AC78E9">
        <w:rPr>
          <w:rFonts w:ascii="Arial" w:eastAsia="Times New Roman" w:hAnsi="Arial" w:cs="Arial"/>
          <w:sz w:val="24"/>
          <w:szCs w:val="24"/>
          <w:lang w:val="en-US" w:eastAsia="el-GR"/>
        </w:rPr>
        <w:t xml:space="preserve"> solver was selected due to its compatibility with elastic net regularization and its efficiency on larger datasets.</w:t>
      </w:r>
    </w:p>
    <w:p w14:paraId="13706E8A"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w:t>
      </w:r>
      <w:r w:rsidRPr="00AC78E9">
        <w:rPr>
          <w:rFonts w:ascii="Arial" w:eastAsia="Times New Roman" w:hAnsi="Arial" w:cs="Arial"/>
          <w:sz w:val="24"/>
          <w:szCs w:val="24"/>
          <w:lang w:val="en-US" w:eastAsia="el-GR"/>
        </w:rPr>
        <w:lastRenderedPageBreak/>
        <w:t>variances in order to enhance numerical stability and prevent division-by-zero errors during likelihood estimation.</w:t>
      </w:r>
    </w:p>
    <w:p w14:paraId="5B4D5715"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4112AE40"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04B39D21"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2CAF7D95" w14:textId="2BFF5599" w:rsidR="00AC78E9" w:rsidRPr="006158C4" w:rsidRDefault="00AC78E9" w:rsidP="006158C4">
      <w:pPr>
        <w:spacing w:before="100" w:beforeAutospacing="1" w:after="100" w:afterAutospacing="1" w:line="240" w:lineRule="auto"/>
        <w:rPr>
          <w:rFonts w:ascii="Times New Roman" w:eastAsia="Times New Roman" w:hAnsi="Times New Roman" w:cs="Times New Roman"/>
          <w:sz w:val="24"/>
          <w:szCs w:val="24"/>
          <w:lang w:val="en-US" w:eastAsia="el-GR"/>
        </w:rPr>
      </w:pPr>
      <w:r w:rsidRPr="00AC78E9">
        <w:rPr>
          <w:rFonts w:ascii="Arial" w:eastAsia="Times New Roman" w:hAnsi="Arial" w:cs="Arial"/>
          <w:sz w:val="24"/>
          <w:szCs w:val="24"/>
          <w:lang w:val="en-US" w:eastAsia="el-GR"/>
        </w:rPr>
        <w:t>Finally, LightGBM was employed as a state-of-the-art gradient boosting framework based on decision trees. Unlike traditional level-wise tree growth, LightGBM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32F943C5" w14:textId="58E9968E" w:rsidR="006158C4" w:rsidRDefault="006158C4" w:rsidP="006158C4">
      <w:pPr>
        <w:pStyle w:val="1"/>
        <w:rPr>
          <w:rFonts w:ascii="Arial" w:hAnsi="Arial" w:cs="Arial"/>
          <w:lang w:val="en-US" w:eastAsia="el-GR"/>
        </w:rPr>
      </w:pPr>
      <w:r w:rsidRPr="006158C4">
        <w:rPr>
          <w:rFonts w:ascii="Arial" w:hAnsi="Arial" w:cs="Arial"/>
          <w:lang w:val="en-US" w:eastAsia="el-GR"/>
        </w:rPr>
        <w:t>Evaluation metrics</w:t>
      </w:r>
    </w:p>
    <w:p w14:paraId="1441B53B" w14:textId="77777777" w:rsidR="006158C4" w:rsidRPr="006158C4" w:rsidRDefault="006158C4" w:rsidP="006158C4">
      <w:pPr>
        <w:rPr>
          <w:lang w:val="en-US" w:eastAsia="el-GR"/>
        </w:rPr>
      </w:pPr>
    </w:p>
    <w:p w14:paraId="6D4C736E" w14:textId="77777777"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 xml:space="preserve">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w:t>
      </w:r>
      <w:r w:rsidRPr="006158C4">
        <w:rPr>
          <w:rFonts w:ascii="Arial" w:hAnsi="Arial" w:cs="Arial"/>
          <w:sz w:val="24"/>
          <w:szCs w:val="24"/>
          <w:lang w:val="en-US"/>
        </w:rPr>
        <w:lastRenderedPageBreak/>
        <w:t xml:space="preserve">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 For reasons of brevity, it will therefore be referred to as simply Accuracy. </w:t>
      </w:r>
      <w:r w:rsidRPr="006158C4">
        <w:rPr>
          <w:rFonts w:ascii="Arial" w:hAnsi="Arial" w:cs="Arial"/>
          <w:b/>
          <w:bCs/>
          <w:sz w:val="24"/>
          <w:szCs w:val="24"/>
          <w:lang w:val="en-US"/>
        </w:rPr>
        <w:t>[LATEX equation_Accuracy.tex]</w:t>
      </w:r>
    </w:p>
    <w:p w14:paraId="28F54689"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Pr="006158C4">
        <w:rPr>
          <w:rFonts w:ascii="Arial" w:hAnsi="Arial" w:cs="Arial"/>
          <w:b/>
          <w:bCs/>
          <w:sz w:val="24"/>
          <w:szCs w:val="24"/>
          <w:lang w:val="en-US"/>
        </w:rPr>
        <w:t xml:space="preserve"> [LATEX equation_Precision.tex]</w:t>
      </w:r>
    </w:p>
    <w:p w14:paraId="649FCE1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Pr="006158C4">
        <w:rPr>
          <w:rFonts w:ascii="Arial" w:hAnsi="Arial" w:cs="Arial"/>
          <w:b/>
          <w:bCs/>
          <w:sz w:val="24"/>
          <w:szCs w:val="24"/>
          <w:lang w:val="en-US"/>
        </w:rPr>
        <w:t xml:space="preserve"> [LATEX equation_Recall.tex]</w:t>
      </w:r>
    </w:p>
    <w:p w14:paraId="61B2E7EE"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Pr="006158C4">
        <w:rPr>
          <w:rFonts w:ascii="Arial" w:hAnsi="Arial" w:cs="Arial"/>
          <w:b/>
          <w:bCs/>
          <w:sz w:val="24"/>
          <w:szCs w:val="24"/>
          <w:lang w:val="en-US"/>
        </w:rPr>
        <w:t xml:space="preserve"> [LATEX equation_F1.tex]</w:t>
      </w:r>
    </w:p>
    <w:p w14:paraId="2778748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 </w:t>
      </w:r>
      <w:r w:rsidRPr="006158C4">
        <w:rPr>
          <w:rFonts w:ascii="Arial" w:hAnsi="Arial" w:cs="Arial"/>
          <w:b/>
          <w:bCs/>
          <w:sz w:val="24"/>
          <w:szCs w:val="24"/>
          <w:lang w:val="en-US"/>
        </w:rPr>
        <w:t>[LATEX equation_MCC.tex]</w:t>
      </w:r>
    </w:p>
    <w:p w14:paraId="531BE597"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Area Under the Receiver Operating Characteristic Curve, or ROC AUC,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w:t>
      </w:r>
      <w:r w:rsidRPr="006158C4">
        <w:rPr>
          <w:rFonts w:ascii="Arial" w:hAnsi="Arial" w:cs="Arial"/>
          <w:sz w:val="24"/>
          <w:szCs w:val="24"/>
          <w:lang w:val="en-US"/>
        </w:rPr>
        <w:lastRenderedPageBreak/>
        <w:t xml:space="preserve">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 </w:t>
      </w:r>
      <w:r w:rsidRPr="006158C4">
        <w:rPr>
          <w:rFonts w:ascii="Arial" w:hAnsi="Arial" w:cs="Arial"/>
          <w:b/>
          <w:bCs/>
          <w:sz w:val="24"/>
          <w:szCs w:val="24"/>
          <w:lang w:val="en-US"/>
        </w:rPr>
        <w:t>[LATEX equation_ROC_AUC.tex]</w:t>
      </w:r>
    </w:p>
    <w:p w14:paraId="7043BDAD"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Area Under the Precision–Recall Curve, or PR AUC,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 </w:t>
      </w:r>
      <w:r w:rsidRPr="006158C4">
        <w:rPr>
          <w:rFonts w:ascii="Arial" w:hAnsi="Arial" w:cs="Arial"/>
          <w:b/>
          <w:bCs/>
          <w:sz w:val="24"/>
          <w:szCs w:val="24"/>
          <w:lang w:val="en-US"/>
        </w:rPr>
        <w:t>[LATEX equation_PR_AUC.tex]</w:t>
      </w:r>
    </w:p>
    <w:p w14:paraId="71D07E4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Pr="006158C4">
        <w:rPr>
          <w:rFonts w:ascii="Arial" w:hAnsi="Arial" w:cs="Arial"/>
          <w:b/>
          <w:bCs/>
          <w:sz w:val="24"/>
          <w:szCs w:val="24"/>
          <w:lang w:val="en-US"/>
        </w:rPr>
        <w:t xml:space="preserve"> [LATEX equation_Specificity.tex]</w:t>
      </w:r>
    </w:p>
    <w:p w14:paraId="1F9929B4" w14:textId="51E19769"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Negative Predictive Value measures the proportion of predicted negative instances that are truly negative. It reflects the reliability of negative predictions produced by the classifier. NPV is particularly important in decision-making contexts where ruling out a condition or event with confidence is essential. Unlike specificity, which conditions on actual negatives, NPV conditions on predicted negatives, making it sensitive to class prevalence in the dataset.</w:t>
      </w:r>
      <w:r w:rsidRPr="006158C4">
        <w:rPr>
          <w:rFonts w:ascii="Arial" w:hAnsi="Arial" w:cs="Arial"/>
          <w:b/>
          <w:bCs/>
          <w:sz w:val="24"/>
          <w:szCs w:val="24"/>
          <w:lang w:val="en-US"/>
        </w:rPr>
        <w:t xml:space="preserve"> [LATEX equation_NPV.tex]</w:t>
      </w:r>
    </w:p>
    <w:p w14:paraId="4B8AC0BD" w14:textId="77777777" w:rsidR="00AC78E9" w:rsidRPr="00AC78E9" w:rsidRDefault="00AC78E9" w:rsidP="00C73438">
      <w:pPr>
        <w:spacing w:before="100" w:beforeAutospacing="1" w:after="100" w:afterAutospacing="1" w:line="240" w:lineRule="auto"/>
        <w:rPr>
          <w:rFonts w:ascii="Arial" w:hAnsi="Arial" w:cs="Arial"/>
          <w:sz w:val="24"/>
          <w:szCs w:val="24"/>
          <w:lang w:val="en-US"/>
        </w:rPr>
      </w:pPr>
    </w:p>
    <w:p w14:paraId="6A9927D1" w14:textId="77777777" w:rsidR="0075519F" w:rsidRPr="0075519F" w:rsidRDefault="0075519F" w:rsidP="0075519F">
      <w:pPr>
        <w:pStyle w:val="1"/>
        <w:rPr>
          <w:rFonts w:ascii="Arial" w:eastAsia="Times New Roman" w:hAnsi="Arial" w:cs="Arial"/>
          <w:lang w:val="en-US" w:eastAsia="el-GR"/>
        </w:rPr>
      </w:pPr>
      <w:r w:rsidRPr="0075519F">
        <w:rPr>
          <w:rFonts w:ascii="Arial" w:eastAsia="Times New Roman" w:hAnsi="Arial" w:cs="Arial"/>
          <w:lang w:val="en-US" w:eastAsia="el-GR"/>
        </w:rPr>
        <w:t>rnCV</w:t>
      </w:r>
    </w:p>
    <w:p w14:paraId="10996A8D"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(rnCV) has been developed to address these challenges by providing an evaluation framework that simultaneously minimizes bias and reduces variance in performance estimation.</w:t>
      </w:r>
    </w:p>
    <w:p w14:paraId="68994CBB"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In conventional k-fold cross-validation, the dataset is partitioned into k subsets (folds), with each fold used once as a validation set while the remaining folds </w:t>
      </w:r>
      <w:r w:rsidRPr="0075519F">
        <w:rPr>
          <w:rFonts w:ascii="Arial" w:eastAsia="Times New Roman" w:hAnsi="Arial" w:cs="Arial"/>
          <w:sz w:val="24"/>
          <w:szCs w:val="24"/>
          <w:lang w:val="en-US" w:eastAsia="el-GR"/>
        </w:rPr>
        <w:lastRenderedPageBreak/>
        <w:t>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5C2193E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0F33C2F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4FCB1A21" w14:textId="567A79C0"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Repeated nested cross-validation extends the nested cross-validation framework by incorporating an additional repetition layer, thereby addressing the variance issue. In rnCV,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3DB637C2"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lastRenderedPageBreak/>
        <w:t>An important conceptual aspect of repeated nested cross-validation is the interpretation of what is being estimated. rnCV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1285EA2A"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The primary motivation for using repeated nested cross-validation lies in its ability to provide both unbiased and statistically stable performance estimates. By strictly separating training, validation, and testing phases, rnCV eliminates information leakage from the hyperparameter tuning process into the performance evaluation. At the same time, repetition across multiple random data partitions substantially reduces the variance associated with any single split. This combination makes rnCV particularly well suited for fair model comparison, as it mitigates the risk of falsely declaring one algorithm superior due to favorable data partitioning or chance effects.</w:t>
      </w:r>
    </w:p>
    <w:p w14:paraId="36751B2F"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rnCV therefore enhances the credibility and reproducibility of reported results.</w:t>
      </w:r>
    </w:p>
    <w:p w14:paraId="45A0B05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Despite its methodological advantages, rnCV is computationally demanding. The total number of model trainings scales with the number of repetitions, outer folds, inner folds, and the size of the hyperparameter search space. Consequently, rnCV may be impractical for very large datasets or computationally expensive models unless sufficient computational resources are available. For this reason, rnCV is typically employed during the model assessment and comparison phase rather than for training the final model intended for deployment. Once a model class and hyperparameter ranges have been selected based on rnCV results, a final model is usually trained on the full dataset.</w:t>
      </w:r>
    </w:p>
    <w:p w14:paraId="136D7E76" w14:textId="6CC76CEB"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In summary, repeated nested cross-validation represents a rigorous and statistically sound framework for model evaluation in supervised learning. By combining the unbiased estimation properties of nested cross-validation with the variance-reducing benefits of repetition, rnCV provides a reliable estimate of the generalization performance of a complete model selection pipeline. For studies in which methodological validity, fairness of comparison, and reproducibility are critical, rnCV constitutes a gold-standard evaluation strategy.</w:t>
      </w:r>
    </w:p>
    <w:p w14:paraId="57F6049E" w14:textId="77777777" w:rsid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lastRenderedPageBreak/>
        <w:t>Finding the best model</w:t>
      </w:r>
    </w:p>
    <w:p w14:paraId="141C0D00" w14:textId="77777777" w:rsidR="006158C4" w:rsidRDefault="006158C4" w:rsidP="006158C4">
      <w:pPr>
        <w:rPr>
          <w:lang w:val="en-US" w:eastAsia="el-GR"/>
        </w:rPr>
      </w:pPr>
    </w:p>
    <w:p w14:paraId="132B662F" w14:textId="77777777" w:rsidR="006158C4" w:rsidRPr="006158C4" w:rsidRDefault="006158C4" w:rsidP="006158C4">
      <w:pPr>
        <w:rPr>
          <w:rFonts w:ascii="Arial" w:eastAsia="Times New Roman" w:hAnsi="Arial" w:cs="Arial"/>
          <w:b/>
          <w:bCs/>
          <w:sz w:val="24"/>
          <w:szCs w:val="24"/>
          <w:lang w:val="en-US" w:eastAsia="el-GR"/>
        </w:rPr>
      </w:pPr>
      <w:r w:rsidRPr="006158C4">
        <w:rPr>
          <w:rFonts w:ascii="Arial" w:hAnsi="Arial" w:cs="Arial"/>
          <w:sz w:val="24"/>
          <w:szCs w:val="24"/>
          <w:lang w:val="en-US"/>
        </w:rPr>
        <w:t>Upon completing the rnCV technique in approximately 25 minutes, we were able to identify the optimal model by observing the number of metrics for which each model was the top performer. As the results indicate, Logistic Regression was the superior model in eight of the nine metrics, lagging only in ROC AUC, where it was marginally surpassed by SVM. This is a particularly advantageous outcome, as Logistic Regression allows us not only to achieve high classification performance but also to gain meaningful insights into which features contribute to the classification process and to what degree.</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faceted_boxplot.png]</w:t>
      </w:r>
    </w:p>
    <w:p w14:paraId="39AA5E72" w14:textId="55DC140C"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Taking a more quantitative look into our rnCV results, we report that Logistic Regression scored 97.06% in accuracy, 95.59% in recall, 100% in precision, 96.97% in F1-score, 100% in specificity, 97.40% in NPV, 99.56% in PR AUC, 99.69% in ROC AUC, and 95.33% in MCC. GNB achieved 92.81% in accuracy, 88.24% in recall, 96.49% in precision, 92.06% in F1-score, 98.25% in specificity, 93.33% in NPV, 98.45% in PR AUC, 98.79% in ROC AUC, and 88.28% in MCC. LDA scored 94.71% in accuracy, 91.18% in recall, 100% in precision, 93.94% in F1-score, 100% in specificity, 94.92% in NPV, 99.33% in PR AUC, 99.56% in ROC AUC, and 90.80% in MCC. SVM reached 97.06% in accuracy, 95.59% in recall, 97.06% in precision, 96.97% in F1-score, 98.25% in specificity, 97.36% in NPV, 99.53% in PR AUC, 99.72% in ROC AUC, and 95.30% in MCC. Random Forest recorded 95.01% in accuracy, 94.12% in recall, 94.29% in precision, 94.03% in F1-score, 96.49% in specificity, 96.40% in NPV, 98.70% in PR AUC, 98.94% in ROC AUC, and 90.61% in MCC. Finally, LightGBM scored 96.18% in accuracy, 94.12% in recall, 96.97% in precision, 95.52% in F1-score, 98.25% in specificity, 96.55% in NPV, 99.28% in PR AUC, 99.46% in ROC AUC, and 92.94% in MCC.</w:t>
      </w:r>
    </w:p>
    <w:p w14:paraId="76F9F7AF" w14:textId="10CFEB95" w:rsidR="006158C4" w:rsidRDefault="006158C4" w:rsidP="0075519F">
      <w:pPr>
        <w:spacing w:before="100" w:beforeAutospacing="1" w:after="100" w:afterAutospacing="1" w:line="240" w:lineRule="auto"/>
        <w:rPr>
          <w:rFonts w:ascii="Arial" w:eastAsia="Times New Roman" w:hAnsi="Arial" w:cs="Arial"/>
          <w:b/>
          <w:bCs/>
          <w:sz w:val="24"/>
          <w:szCs w:val="24"/>
          <w:lang w:val="en-US" w:eastAsia="el-GR"/>
        </w:rPr>
      </w:pPr>
      <w:r w:rsidRPr="006158C4">
        <w:rPr>
          <w:rFonts w:ascii="Arial" w:hAnsi="Arial" w:cs="Arial"/>
          <w:sz w:val="24"/>
          <w:szCs w:val="24"/>
          <w:lang w:val="en-US"/>
        </w:rPr>
        <w:t>We can observe that while Logistic Regression is the top performer across most metrics, SVM remains highly competitive. In fact, SVM slightly surpasses Logistic Regression in the ROC AUC metric and achieves identical scores for accuracy, recall, and F1-score. However, Logistic Regression maintains a slight edge in the other key metrics. Two particularly noteworthy points are the perfect scores it achieves in precision and specificity, as well as its superior performance in MCC, which is a critical metric for evaluating the quality of binary classification tasks.</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heatmap_model_comparison.png]</w:t>
      </w:r>
    </w:p>
    <w:p w14:paraId="6A8129C5" w14:textId="77777777" w:rsidR="006158C4" w:rsidRP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t>Finetuning the best model</w:t>
      </w:r>
    </w:p>
    <w:p w14:paraId="138D8029" w14:textId="68E14A19"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 xml:space="preserve">Since we have determined that Logistic Regression is the most suitable model for our tumor classification task, we utilize bootstrapping to further assess its performance. For this purpose, we use the validation subset to generate </w:t>
      </w:r>
      <w:r w:rsidRPr="006158C4">
        <w:rPr>
          <w:rFonts w:ascii="Arial" w:hAnsi="Arial" w:cs="Arial"/>
          <w:sz w:val="24"/>
          <w:szCs w:val="24"/>
          <w:lang w:val="en-US"/>
        </w:rPr>
        <w:t>five</w:t>
      </w:r>
      <w:r w:rsidRPr="006158C4">
        <w:rPr>
          <w:rFonts w:ascii="Arial" w:hAnsi="Arial" w:cs="Arial"/>
          <w:sz w:val="24"/>
          <w:szCs w:val="24"/>
          <w:lang w:val="en-US"/>
        </w:rPr>
        <w:t xml:space="preserve"> thousand bootstrap samples and produce 95% confidence intervals for each metric. Finally, this top-performing model is trained and fine-tuned on the entirety of the original dataset before being saved for future inference.</w:t>
      </w:r>
    </w:p>
    <w:p w14:paraId="4B4F18A5" w14:textId="05136A8A" w:rsidR="006158C4" w:rsidRPr="006158C4" w:rsidRDefault="006158C4" w:rsidP="006158C4">
      <w:pPr>
        <w:pStyle w:val="1"/>
        <w:rPr>
          <w:rFonts w:ascii="Arial" w:hAnsi="Arial" w:cs="Arial"/>
          <w:lang w:val="en-US" w:eastAsia="el-GR"/>
        </w:rPr>
      </w:pPr>
      <w:r w:rsidRPr="006158C4">
        <w:rPr>
          <w:rFonts w:ascii="Arial" w:hAnsi="Arial" w:cs="Arial"/>
          <w:lang w:val="en-US" w:eastAsia="el-GR"/>
        </w:rPr>
        <w:lastRenderedPageBreak/>
        <w:t>Bootstrapping</w:t>
      </w:r>
    </w:p>
    <w:p w14:paraId="34713DC5"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775B8182"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0C845B5B"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4CB160B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4BD912B8"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61AFF170"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lastRenderedPageBreak/>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35CE324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426C7AEE"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25E48856" w14:textId="65F6978E" w:rsid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p>
    <w:p w14:paraId="34AAEC7A" w14:textId="751A27E5" w:rsidR="006158C4" w:rsidRPr="006158C4" w:rsidRDefault="006158C4" w:rsidP="006158C4">
      <w:pPr>
        <w:pStyle w:val="1"/>
        <w:rPr>
          <w:rFonts w:ascii="Arial" w:hAnsi="Arial" w:cs="Arial"/>
          <w:lang w:val="en-US" w:eastAsia="el-GR"/>
        </w:rPr>
      </w:pPr>
      <w:r w:rsidRPr="006158C4">
        <w:rPr>
          <w:rFonts w:ascii="Arial" w:hAnsi="Arial" w:cs="Arial"/>
          <w:lang w:val="en-US" w:eastAsia="el-GR"/>
        </w:rPr>
        <w:t>95% Confidence Intervals based on bootstrapping</w:t>
      </w:r>
    </w:p>
    <w:p w14:paraId="40210065" w14:textId="57FD6CE9" w:rsidR="006158C4"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After bootstrapping five thousand sets on our Logistic Regression model using the validation subset, we obtained the 95% confidence intervals for the nine key metrics. Accuracy lies within the [0.9595, 1] interval, while precision and specificity both maintain a perfect [1, 1] interval. Recall is situated between [0.9189, 1.000], and the F1-score falls within [0.9577, 1]. Additionally, the NPV is in the [0.9552, 1] range, and the MCC</w:t>
      </w:r>
      <w:r w:rsidRPr="00965BCC">
        <w:rPr>
          <w:rFonts w:ascii="Arial" w:hAnsi="Arial" w:cs="Arial"/>
          <w:sz w:val="24"/>
          <w:szCs w:val="24"/>
          <w:lang w:val="en-US"/>
        </w:rPr>
        <w:t xml:space="preserve">, </w:t>
      </w:r>
      <w:r w:rsidRPr="00965BCC">
        <w:rPr>
          <w:rFonts w:ascii="Arial" w:hAnsi="Arial" w:cs="Arial"/>
          <w:sz w:val="24"/>
          <w:szCs w:val="24"/>
          <w:lang w:val="en-US"/>
        </w:rPr>
        <w:t>a crucial metric for binary classification</w:t>
      </w:r>
      <w:r w:rsidRPr="00965BCC">
        <w:rPr>
          <w:rFonts w:ascii="Arial" w:hAnsi="Arial" w:cs="Arial"/>
          <w:sz w:val="24"/>
          <w:szCs w:val="24"/>
          <w:lang w:val="en-US"/>
        </w:rPr>
        <w:t xml:space="preserve">, </w:t>
      </w:r>
      <w:r w:rsidRPr="00965BCC">
        <w:rPr>
          <w:rFonts w:ascii="Arial" w:hAnsi="Arial" w:cs="Arial"/>
          <w:sz w:val="24"/>
          <w:szCs w:val="24"/>
          <w:lang w:val="en-US"/>
        </w:rPr>
        <w:t xml:space="preserve">lies within [0.9395, 1]. Both the ROC AUC and PR AUC remain exceptionally high, with intervals of [0.9919, 1] and [0.9877, 1], respectively. Notably, every metric reaches a perfect upper bound of 1.0, while the lower bounds remain consistently above 91%. Furthermore, those metrics that demonstrated perfect mean scores during the rnCV process continue to </w:t>
      </w:r>
      <w:r w:rsidRPr="00965BCC">
        <w:rPr>
          <w:rFonts w:ascii="Arial" w:hAnsi="Arial" w:cs="Arial"/>
          <w:sz w:val="24"/>
          <w:szCs w:val="24"/>
          <w:lang w:val="en-US"/>
        </w:rPr>
        <w:lastRenderedPageBreak/>
        <w:t>exhibit high performance throughout the bootstrapping analysis.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violin_plot_boot_lr.png]</w:t>
      </w:r>
    </w:p>
    <w:p w14:paraId="30481BCC" w14:textId="207460BB" w:rsidR="00965BCC"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As a final step in our classical approach, we utilize the entire dataset to train and fine-tune the Logistic Regression model, from which we extract the 16 most influential features based on the descending absolute values of their coefficients. These features, in order of impact, are texture_worst, area_se, texture_mean, concave points_mean, concavity_worst, symmetry_worst, concavity_mean, compactness_se, area_worst, smoothness_worst, radius_se, symmetry_se, concave points_worst, radius_worst, perimeter_worst, and fractal_dimension_se. Upon examining the coefficients, we observe that compactness_se, symmetry_se, and fractal_dimension_se are negative, indicating that higher values in these features are associated with the majority class—the benign tumors. Conversely, the remaining 13 features possess positive coefficients, suggesting that higher measurements in these areas correlate with an increased likelihood of the minority class, which corresponds to malignant tumors.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top_16_features.png]</w:t>
      </w:r>
    </w:p>
    <w:p w14:paraId="2BAF9C1C" w14:textId="581E560F" w:rsidR="00965BCC" w:rsidRPr="00965BCC" w:rsidRDefault="00965BCC" w:rsidP="006158C4">
      <w:pPr>
        <w:spacing w:before="100" w:beforeAutospacing="1" w:after="100" w:afterAutospacing="1" w:line="240" w:lineRule="auto"/>
        <w:rPr>
          <w:rFonts w:ascii="Arial" w:hAnsi="Arial" w:cs="Arial"/>
          <w:sz w:val="24"/>
          <w:szCs w:val="24"/>
          <w:lang w:val="en-US"/>
        </w:rPr>
      </w:pPr>
      <w:r w:rsidRPr="00965BCC">
        <w:rPr>
          <w:rFonts w:ascii="Arial" w:hAnsi="Arial" w:cs="Arial"/>
          <w:sz w:val="24"/>
          <w:szCs w:val="24"/>
          <w:lang w:val="en-US"/>
        </w:rPr>
        <w:t>By saving our final fine-tuned model for future inference on unseen data, we conclude our investigation into classical machine learning methods. This marks the transition from establishing a robust performance benchmark with traditional algorithms to exploring quantum approaches for the same classification task.</w:t>
      </w:r>
    </w:p>
    <w:p w14:paraId="714DD095" w14:textId="77777777" w:rsidR="006158C4" w:rsidRPr="006158C4" w:rsidRDefault="006158C4" w:rsidP="0075519F">
      <w:pPr>
        <w:spacing w:before="100" w:beforeAutospacing="1" w:after="100" w:afterAutospacing="1" w:line="240" w:lineRule="auto"/>
        <w:rPr>
          <w:rFonts w:ascii="Arial" w:hAnsi="Arial" w:cs="Arial"/>
          <w:sz w:val="24"/>
          <w:szCs w:val="24"/>
          <w:lang w:val="en-US"/>
        </w:rPr>
      </w:pPr>
    </w:p>
    <w:p w14:paraId="6105B8F7" w14:textId="7DB425A2" w:rsidR="00C73438" w:rsidRPr="00C73438" w:rsidRDefault="00C73438" w:rsidP="00C73438">
      <w:pPr>
        <w:pStyle w:val="1"/>
        <w:rPr>
          <w:rFonts w:ascii="Arial" w:hAnsi="Arial" w:cs="Arial"/>
          <w:lang w:val="en-US"/>
        </w:rPr>
      </w:pPr>
      <w:r>
        <w:rPr>
          <w:rFonts w:ascii="Arial" w:hAnsi="Arial" w:cs="Arial"/>
          <w:lang w:val="en-US"/>
        </w:rPr>
        <w:t>Results from Quantum Machine Learning methods</w:t>
      </w:r>
    </w:p>
    <w:p w14:paraId="090E75CA" w14:textId="240D59C9" w:rsidR="00262564" w:rsidRPr="00844040" w:rsidRDefault="00262564" w:rsidP="00262564">
      <w:pPr>
        <w:pStyle w:val="Web"/>
        <w:rPr>
          <w:rFonts w:ascii="Arial" w:hAnsi="Arial" w:cs="Arial"/>
          <w:lang w:val="en-US"/>
        </w:rPr>
      </w:pPr>
      <w:r w:rsidRPr="00844040">
        <w:rPr>
          <w:rFonts w:ascii="Arial" w:hAnsi="Arial" w:cs="Arial"/>
          <w:lang w:val="en-US"/>
        </w:rPr>
        <w:t>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PennyLane</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Python library for quantum circuit simulation and differentiable programming, while NumPy facilitates essential numerical manipulations. Furthermore, </w:t>
      </w:r>
      <w:r w:rsidR="0072193F" w:rsidRPr="00844040">
        <w:rPr>
          <w:rFonts w:ascii="Arial" w:hAnsi="Arial" w:cs="Arial"/>
          <w:lang w:val="en-US"/>
        </w:rPr>
        <w:t>pand</w:t>
      </w:r>
      <w:r w:rsidR="00982AEB">
        <w:rPr>
          <w:rFonts w:ascii="Arial" w:hAnsi="Arial" w:cs="Arial"/>
          <w:lang w:val="en-US"/>
        </w:rPr>
        <w:t>a</w:t>
      </w:r>
      <w:r w:rsidR="0072193F" w:rsidRPr="00844040">
        <w:rPr>
          <w:rFonts w:ascii="Arial" w:hAnsi="Arial" w:cs="Arial"/>
          <w:lang w:val="en-US"/>
        </w:rPr>
        <w:t xml:space="preserve">s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and Matplotlib</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 xml:space="preserve">A critical component of this transition involves a refined approach to data management and integrity, starting with a tripartite division of the dataset. Unlike the previous classical approach, we utilize a 60-20-20 split, wherein </w:t>
      </w:r>
      <w:r w:rsidRPr="00844040">
        <w:rPr>
          <w:rFonts w:ascii="Arial" w:hAnsi="Arial" w:cs="Arial"/>
          <w:lang w:val="en-US"/>
        </w:rPr>
        <w:lastRenderedPageBreak/>
        <w:t>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w:t>
      </w:r>
      <w:r w:rsidRPr="00844040">
        <w:rPr>
          <w:rFonts w:ascii="Arial" w:eastAsia="Times New Roman" w:hAnsi="Arial" w:cs="Arial"/>
          <w:sz w:val="24"/>
          <w:szCs w:val="24"/>
          <w:lang w:val="en-US" w:eastAsia="el-GR"/>
        </w:rPr>
        <w:lastRenderedPageBreak/>
        <w:t>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Petruccione and Schuld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second component comprises the variational segment, which incorporates the system's trainable parameters. Drawing inspiration from the work of Schuld et al.</w:t>
      </w:r>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for a predetermined number of iterations. Each layer is composed of a sequence of single-qubit rotation gates followed by Controlled-NOT (CNOT) gates to facilitate multi-qubit entanglement. Adopting the notation utilized by the PennyLane library, the single-qubit rotation gates are implemented as arbitrary rotations, defined mathematically as R(</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w:t>
      </w:r>
      <w:r w:rsidRPr="00844040">
        <w:rPr>
          <w:rFonts w:ascii="Arial" w:eastAsia="Times New Roman" w:hAnsi="Arial" w:cs="Arial"/>
          <w:sz w:val="24"/>
          <w:szCs w:val="24"/>
          <w:lang w:val="en-US" w:eastAsia="el-GR"/>
        </w:rPr>
        <w:lastRenderedPageBreak/>
        <w:t xml:space="preserve">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hypothesized that for architectures characterized by low qubit counts and minimal circuit 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 the problem complexity is relatively 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w:t>
      </w:r>
      <w:r w:rsidRPr="00844040">
        <w:rPr>
          <w:rFonts w:ascii="Arial" w:eastAsia="Times New Roman" w:hAnsi="Arial" w:cs="Arial"/>
          <w:sz w:val="24"/>
          <w:szCs w:val="24"/>
          <w:lang w:val="en-US" w:eastAsia="el-GR"/>
        </w:rPr>
        <w:lastRenderedPageBreak/>
        <w:t>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Furthermore, the mean number of epochs required for achieving these results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w:t>
      </w:r>
      <w:r w:rsidRPr="00844040">
        <w:rPr>
          <w:rFonts w:ascii="Arial" w:eastAsia="Times New Roman" w:hAnsi="Arial" w:cs="Arial"/>
          <w:sz w:val="24"/>
          <w:szCs w:val="24"/>
          <w:lang w:val="en-US" w:eastAsia="el-GR"/>
        </w:rPr>
        <w:lastRenderedPageBreak/>
        <w:t>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optimization of the parameters is executed using the Nesterov Momentum optimizer, also known as Nesterov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pairplot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w:t>
      </w:r>
      <w:r w:rsidRPr="00844040">
        <w:rPr>
          <w:rFonts w:ascii="Arial" w:eastAsia="Times New Roman" w:hAnsi="Arial" w:cs="Arial"/>
          <w:sz w:val="24"/>
          <w:szCs w:val="24"/>
          <w:lang w:val="en-US" w:eastAsia="el-GR"/>
        </w:rPr>
        <w:lastRenderedPageBreak/>
        <w:t>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The pairplot matrix exhibits inherent symmetry relative to its principal diagonal. This structural organization implies that the bivariate relationship between any two variables is represented twice within the grid; specifically, the interaction between components i and j is visualized once with variable i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When the target categorical variable is assigned to the hue parameter, the pairplot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summary, the pairplot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pairplot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 xml:space="preserve">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w:t>
      </w:r>
      <w:r w:rsidRPr="00844040">
        <w:rPr>
          <w:rFonts w:ascii="Arial" w:eastAsia="Times New Roman" w:hAnsi="Arial" w:cs="Arial"/>
          <w:sz w:val="24"/>
          <w:szCs w:val="24"/>
          <w:lang w:val="en-US" w:eastAsia="el-GR"/>
        </w:rPr>
        <w:lastRenderedPageBreak/>
        <w:t>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w:t>
      </w:r>
      <w:r w:rsidRPr="00844040">
        <w:rPr>
          <w:rFonts w:ascii="Arial" w:hAnsi="Arial" w:cs="Arial"/>
          <w:sz w:val="24"/>
          <w:szCs w:val="24"/>
          <w:lang w:val="en-US"/>
        </w:rPr>
        <w:lastRenderedPageBreak/>
        <w:t>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Shifting focus to the off-diagonal cells of the pairplot,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gate,comprising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w:t>
      </w:r>
      <w:r w:rsidRPr="00844040">
        <w:rPr>
          <w:rFonts w:ascii="Arial" w:hAnsi="Arial" w:cs="Arial"/>
          <w:sz w:val="24"/>
          <w:szCs w:val="24"/>
          <w:lang w:val="en-US"/>
        </w:rPr>
        <w:lastRenderedPageBreak/>
        <w:t xml:space="preserve">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and consequently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final phase of our evaluation, we examine the highest-performing models from both the biased and unbiased configurations across all experimental runs. We present the specific variational quantum circuit (VQC) </w:t>
      </w:r>
      <w:r w:rsidRPr="00844040">
        <w:rPr>
          <w:rFonts w:ascii="Arial" w:eastAsia="Times New Roman" w:hAnsi="Arial" w:cs="Arial"/>
          <w:sz w:val="24"/>
          <w:szCs w:val="24"/>
          <w:lang w:val="en-US" w:eastAsia="el-GR"/>
        </w:rPr>
        <w:lastRenderedPageBreak/>
        <w:t>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w:t>
      </w:r>
      <w:r w:rsidRPr="00844040">
        <w:rPr>
          <w:rFonts w:ascii="Arial" w:hAnsi="Arial" w:cs="Arial"/>
          <w:sz w:val="24"/>
          <w:szCs w:val="24"/>
          <w:lang w:val="en-US"/>
        </w:rPr>
        <w:lastRenderedPageBreak/>
        <w:t>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pairplot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w:t>
      </w:r>
      <w:r w:rsidRPr="007A45CA">
        <w:rPr>
          <w:rFonts w:ascii="Arial" w:hAnsi="Arial" w:cs="Arial"/>
          <w:sz w:val="24"/>
          <w:szCs w:val="24"/>
          <w:lang w:val="en-US"/>
        </w:rPr>
        <w:lastRenderedPageBreak/>
        <w:t>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 xml:space="preserve">In terms of training efficiency across the varying circuit depths, the unbiased classifier identified its optimal parameter values after 8, 152, 142, 131, and 127 epochs for each respective layer configuration, with average training </w:t>
      </w:r>
      <w:r w:rsidRPr="007A45CA">
        <w:rPr>
          <w:rFonts w:ascii="Arial" w:hAnsi="Arial" w:cs="Arial"/>
          <w:sz w:val="24"/>
          <w:szCs w:val="24"/>
          <w:lang w:val="en-US"/>
        </w:rPr>
        <w:lastRenderedPageBreak/>
        <w:t>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 regard to the top performers across all circuit depths and experimental runs, the most effective unbiased classifier utilized a 6-layer VQC. This 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lastRenderedPageBreak/>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pairplot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w:t>
      </w:r>
      <w:r w:rsidRPr="004811DF">
        <w:rPr>
          <w:rFonts w:ascii="Arial" w:hAnsi="Arial" w:cs="Arial"/>
          <w:sz w:val="24"/>
          <w:szCs w:val="24"/>
          <w:lang w:val="en-US"/>
        </w:rPr>
        <w:lastRenderedPageBreak/>
        <w:t>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 xml:space="preserve">A comparison of the biased and unbiased approaches reveals several clear insights. First, the single-layer version of both configurations fails to generalize, yielding disappointing results. To provide context, a baseline </w:t>
      </w:r>
      <w:r w:rsidRPr="0040278B">
        <w:rPr>
          <w:rFonts w:ascii="Arial" w:hAnsi="Arial" w:cs="Arial"/>
          <w:sz w:val="24"/>
          <w:szCs w:val="24"/>
          <w:lang w:val="en-US"/>
        </w:rPr>
        <w:lastRenderedPageBreak/>
        <w:t>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 xml:space="preserve">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w:t>
      </w:r>
      <w:r w:rsidRPr="00770280">
        <w:rPr>
          <w:rFonts w:ascii="Arial" w:hAnsi="Arial" w:cs="Arial"/>
          <w:sz w:val="24"/>
          <w:szCs w:val="24"/>
          <w:lang w:val="en-US"/>
        </w:rPr>
        <w:lastRenderedPageBreak/>
        <w:t>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and 0.25% of the total explained variance ratio, respectively. We observe that with 16 principal components, we are able to describe our problem almost in its entirety, with the drawback being that some of the newly introduced features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components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To address the problem, we maintain the existing layer architecture, where each layer consists exclusively of rotation gates and CNOT gates. To account for the increased complexity of the classification task, we evaluate biased and </w:t>
      </w:r>
      <w:r w:rsidRPr="00416C21">
        <w:rPr>
          <w:rFonts w:ascii="Arial" w:hAnsi="Arial" w:cs="Arial"/>
          <w:sz w:val="24"/>
          <w:szCs w:val="24"/>
          <w:lang w:val="en-US"/>
        </w:rPr>
        <w:lastRenderedPageBreak/>
        <w:t>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recall of 91.81%, and an F1-score of 92.10%.</w:t>
      </w:r>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 xml:space="preserve">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w:t>
      </w:r>
      <w:r w:rsidRPr="00727BD3">
        <w:rPr>
          <w:rFonts w:ascii="Arial" w:hAnsi="Arial" w:cs="Arial"/>
          <w:sz w:val="24"/>
          <w:szCs w:val="24"/>
          <w:lang w:val="en-US"/>
        </w:rPr>
        <w:lastRenderedPageBreak/>
        <w:t>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t>When examining the top-performing models, the best unbiased classifier features a VQC with 15 layers. At the 179th epoch, this model achieves an accuracy of 96.49%, a precision of 96.72%, a recall of 95.73%, and an F1-score of 96.19%.</w:t>
      </w:r>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lastRenderedPageBreak/>
        <w:t>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 xml:space="preserve">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w:t>
      </w:r>
      <w:r w:rsidRPr="00015959">
        <w:rPr>
          <w:rFonts w:ascii="Arial" w:hAnsi="Arial" w:cs="Arial"/>
          <w:sz w:val="24"/>
          <w:szCs w:val="24"/>
          <w:lang w:val="en-US"/>
        </w:rPr>
        <w:lastRenderedPageBreak/>
        <w:t>84.80%, and 84.75%, recalls of 81.52%, 81.81%, and 82.16%, and F1-scores of 82.63%, 82.57%, and 82.99%.</w:t>
      </w:r>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In terms of efficiency, it is evident that increasing the number of layers to achieve higher scores results in a corresponding increase in training time for both methods. This trend suggests that if we were to increase the number of 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 xml:space="preserve">Observing the progression of the key metrics for this classifier, we see significant volatility with numerous fluctuations in both the training and </w:t>
      </w:r>
      <w:r w:rsidRPr="002A2C6E">
        <w:rPr>
          <w:rFonts w:ascii="Arial" w:hAnsi="Arial" w:cs="Arial"/>
          <w:sz w:val="24"/>
          <w:szCs w:val="24"/>
          <w:lang w:val="en-US"/>
        </w:rPr>
        <w:lastRenderedPageBreak/>
        <w:t>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 xml:space="preserve">In the final steps of this examination, we present a summary and comparison of the results obtained from the top-performing models for both methods across all runs and qubit configurations. This analysis focuses on the scores of the four key metrics, accuracy, precision, recall, and F1-score, while also detailing the number of layers utilized by each best performer, the total count of trainable parameters, and the number of epochs required to reach the reported scores. Finally, we conduct a brief comparison between the average </w:t>
      </w:r>
      <w:r w:rsidRPr="008B27B5">
        <w:rPr>
          <w:rFonts w:ascii="Arial" w:hAnsi="Arial" w:cs="Arial"/>
          <w:sz w:val="24"/>
          <w:szCs w:val="24"/>
          <w:lang w:val="en-US"/>
        </w:rPr>
        <w:lastRenderedPageBreak/>
        <w:t>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Starting with the unbiased case, we observe that the top-performing models exhibit an upward trend until reaching the 4-qubit configuration. Up to that point, all scores remained well above 90%, indicating that the models were 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In terms of epochs, it is evident that the biased models reached their optimal parameter values faster than the unbiased models in almost every instance, with the 4-qubit configuration being the only exception. This provides further 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lastRenderedPageBreak/>
        <w:t>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t>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714CA"/>
    <w:rsid w:val="000A3CA3"/>
    <w:rsid w:val="00151450"/>
    <w:rsid w:val="00197A8D"/>
    <w:rsid w:val="001A255F"/>
    <w:rsid w:val="001A75EA"/>
    <w:rsid w:val="001C194F"/>
    <w:rsid w:val="00262564"/>
    <w:rsid w:val="002A2C6E"/>
    <w:rsid w:val="002D369E"/>
    <w:rsid w:val="002E551B"/>
    <w:rsid w:val="002E58FD"/>
    <w:rsid w:val="003418CB"/>
    <w:rsid w:val="0040278B"/>
    <w:rsid w:val="00416C21"/>
    <w:rsid w:val="00451D4A"/>
    <w:rsid w:val="004811DF"/>
    <w:rsid w:val="004C1065"/>
    <w:rsid w:val="00521FDA"/>
    <w:rsid w:val="00524D50"/>
    <w:rsid w:val="006158C4"/>
    <w:rsid w:val="0072193F"/>
    <w:rsid w:val="00727BD3"/>
    <w:rsid w:val="00733FA6"/>
    <w:rsid w:val="0075519F"/>
    <w:rsid w:val="00770280"/>
    <w:rsid w:val="0077092E"/>
    <w:rsid w:val="00790C70"/>
    <w:rsid w:val="007A45CA"/>
    <w:rsid w:val="007B31C8"/>
    <w:rsid w:val="0082575D"/>
    <w:rsid w:val="00844040"/>
    <w:rsid w:val="0088324F"/>
    <w:rsid w:val="008B27B5"/>
    <w:rsid w:val="00900D15"/>
    <w:rsid w:val="00943E30"/>
    <w:rsid w:val="00944B38"/>
    <w:rsid w:val="00962076"/>
    <w:rsid w:val="00965BCC"/>
    <w:rsid w:val="009745C0"/>
    <w:rsid w:val="00982AEB"/>
    <w:rsid w:val="00A330A5"/>
    <w:rsid w:val="00A6394D"/>
    <w:rsid w:val="00A90FDC"/>
    <w:rsid w:val="00A95B59"/>
    <w:rsid w:val="00AC78E9"/>
    <w:rsid w:val="00C43DDA"/>
    <w:rsid w:val="00C73438"/>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38</Pages>
  <Words>18505</Words>
  <Characters>99933</Characters>
  <Application>Microsoft Office Word</Application>
  <DocSecurity>0</DocSecurity>
  <Lines>832</Lines>
  <Paragraphs>236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39</cp:revision>
  <dcterms:created xsi:type="dcterms:W3CDTF">2026-01-06T19:50:00Z</dcterms:created>
  <dcterms:modified xsi:type="dcterms:W3CDTF">2026-01-16T15:22:00Z</dcterms:modified>
</cp:coreProperties>
</file>