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E75CA" w14:textId="7E7F4C67" w:rsidR="00262564" w:rsidRPr="00D42ED2" w:rsidRDefault="00262564" w:rsidP="00262564">
      <w:pPr>
        <w:pStyle w:val="Web"/>
        <w:rPr>
          <w:rFonts w:asciiTheme="minorHAnsi" w:hAnsiTheme="minorHAnsi" w:cstheme="minorHAnsi"/>
          <w:lang w:val="en-US"/>
        </w:rPr>
      </w:pPr>
      <w:r w:rsidRPr="00D42ED2">
        <w:rPr>
          <w:rFonts w:asciiTheme="minorHAnsi" w:hAnsiTheme="minorHAnsi" w:cstheme="minorHAnsi"/>
          <w:lang w:val="en-US"/>
        </w:rPr>
        <w:t xml:space="preserve">Following the determination that Logistic Regression represents the most efficacious classical machine learning approach for the current tumor classification problem, the research transitions toward the implementation of Quantum Machine Learning (QML) paradigms. Specifically, this study investigates the Variational Quantum Classifier (VQC) to identify optimal sets of trainable parameters that provide a robust and satisfactory solution to the diagnostic task. This exploration involves a systematic evaluation of the VQC's classification capabilities across architectures consisting of 1, 2, 3, 4, and 5 qubits, respectively. To facilitate this, Principal Component Analysis (PCA) is employed to perform the necessary dimensionality reduction, ensuring the input features are structurally compatible with the constraints of the quantum circuits. The computational implementation of this framework is supported by the </w:t>
      </w:r>
      <w:proofErr w:type="spellStart"/>
      <w:r w:rsidRPr="00D42ED2">
        <w:rPr>
          <w:rFonts w:asciiTheme="minorHAnsi" w:hAnsiTheme="minorHAnsi" w:cstheme="minorHAnsi"/>
          <w:lang w:val="en-US"/>
        </w:rPr>
        <w:t>PennyLane</w:t>
      </w:r>
      <w:proofErr w:type="spellEnd"/>
      <w:r w:rsidRPr="00D42ED2">
        <w:rPr>
          <w:rFonts w:asciiTheme="minorHAnsi" w:hAnsiTheme="minorHAnsi" w:cstheme="minorHAnsi"/>
          <w:lang w:val="en-US"/>
        </w:rPr>
        <w:t xml:space="preserve"> Python library for quantum circuit simulation and differentiable programming, while NumPy facilitates essential numerical manipulations. Furthermore, </w:t>
      </w:r>
      <w:proofErr w:type="spellStart"/>
      <w:r w:rsidR="0072193F" w:rsidRPr="00D42ED2">
        <w:rPr>
          <w:rFonts w:asciiTheme="minorHAnsi" w:hAnsiTheme="minorHAnsi" w:cstheme="minorHAnsi"/>
          <w:lang w:val="en-US"/>
        </w:rPr>
        <w:t>pands</w:t>
      </w:r>
      <w:proofErr w:type="spellEnd"/>
      <w:r w:rsidR="0072193F" w:rsidRPr="00D42ED2">
        <w:rPr>
          <w:rFonts w:asciiTheme="minorHAnsi" w:hAnsiTheme="minorHAnsi" w:cstheme="minorHAnsi"/>
          <w:lang w:val="en-US"/>
        </w:rPr>
        <w:t xml:space="preserve"> </w:t>
      </w:r>
      <w:r w:rsidRPr="00D42ED2">
        <w:rPr>
          <w:rFonts w:asciiTheme="minorHAnsi" w:hAnsiTheme="minorHAnsi" w:cstheme="minorHAnsi"/>
          <w:lang w:val="en-US"/>
        </w:rPr>
        <w:t xml:space="preserve">and </w:t>
      </w:r>
      <w:r w:rsidR="0072193F" w:rsidRPr="00D42ED2">
        <w:rPr>
          <w:rFonts w:asciiTheme="minorHAnsi" w:hAnsiTheme="minorHAnsi" w:cstheme="minorHAnsi"/>
          <w:lang w:val="en-US"/>
        </w:rPr>
        <w:t>scikit-learn</w:t>
      </w:r>
      <w:r w:rsidRPr="00D42ED2">
        <w:rPr>
          <w:rFonts w:asciiTheme="minorHAnsi" w:hAnsiTheme="minorHAnsi" w:cstheme="minorHAnsi"/>
          <w:lang w:val="en-US"/>
        </w:rPr>
        <w:t xml:space="preserve"> are utilized for data orchestration and dimensionality reduction, while Seaborn and Matplotlib are employed for high-fidelity data visualization and statistical plotting.</w:t>
      </w:r>
    </w:p>
    <w:p w14:paraId="0AC97956" w14:textId="77777777" w:rsidR="00262564" w:rsidRPr="00D42ED2" w:rsidRDefault="00262564" w:rsidP="00262564">
      <w:pPr>
        <w:pStyle w:val="Web"/>
        <w:rPr>
          <w:rFonts w:asciiTheme="minorHAnsi" w:hAnsiTheme="minorHAnsi" w:cstheme="minorHAnsi"/>
          <w:lang w:val="en-US"/>
        </w:rPr>
      </w:pPr>
      <w:r w:rsidRPr="00D42ED2">
        <w:rPr>
          <w:rFonts w:asciiTheme="minorHAnsi" w:hAnsiTheme="minorHAnsi" w:cstheme="minorHAnsi"/>
          <w:lang w:val="en-US"/>
        </w:rPr>
        <w:t>A critical component of this transition involves a refined approach to data management and integrity, starting with a tripartite division of the dataset. Unlike the previous classical approach, we utilize a 60-20-20 split, wherein 60% of the original data is allocated for model training, 20% is reserved for validation to guide the optimization of variational parameters, and the remaining 20% serves as a dedicated test set for final, unbiased model evaluation. To maintain the statistical integrity of the dataset, class imbalance is meticulously accounted for through stratified sampling across all three subsets, ensuring that the proportional representation of benign and malignant cases remains consistent. Furthermore, to mitigate the significant risks associated with data leakage, we ensure that no information from the validation or test sets influences the training phase. In practical terms, this necessitates that any preprocessing transformers or feature scalers, including the PCA model, are fitted exclusively on the training subset and subsequently applied to the validation and test sets only after the initial stratified split has been performed.</w:t>
      </w:r>
    </w:p>
    <w:p w14:paraId="6E409F7F" w14:textId="06D39A05" w:rsidR="00262564" w:rsidRPr="00D42ED2" w:rsidRDefault="00262564" w:rsidP="00262564">
      <w:pPr>
        <w:pStyle w:val="Web"/>
        <w:rPr>
          <w:rFonts w:asciiTheme="minorHAnsi" w:hAnsiTheme="minorHAnsi" w:cstheme="minorHAnsi"/>
          <w:lang w:val="en-US"/>
        </w:rPr>
      </w:pPr>
      <w:r w:rsidRPr="00D42ED2">
        <w:rPr>
          <w:rFonts w:asciiTheme="minorHAnsi" w:hAnsiTheme="minorHAnsi" w:cstheme="minorHAnsi"/>
          <w:lang w:val="en-US"/>
        </w:rPr>
        <w:t xml:space="preserve">Another significant departure from the classical methodology is the modification of the target label encoding. Rather than the standard binary assignment of 0 for benign and 1 for malignant, we adopt a bipolar encoding scheme where the benign class is represented by </w:t>
      </w:r>
      <w:r w:rsidRPr="00D42ED2">
        <w:rPr>
          <w:rStyle w:val="math-inline"/>
          <w:rFonts w:asciiTheme="minorHAnsi" w:hAnsiTheme="minorHAnsi" w:cstheme="minorHAnsi"/>
          <w:lang w:val="en-US"/>
        </w:rPr>
        <w:t>-1</w:t>
      </w:r>
      <w:r w:rsidRPr="00D42ED2">
        <w:rPr>
          <w:rFonts w:asciiTheme="minorHAnsi" w:hAnsiTheme="minorHAnsi" w:cstheme="minorHAnsi"/>
          <w:lang w:val="en-US"/>
        </w:rPr>
        <w:t xml:space="preserve"> and the malignant class by </w:t>
      </w:r>
      <w:r w:rsidRPr="00D42ED2">
        <w:rPr>
          <w:rStyle w:val="math-inline"/>
          <w:rFonts w:asciiTheme="minorHAnsi" w:hAnsiTheme="minorHAnsi" w:cstheme="minorHAnsi"/>
          <w:lang w:val="en-US"/>
        </w:rPr>
        <w:t>1</w:t>
      </w:r>
      <w:r w:rsidRPr="00D42ED2">
        <w:rPr>
          <w:rFonts w:asciiTheme="minorHAnsi" w:hAnsiTheme="minorHAnsi" w:cstheme="minorHAnsi"/>
          <w:lang w:val="en-US"/>
        </w:rPr>
        <w:t xml:space="preserve">. This preprocessing step is necessitated by the physical nature of the quantum classifier, which essentially utilizes the sign of the output measurement to assign a predicted label to each input vector. This encoding aligns with the measurement of a quantum bit in the computational basis, where expectation values naturally range within the interval </w:t>
      </w:r>
      <w:r w:rsidRPr="00D42ED2">
        <w:rPr>
          <w:rStyle w:val="math-inline"/>
          <w:rFonts w:asciiTheme="minorHAnsi" w:hAnsiTheme="minorHAnsi" w:cstheme="minorHAnsi"/>
          <w:lang w:val="en-US"/>
        </w:rPr>
        <w:t xml:space="preserve">[-1, </w:t>
      </w:r>
      <w:proofErr w:type="gramStart"/>
      <w:r w:rsidRPr="00D42ED2">
        <w:rPr>
          <w:rStyle w:val="math-inline"/>
          <w:rFonts w:asciiTheme="minorHAnsi" w:hAnsiTheme="minorHAnsi" w:cstheme="minorHAnsi"/>
          <w:lang w:val="en-US"/>
        </w:rPr>
        <w:t>1]$</w:t>
      </w:r>
      <w:proofErr w:type="gramEnd"/>
      <w:r w:rsidRPr="00D42ED2">
        <w:rPr>
          <w:rFonts w:asciiTheme="minorHAnsi" w:hAnsiTheme="minorHAnsi" w:cstheme="minorHAnsi"/>
          <w:lang w:val="en-US"/>
        </w:rPr>
        <w:t xml:space="preserve">. Consequently, the Mean Square Error (MSE) is selected as the objective loss function for its simplicity and its compatibility with these continuous expectation values. Notably, during the optimization process, we utilize the raw measurement values rather than their discrete signs to preserve the granular gradient information required for effective training. The rationale behind this specific choice and its </w:t>
      </w:r>
      <w:r w:rsidRPr="00D42ED2">
        <w:rPr>
          <w:rFonts w:asciiTheme="minorHAnsi" w:hAnsiTheme="minorHAnsi" w:cstheme="minorHAnsi"/>
          <w:lang w:val="en-US"/>
        </w:rPr>
        <w:lastRenderedPageBreak/>
        <w:t>impact on the convergence of the model will be expanded upon in subsequent sections of this study.</w:t>
      </w:r>
    </w:p>
    <w:p w14:paraId="4033C160" w14:textId="77777777" w:rsidR="00262564" w:rsidRPr="00D42ED2" w:rsidRDefault="00262564" w:rsidP="00262564">
      <w:pPr>
        <w:pStyle w:val="Web"/>
        <w:rPr>
          <w:rFonts w:asciiTheme="minorHAnsi" w:hAnsiTheme="minorHAnsi" w:cstheme="minorHAnsi"/>
          <w:lang w:val="en-US"/>
        </w:rPr>
      </w:pPr>
      <w:r w:rsidRPr="00D42ED2">
        <w:rPr>
          <w:rFonts w:asciiTheme="minorHAnsi" w:hAnsiTheme="minorHAnsi" w:cstheme="minorHAnsi"/>
          <w:lang w:val="en-US"/>
        </w:rPr>
        <w:t>As a concluding note on the experimental design, the evaluation of the VQC’s performance is streamlined to focus on four primary metrics: Accuracy, Recall, Precision, and the F1-score. By restricting the evaluation to these fundamental indicators, we aim to provide a clear and focused assessment of the VQC’s potential within a medical diagnostic context without the confounding variables introduced by a larger collection of comparative methods. This simplified evaluation framework is intended to illuminate the relative strengths of the quantum approach in comparison to established classical baselines. Having established these methodological differences and the underlying logic of our quantum framework, we now proceed to an in-depth explanation of the specific training, validation, and testing protocols designed for the Variational Quantum Classifier.</w:t>
      </w:r>
    </w:p>
    <w:p w14:paraId="25A866B1" w14:textId="77777777" w:rsidR="00790C70" w:rsidRPr="00790C70" w:rsidRDefault="00790C70" w:rsidP="00790C70">
      <w:pPr>
        <w:spacing w:before="100" w:beforeAutospacing="1" w:after="100" w:afterAutospacing="1" w:line="240" w:lineRule="auto"/>
        <w:rPr>
          <w:rFonts w:eastAsia="Times New Roman" w:cstheme="minorHAnsi"/>
          <w:sz w:val="24"/>
          <w:szCs w:val="24"/>
          <w:lang w:val="en-US" w:eastAsia="el-GR"/>
        </w:rPr>
      </w:pPr>
      <w:r w:rsidRPr="00790C70">
        <w:rPr>
          <w:rFonts w:eastAsia="Times New Roman" w:cstheme="minorHAnsi"/>
          <w:sz w:val="24"/>
          <w:szCs w:val="24"/>
          <w:lang w:val="en-US" w:eastAsia="el-GR"/>
        </w:rPr>
        <w:t>The methodological framework adopted for this research remains consistent across all experimental trials involving Variational Quantum Classifiers (VQCs) of various qubit capacities. This framework is partitioned into two primary segments: the data preparation stage and the training and testing phase. The data preparation process is fundamentally guided by the specific number of qubits utilized in each iteration, primarily involving the implementation of dimensionality reduction techniques and the systematic scaling of the training, validation, and test datasets. Additionally, a preliminary exploratory data visualization of the processed data is conducted to evaluate the spatial separability of the two classes, thereby gauging the inherent complexity of the classification task.</w:t>
      </w:r>
    </w:p>
    <w:p w14:paraId="7F0ECC81" w14:textId="7DD31D99" w:rsidR="00790C70" w:rsidRPr="00790C70" w:rsidRDefault="00790C70" w:rsidP="00790C70">
      <w:pPr>
        <w:spacing w:before="100" w:beforeAutospacing="1" w:after="100" w:afterAutospacing="1" w:line="240" w:lineRule="auto"/>
        <w:rPr>
          <w:rFonts w:eastAsia="Times New Roman" w:cstheme="minorHAnsi"/>
          <w:sz w:val="24"/>
          <w:szCs w:val="24"/>
          <w:lang w:val="en-US" w:eastAsia="el-GR"/>
        </w:rPr>
      </w:pPr>
      <w:r w:rsidRPr="00790C70">
        <w:rPr>
          <w:rFonts w:eastAsia="Times New Roman" w:cstheme="minorHAnsi"/>
          <w:sz w:val="24"/>
          <w:szCs w:val="24"/>
          <w:lang w:val="en-US" w:eastAsia="el-GR"/>
        </w:rPr>
        <w:t xml:space="preserve">Following the completion of the data preprocessing phase for all three subsets, the training and evaluation stage focuses on optimizing the Variational Quantum Classifier using the training and validation sets, followed by a final assessment of its performance on the test set. The fundamental circuit architecture remains invariant regardless of the qubit count and is categorized into three specific components. The initial segment involves data encoding, wherein classical information is mapped into the quantum state. To achieve this, we employ the Amplitude Efficient State Preparation method proposed by </w:t>
      </w:r>
      <w:proofErr w:type="spellStart"/>
      <w:r w:rsidRPr="00790C70">
        <w:rPr>
          <w:rFonts w:eastAsia="Times New Roman" w:cstheme="minorHAnsi"/>
          <w:sz w:val="24"/>
          <w:szCs w:val="24"/>
          <w:lang w:val="en-US" w:eastAsia="el-GR"/>
        </w:rPr>
        <w:t>Petruccione</w:t>
      </w:r>
      <w:proofErr w:type="spellEnd"/>
      <w:r w:rsidRPr="00790C70">
        <w:rPr>
          <w:rFonts w:eastAsia="Times New Roman" w:cstheme="minorHAnsi"/>
          <w:sz w:val="24"/>
          <w:szCs w:val="24"/>
          <w:lang w:val="en-US" w:eastAsia="el-GR"/>
        </w:rPr>
        <w:t xml:space="preserve"> and </w:t>
      </w:r>
      <w:proofErr w:type="spellStart"/>
      <w:r w:rsidRPr="00790C70">
        <w:rPr>
          <w:rFonts w:eastAsia="Times New Roman" w:cstheme="minorHAnsi"/>
          <w:sz w:val="24"/>
          <w:szCs w:val="24"/>
          <w:lang w:val="en-US" w:eastAsia="el-GR"/>
        </w:rPr>
        <w:t>Schuld</w:t>
      </w:r>
      <w:proofErr w:type="spellEnd"/>
      <w:r>
        <w:rPr>
          <w:rFonts w:eastAsia="Times New Roman" w:cstheme="minorHAnsi"/>
          <w:sz w:val="24"/>
          <w:szCs w:val="24"/>
          <w:lang w:val="en-US" w:eastAsia="el-GR"/>
        </w:rPr>
        <w:t xml:space="preserve"> </w:t>
      </w:r>
      <w:r w:rsidRPr="00943E30">
        <w:rPr>
          <w:rFonts w:eastAsia="Times New Roman" w:cstheme="minorHAnsi"/>
          <w:b/>
          <w:bCs/>
          <w:sz w:val="24"/>
          <w:szCs w:val="24"/>
          <w:lang w:val="en-US" w:eastAsia="el-GR"/>
        </w:rPr>
        <w:t>[CITE]</w:t>
      </w:r>
      <w:r w:rsidRPr="00790C70">
        <w:rPr>
          <w:rFonts w:eastAsia="Times New Roman" w:cstheme="minorHAnsi"/>
          <w:sz w:val="24"/>
          <w:szCs w:val="24"/>
          <w:lang w:val="en-US" w:eastAsia="el-GR"/>
        </w:rPr>
        <w:t>, which facilitates the encoding of 2^n features using n qubits by first normalizing the input vectors.</w:t>
      </w:r>
    </w:p>
    <w:p w14:paraId="75C8654D" w14:textId="69E7FAA8" w:rsidR="00790C70" w:rsidRDefault="00790C70" w:rsidP="00790C70">
      <w:pPr>
        <w:spacing w:before="100" w:beforeAutospacing="1" w:after="100" w:afterAutospacing="1" w:line="240" w:lineRule="auto"/>
        <w:rPr>
          <w:rFonts w:eastAsia="Times New Roman" w:cstheme="minorHAnsi"/>
          <w:sz w:val="24"/>
          <w:szCs w:val="24"/>
          <w:lang w:val="en-US" w:eastAsia="el-GR"/>
        </w:rPr>
      </w:pPr>
      <w:r w:rsidRPr="00790C70">
        <w:rPr>
          <w:rFonts w:eastAsia="Times New Roman" w:cstheme="minorHAnsi"/>
          <w:sz w:val="24"/>
          <w:szCs w:val="24"/>
          <w:lang w:val="en-US" w:eastAsia="el-GR"/>
        </w:rPr>
        <w:t>In cases where the number of features is less than 2^n, the input vector is padded with a constant value of 0.1 to satisfy the dimensionality requirements of the encoding scheme. This padding ensures that the input dimensions remain consistent with the Hilbert space of the chosen qubit configuration. This segment is crucial as it defines the initial state of the quantum system before any transformations occur in the variational layers.</w:t>
      </w:r>
    </w:p>
    <w:p w14:paraId="6EFCB648" w14:textId="6C4EF187" w:rsidR="00900D15" w:rsidRPr="00900D15" w:rsidRDefault="00900D15" w:rsidP="00900D15">
      <w:pPr>
        <w:spacing w:before="100" w:beforeAutospacing="1" w:after="100" w:afterAutospacing="1" w:line="240" w:lineRule="auto"/>
        <w:rPr>
          <w:rFonts w:eastAsia="Times New Roman" w:cstheme="minorHAnsi"/>
          <w:sz w:val="24"/>
          <w:szCs w:val="24"/>
          <w:lang w:val="en-US" w:eastAsia="el-GR"/>
        </w:rPr>
      </w:pPr>
      <w:r w:rsidRPr="00900D15">
        <w:rPr>
          <w:rFonts w:eastAsia="Times New Roman" w:cstheme="minorHAnsi"/>
          <w:sz w:val="24"/>
          <w:szCs w:val="24"/>
          <w:lang w:val="en-US" w:eastAsia="el-GR"/>
        </w:rPr>
        <w:t xml:space="preserve">The second component comprises the variational segment, which incorporates the system's trainable parameters. Drawing inspiration from the work of </w:t>
      </w:r>
      <w:proofErr w:type="spellStart"/>
      <w:r w:rsidRPr="00900D15">
        <w:rPr>
          <w:rFonts w:eastAsia="Times New Roman" w:cstheme="minorHAnsi"/>
          <w:sz w:val="24"/>
          <w:szCs w:val="24"/>
          <w:lang w:val="en-US" w:eastAsia="el-GR"/>
        </w:rPr>
        <w:t>Schuld</w:t>
      </w:r>
      <w:proofErr w:type="spellEnd"/>
      <w:r w:rsidRPr="00900D15">
        <w:rPr>
          <w:rFonts w:eastAsia="Times New Roman" w:cstheme="minorHAnsi"/>
          <w:sz w:val="24"/>
          <w:szCs w:val="24"/>
          <w:lang w:val="en-US" w:eastAsia="el-GR"/>
        </w:rPr>
        <w:t xml:space="preserve"> </w:t>
      </w:r>
      <w:proofErr w:type="gramStart"/>
      <w:r w:rsidRPr="00900D15">
        <w:rPr>
          <w:rFonts w:eastAsia="Times New Roman" w:cstheme="minorHAnsi"/>
          <w:sz w:val="24"/>
          <w:szCs w:val="24"/>
          <w:lang w:val="en-US" w:eastAsia="el-GR"/>
        </w:rPr>
        <w:t>et al.</w:t>
      </w:r>
      <w:r w:rsidR="00943E30" w:rsidRPr="00943E30">
        <w:rPr>
          <w:rFonts w:eastAsia="Times New Roman" w:cstheme="minorHAnsi"/>
          <w:b/>
          <w:bCs/>
          <w:sz w:val="24"/>
          <w:szCs w:val="24"/>
          <w:lang w:val="en-US" w:eastAsia="el-GR"/>
        </w:rPr>
        <w:t>[</w:t>
      </w:r>
      <w:proofErr w:type="gramEnd"/>
      <w:r w:rsidR="00943E30">
        <w:rPr>
          <w:rFonts w:eastAsia="Times New Roman" w:cstheme="minorHAnsi"/>
          <w:b/>
          <w:bCs/>
          <w:sz w:val="24"/>
          <w:szCs w:val="24"/>
          <w:lang w:val="en-US" w:eastAsia="el-GR"/>
        </w:rPr>
        <w:t>CITE]</w:t>
      </w:r>
      <w:r w:rsidRPr="00900D15">
        <w:rPr>
          <w:rFonts w:eastAsia="Times New Roman" w:cstheme="minorHAnsi"/>
          <w:sz w:val="24"/>
          <w:szCs w:val="24"/>
          <w:lang w:val="en-US" w:eastAsia="el-GR"/>
        </w:rPr>
        <w:t xml:space="preserve"> and contemporary methodologies in classical neural networks, this architectural section consists of layers that are repeated for a predetermined </w:t>
      </w:r>
      <w:r w:rsidRPr="00900D15">
        <w:rPr>
          <w:rFonts w:eastAsia="Times New Roman" w:cstheme="minorHAnsi"/>
          <w:sz w:val="24"/>
          <w:szCs w:val="24"/>
          <w:lang w:val="en-US" w:eastAsia="el-GR"/>
        </w:rPr>
        <w:lastRenderedPageBreak/>
        <w:t xml:space="preserve">number of iterations. Each layer is composed of a sequence of single-qubit rotation gates followed by Controlled-NOT (CNOT) gates to facilitate multi-qubit entanglement. Adopting the notation utilized by the </w:t>
      </w:r>
      <w:proofErr w:type="spellStart"/>
      <w:r w:rsidRPr="00900D15">
        <w:rPr>
          <w:rFonts w:eastAsia="Times New Roman" w:cstheme="minorHAnsi"/>
          <w:sz w:val="24"/>
          <w:szCs w:val="24"/>
          <w:lang w:val="en-US" w:eastAsia="el-GR"/>
        </w:rPr>
        <w:t>PennyLane</w:t>
      </w:r>
      <w:proofErr w:type="spellEnd"/>
      <w:r w:rsidRPr="00900D15">
        <w:rPr>
          <w:rFonts w:eastAsia="Times New Roman" w:cstheme="minorHAnsi"/>
          <w:sz w:val="24"/>
          <w:szCs w:val="24"/>
          <w:lang w:val="en-US" w:eastAsia="el-GR"/>
        </w:rPr>
        <w:t xml:space="preserve"> library, the single-qubit rotation gates are implemented as arbitrary rotations, defined mathematically as </w:t>
      </w:r>
      <w:proofErr w:type="gramStart"/>
      <w:r w:rsidRPr="00900D15">
        <w:rPr>
          <w:rFonts w:eastAsia="Times New Roman" w:cstheme="minorHAnsi"/>
          <w:sz w:val="24"/>
          <w:szCs w:val="24"/>
          <w:lang w:val="en-US" w:eastAsia="el-GR"/>
        </w:rPr>
        <w:t>R(</w:t>
      </w:r>
      <w:proofErr w:type="gramEnd"/>
      <w:r>
        <w:rPr>
          <w:rFonts w:eastAsia="Times New Roman" w:cstheme="minorHAnsi"/>
          <w:sz w:val="24"/>
          <w:szCs w:val="24"/>
          <w:lang w:eastAsia="el-GR"/>
        </w:rPr>
        <w:t>φ</w:t>
      </w:r>
      <w:r w:rsidRPr="00900D15">
        <w:rPr>
          <w:rFonts w:eastAsia="Times New Roman" w:cstheme="minorHAnsi"/>
          <w:sz w:val="24"/>
          <w:szCs w:val="24"/>
          <w:lang w:val="en-US" w:eastAsia="el-GR"/>
        </w:rPr>
        <w:t xml:space="preserve">, </w:t>
      </w:r>
      <w:r>
        <w:rPr>
          <w:rFonts w:eastAsia="Times New Roman" w:cstheme="minorHAnsi"/>
          <w:sz w:val="24"/>
          <w:szCs w:val="24"/>
          <w:lang w:eastAsia="el-GR"/>
        </w:rPr>
        <w:t>θ</w:t>
      </w:r>
      <w:r w:rsidRPr="00900D15">
        <w:rPr>
          <w:rFonts w:eastAsia="Times New Roman" w:cstheme="minorHAnsi"/>
          <w:sz w:val="24"/>
          <w:szCs w:val="24"/>
          <w:lang w:val="en-US" w:eastAsia="el-GR"/>
        </w:rPr>
        <w:t xml:space="preserve">, </w:t>
      </w:r>
      <w:r>
        <w:rPr>
          <w:rFonts w:eastAsia="Times New Roman" w:cstheme="minorHAnsi"/>
          <w:sz w:val="24"/>
          <w:szCs w:val="24"/>
          <w:lang w:eastAsia="el-GR"/>
        </w:rPr>
        <w:t>ω</w:t>
      </w:r>
      <w:r w:rsidRPr="00900D15">
        <w:rPr>
          <w:rFonts w:eastAsia="Times New Roman" w:cstheme="minorHAnsi"/>
          <w:sz w:val="24"/>
          <w:szCs w:val="24"/>
          <w:lang w:val="en-US" w:eastAsia="el-GR"/>
        </w:rPr>
        <w:t>) = RZ(</w:t>
      </w:r>
      <w:r>
        <w:rPr>
          <w:rFonts w:eastAsia="Times New Roman" w:cstheme="minorHAnsi"/>
          <w:sz w:val="24"/>
          <w:szCs w:val="24"/>
          <w:lang w:eastAsia="el-GR"/>
        </w:rPr>
        <w:t>ω</w:t>
      </w:r>
      <w:r w:rsidRPr="00900D15">
        <w:rPr>
          <w:rFonts w:eastAsia="Times New Roman" w:cstheme="minorHAnsi"/>
          <w:sz w:val="24"/>
          <w:szCs w:val="24"/>
          <w:lang w:val="en-US" w:eastAsia="el-GR"/>
        </w:rPr>
        <w:t>)RY(</w:t>
      </w:r>
      <w:r>
        <w:rPr>
          <w:rFonts w:eastAsia="Times New Roman" w:cstheme="minorHAnsi"/>
          <w:sz w:val="24"/>
          <w:szCs w:val="24"/>
          <w:lang w:eastAsia="el-GR"/>
        </w:rPr>
        <w:t>θ</w:t>
      </w:r>
      <w:r w:rsidRPr="00900D15">
        <w:rPr>
          <w:rFonts w:eastAsia="Times New Roman" w:cstheme="minorHAnsi"/>
          <w:sz w:val="24"/>
          <w:szCs w:val="24"/>
          <w:lang w:val="en-US" w:eastAsia="el-GR"/>
        </w:rPr>
        <w:t>)RZ(</w:t>
      </w:r>
      <w:r>
        <w:rPr>
          <w:rFonts w:eastAsia="Times New Roman" w:cstheme="minorHAnsi"/>
          <w:sz w:val="24"/>
          <w:szCs w:val="24"/>
          <w:lang w:eastAsia="el-GR"/>
        </w:rPr>
        <w:t>φ</w:t>
      </w:r>
      <w:r w:rsidRPr="00900D15">
        <w:rPr>
          <w:rFonts w:eastAsia="Times New Roman" w:cstheme="minorHAnsi"/>
          <w:sz w:val="24"/>
          <w:szCs w:val="24"/>
          <w:lang w:val="en-US" w:eastAsia="el-GR"/>
        </w:rPr>
        <w:t xml:space="preserve">). This sequence represents a rotation around the z-axis by an angle </w:t>
      </w:r>
      <w:r>
        <w:rPr>
          <w:rFonts w:eastAsia="Times New Roman" w:cstheme="minorHAnsi"/>
          <w:sz w:val="24"/>
          <w:szCs w:val="24"/>
          <w:lang w:eastAsia="el-GR"/>
        </w:rPr>
        <w:t>ω</w:t>
      </w:r>
      <w:r w:rsidRPr="00900D15">
        <w:rPr>
          <w:rFonts w:eastAsia="Times New Roman" w:cstheme="minorHAnsi"/>
          <w:sz w:val="24"/>
          <w:szCs w:val="24"/>
          <w:lang w:val="en-US" w:eastAsia="el-GR"/>
        </w:rPr>
        <w:t xml:space="preserve">, followed by a rotation around the y-axis by </w:t>
      </w:r>
      <w:r>
        <w:rPr>
          <w:rFonts w:eastAsia="Times New Roman" w:cstheme="minorHAnsi"/>
          <w:sz w:val="24"/>
          <w:szCs w:val="24"/>
          <w:lang w:eastAsia="el-GR"/>
        </w:rPr>
        <w:t>θ</w:t>
      </w:r>
      <w:r w:rsidRPr="00900D15">
        <w:rPr>
          <w:rFonts w:eastAsia="Times New Roman" w:cstheme="minorHAnsi"/>
          <w:sz w:val="24"/>
          <w:szCs w:val="24"/>
          <w:lang w:val="en-US" w:eastAsia="el-GR"/>
        </w:rPr>
        <w:t xml:space="preserve">, and a final rotation around the z-axis by </w:t>
      </w:r>
      <w:r>
        <w:rPr>
          <w:rFonts w:eastAsia="Times New Roman" w:cstheme="minorHAnsi"/>
          <w:sz w:val="24"/>
          <w:szCs w:val="24"/>
          <w:lang w:eastAsia="el-GR"/>
        </w:rPr>
        <w:t>φ</w:t>
      </w:r>
      <w:r w:rsidRPr="00900D15">
        <w:rPr>
          <w:rFonts w:eastAsia="Times New Roman" w:cstheme="minorHAnsi"/>
          <w:sz w:val="24"/>
          <w:szCs w:val="24"/>
          <w:lang w:val="en-US" w:eastAsia="el-GR"/>
        </w:rPr>
        <w:t>.</w:t>
      </w:r>
    </w:p>
    <w:p w14:paraId="6FE9E9C8" w14:textId="58D66432" w:rsidR="00900D15" w:rsidRDefault="00900D15" w:rsidP="00900D15">
      <w:pPr>
        <w:spacing w:before="100" w:beforeAutospacing="1" w:after="100" w:afterAutospacing="1" w:line="240" w:lineRule="auto"/>
        <w:rPr>
          <w:rFonts w:eastAsia="Times New Roman" w:cstheme="minorHAnsi"/>
          <w:sz w:val="24"/>
          <w:szCs w:val="24"/>
          <w:lang w:val="en-US" w:eastAsia="el-GR"/>
        </w:rPr>
      </w:pPr>
      <w:r w:rsidRPr="00900D15">
        <w:rPr>
          <w:rFonts w:eastAsia="Times New Roman" w:cstheme="minorHAnsi"/>
          <w:sz w:val="24"/>
          <w:szCs w:val="24"/>
          <w:lang w:val="en-US" w:eastAsia="el-GR"/>
        </w:rPr>
        <w:t>This specific configuration of gates allows the model to navigate the Hilbert space effectively, with these rotation angles serving as the primary trainable quantum parameters. Consequently, the number of trainable parameters per layer scales linearly with the number of qubits: three for a single qubit, six for two qubits, nine for three qubits, twelve for four qubits, and fifteen for a five-qubit configuration. Crucially, these parameter values are unique to each layer; for instance, a single-qubit classifier utilizing two variational layers would comprise six distinct trainable parameters. As such, the total parameter space expands rapidly in relation to both circuit width and depth.</w:t>
      </w:r>
    </w:p>
    <w:p w14:paraId="48579D0A" w14:textId="10DD9ECD" w:rsidR="00943E30" w:rsidRPr="00943E30" w:rsidRDefault="00943E30" w:rsidP="00943E30">
      <w:pPr>
        <w:spacing w:after="0" w:line="240" w:lineRule="auto"/>
        <w:rPr>
          <w:rFonts w:eastAsia="Times New Roman" w:cstheme="minorHAnsi"/>
          <w:sz w:val="24"/>
          <w:szCs w:val="24"/>
          <w:lang w:val="en-US" w:eastAsia="el-GR"/>
        </w:rPr>
      </w:pPr>
      <w:r w:rsidRPr="00943E30">
        <w:rPr>
          <w:rFonts w:eastAsia="Times New Roman" w:cstheme="minorHAnsi"/>
          <w:sz w:val="24"/>
          <w:szCs w:val="24"/>
          <w:lang w:val="en-US" w:eastAsia="el-GR"/>
        </w:rPr>
        <w:t>The third and final component of the Variational Quantum Classifier architecture is the measurement stage, during which the quantum state is collapsed to extract classical information. To maintain a streamlined and interpretable framework, the measurement is restricted to the first qubit of the circuit. The integration of Controlled-NOT gates in the preceding layers is critical at this stage, as the entanglement generated by these multi-qubit operations ensures that the state of the primary qubit is inextricably linked to the states of all other qubits in the register. Consequently, the expectation value derived from the first qubit, typically obtained through measurement in the Z basis, reflects a global state influenced by the entire circuit. This approach exploits the intrinsic properties of quantum entanglement, where a measurement on a single subsystem provides representative insights into the collective quantum state of the system. An illustrative representation of a VQC configuration comprising two qubits and six layers is provided below to clarify this architectural design.</w:t>
      </w:r>
      <w:r w:rsidRPr="00943E30">
        <w:rPr>
          <w:rFonts w:eastAsia="Times New Roman" w:cstheme="minorHAnsi"/>
          <w:sz w:val="24"/>
          <w:szCs w:val="24"/>
          <w:lang w:val="en-US" w:eastAsia="el-GR"/>
        </w:rPr>
        <w:t xml:space="preserve"> </w:t>
      </w:r>
      <w:r w:rsidRPr="00943E30">
        <w:rPr>
          <w:b/>
          <w:bCs/>
          <w:sz w:val="24"/>
          <w:szCs w:val="24"/>
          <w:lang w:val="en-US"/>
        </w:rPr>
        <w:t>[IMAGE OF 2QUBITs-6LAYERS]</w:t>
      </w:r>
    </w:p>
    <w:p w14:paraId="63FCE8C2" w14:textId="77777777" w:rsidR="00943E30" w:rsidRPr="00943E30" w:rsidRDefault="00943E30" w:rsidP="00943E30">
      <w:pPr>
        <w:spacing w:before="100" w:beforeAutospacing="1" w:after="100" w:afterAutospacing="1" w:line="240" w:lineRule="auto"/>
        <w:rPr>
          <w:rFonts w:eastAsia="Times New Roman" w:cstheme="minorHAnsi"/>
          <w:sz w:val="24"/>
          <w:szCs w:val="24"/>
          <w:lang w:val="en-US" w:eastAsia="el-GR"/>
        </w:rPr>
      </w:pPr>
      <w:r w:rsidRPr="00943E30">
        <w:rPr>
          <w:rFonts w:eastAsia="Times New Roman" w:cstheme="minorHAnsi"/>
          <w:sz w:val="24"/>
          <w:szCs w:val="24"/>
          <w:lang w:val="en-US" w:eastAsia="el-GR"/>
        </w:rPr>
        <w:t>To derive the final predictive output of the circuit, we extract the expectation value from the measurement of the first qubit. To this result, we introduce a classical scalar known as a bias term, which is initially set to zero. Consequently, the decision function of the classifier is defined as the summation of the quantum circuit's measurement and this classical value. We distinguish between two primary configurations: the unbiased Variational Quantum Classifier, where the bias remains fixed at zero to evaluate a strictly quantum-mechanical approach, and the biased VQC, where the bias is integrated into the optimization pipeline as an additional trainable parameter.</w:t>
      </w:r>
    </w:p>
    <w:p w14:paraId="787A3AC2" w14:textId="6A6DEE6D" w:rsidR="00943E30" w:rsidRDefault="00943E30" w:rsidP="00943E30">
      <w:pPr>
        <w:spacing w:before="100" w:beforeAutospacing="1" w:after="100" w:afterAutospacing="1" w:line="240" w:lineRule="auto"/>
        <w:rPr>
          <w:rFonts w:eastAsia="Times New Roman" w:cstheme="minorHAnsi"/>
          <w:sz w:val="24"/>
          <w:szCs w:val="24"/>
          <w:lang w:val="en-US" w:eastAsia="el-GR"/>
        </w:rPr>
      </w:pPr>
      <w:r w:rsidRPr="00943E30">
        <w:rPr>
          <w:rFonts w:eastAsia="Times New Roman" w:cstheme="minorHAnsi"/>
          <w:sz w:val="24"/>
          <w:szCs w:val="24"/>
          <w:lang w:val="en-US" w:eastAsia="el-GR"/>
        </w:rPr>
        <w:t xml:space="preserve">In the biased configuration, the parameter is optimized through classical gradient-based methods alongside the variational rotation angles. The objective of this distinction is to systematically observe the performance variance between a purely quantum model and a hybrid system, where the quantum output is either bolstered </w:t>
      </w:r>
      <w:r w:rsidRPr="00943E30">
        <w:rPr>
          <w:rFonts w:eastAsia="Times New Roman" w:cstheme="minorHAnsi"/>
          <w:sz w:val="24"/>
          <w:szCs w:val="24"/>
          <w:lang w:val="en-US" w:eastAsia="el-GR"/>
        </w:rPr>
        <w:lastRenderedPageBreak/>
        <w:t xml:space="preserve">or refined by a classical offset. It is hypothesized that for architectures characterized by low qubit counts and minimal circuit </w:t>
      </w:r>
      <w:proofErr w:type="spellStart"/>
      <w:proofErr w:type="gramStart"/>
      <w:r w:rsidRPr="00943E30">
        <w:rPr>
          <w:rFonts w:eastAsia="Times New Roman" w:cstheme="minorHAnsi"/>
          <w:sz w:val="24"/>
          <w:szCs w:val="24"/>
          <w:lang w:val="en-US" w:eastAsia="el-GR"/>
        </w:rPr>
        <w:t>depth</w:t>
      </w:r>
      <w:r w:rsidR="00524D50">
        <w:rPr>
          <w:rFonts w:eastAsia="Times New Roman" w:cstheme="minorHAnsi"/>
          <w:sz w:val="24"/>
          <w:szCs w:val="24"/>
          <w:lang w:val="en-US" w:eastAsia="el-GR"/>
        </w:rPr>
        <w:t>,</w:t>
      </w:r>
      <w:r w:rsidRPr="00943E30">
        <w:rPr>
          <w:rFonts w:eastAsia="Times New Roman" w:cstheme="minorHAnsi"/>
          <w:sz w:val="24"/>
          <w:szCs w:val="24"/>
          <w:lang w:val="en-US" w:eastAsia="el-GR"/>
        </w:rPr>
        <w:t>where</w:t>
      </w:r>
      <w:proofErr w:type="spellEnd"/>
      <w:proofErr w:type="gramEnd"/>
      <w:r w:rsidRPr="00943E30">
        <w:rPr>
          <w:rFonts w:eastAsia="Times New Roman" w:cstheme="minorHAnsi"/>
          <w:sz w:val="24"/>
          <w:szCs w:val="24"/>
          <w:lang w:val="en-US" w:eastAsia="el-GR"/>
        </w:rPr>
        <w:t xml:space="preserve"> the problem complexity is relatively </w:t>
      </w:r>
      <w:proofErr w:type="spellStart"/>
      <w:r w:rsidRPr="00943E30">
        <w:rPr>
          <w:rFonts w:eastAsia="Times New Roman" w:cstheme="minorHAnsi"/>
          <w:sz w:val="24"/>
          <w:szCs w:val="24"/>
          <w:lang w:val="en-US" w:eastAsia="el-GR"/>
        </w:rPr>
        <w:t>low</w:t>
      </w:r>
      <w:r w:rsidR="00524D50">
        <w:rPr>
          <w:rFonts w:eastAsia="Times New Roman" w:cstheme="minorHAnsi"/>
          <w:sz w:val="24"/>
          <w:szCs w:val="24"/>
          <w:lang w:val="en-US" w:eastAsia="el-GR"/>
        </w:rPr>
        <w:t>,</w:t>
      </w:r>
      <w:r w:rsidRPr="00943E30">
        <w:rPr>
          <w:rFonts w:eastAsia="Times New Roman" w:cstheme="minorHAnsi"/>
          <w:sz w:val="24"/>
          <w:szCs w:val="24"/>
          <w:lang w:val="en-US" w:eastAsia="el-GR"/>
        </w:rPr>
        <w:t>the</w:t>
      </w:r>
      <w:proofErr w:type="spellEnd"/>
      <w:r w:rsidRPr="00943E30">
        <w:rPr>
          <w:rFonts w:eastAsia="Times New Roman" w:cstheme="minorHAnsi"/>
          <w:sz w:val="24"/>
          <w:szCs w:val="24"/>
          <w:lang w:val="en-US" w:eastAsia="el-GR"/>
        </w:rPr>
        <w:t xml:space="preserve"> contribution of the bias term may be negligible. However, its utility is expected to become more pronounced as the system scales in complexity, specifically when increasing the number of qubits and variational layers.</w:t>
      </w:r>
    </w:p>
    <w:p w14:paraId="1660CD00" w14:textId="6BC4CFE4" w:rsidR="0088324F" w:rsidRDefault="0088324F" w:rsidP="00943E30">
      <w:pPr>
        <w:spacing w:before="100" w:beforeAutospacing="1" w:after="100" w:afterAutospacing="1" w:line="240" w:lineRule="auto"/>
        <w:rPr>
          <w:sz w:val="24"/>
          <w:szCs w:val="24"/>
          <w:lang w:val="en-US"/>
        </w:rPr>
      </w:pPr>
      <w:r w:rsidRPr="0088324F">
        <w:rPr>
          <w:sz w:val="24"/>
          <w:szCs w:val="24"/>
          <w:lang w:val="en-US"/>
        </w:rPr>
        <w:t>To identify the optimal configuration of trainable parameters</w:t>
      </w:r>
      <w:r w:rsidRPr="0088324F">
        <w:rPr>
          <w:sz w:val="24"/>
          <w:szCs w:val="24"/>
          <w:lang w:val="en-US"/>
        </w:rPr>
        <w:t xml:space="preserve">, </w:t>
      </w:r>
      <w:r w:rsidRPr="0088324F">
        <w:rPr>
          <w:sz w:val="24"/>
          <w:szCs w:val="24"/>
          <w:lang w:val="en-US"/>
        </w:rPr>
        <w:t>whether strictly quantum or a hybrid of quantum and classical</w:t>
      </w:r>
      <w:r w:rsidRPr="0088324F">
        <w:rPr>
          <w:sz w:val="24"/>
          <w:szCs w:val="24"/>
          <w:lang w:val="en-US"/>
        </w:rPr>
        <w:t xml:space="preserve">, </w:t>
      </w:r>
      <w:r w:rsidRPr="0088324F">
        <w:rPr>
          <w:sz w:val="24"/>
          <w:szCs w:val="24"/>
          <w:lang w:val="en-US"/>
        </w:rPr>
        <w:t>we evaluate various layer depths while training the Variational Classifier over a set number of epochs, adjusted according to the qubit count. The optimization process begins with the stochastic initialization of the circuit’s variational parameters to small random values, while the classical bias is initialized at zero. Subsequently, we utilize the objective loss function and a classical optimizer to iteratively update the quantum rotation angles; in the specific case of the biased classifier, the classical bias parameter is optimized concurrently.</w:t>
      </w:r>
    </w:p>
    <w:p w14:paraId="2A502606" w14:textId="77777777" w:rsidR="0088324F" w:rsidRPr="0088324F" w:rsidRDefault="0088324F" w:rsidP="0088324F">
      <w:pPr>
        <w:spacing w:before="100" w:beforeAutospacing="1" w:after="100" w:afterAutospacing="1" w:line="240" w:lineRule="auto"/>
        <w:rPr>
          <w:rFonts w:eastAsia="Times New Roman" w:cstheme="minorHAnsi"/>
          <w:sz w:val="24"/>
          <w:szCs w:val="24"/>
          <w:lang w:val="en-US" w:eastAsia="el-GR"/>
        </w:rPr>
      </w:pPr>
      <w:r w:rsidRPr="0088324F">
        <w:rPr>
          <w:rFonts w:eastAsia="Times New Roman" w:cstheme="minorHAnsi"/>
          <w:sz w:val="24"/>
          <w:szCs w:val="24"/>
          <w:lang w:val="en-US" w:eastAsia="el-GR"/>
        </w:rPr>
        <w:t>Throughout the optimization process, the classifier is evaluated using the previously unseen validation set to assess its generalization capability. Using a batch size consistent with the training phase, validation data is processed to generate predicted labels, from which the accuracy, precision, recall, and F1-score are calculated. To facilitate a comprehensive analysis of the model's evolution, performance metrics are simultaneously recorded for the training set.</w:t>
      </w:r>
    </w:p>
    <w:p w14:paraId="5FCF81E1" w14:textId="77777777" w:rsidR="0088324F" w:rsidRPr="0088324F" w:rsidRDefault="0088324F" w:rsidP="0088324F">
      <w:pPr>
        <w:spacing w:before="100" w:beforeAutospacing="1" w:after="100" w:afterAutospacing="1" w:line="240" w:lineRule="auto"/>
        <w:rPr>
          <w:rFonts w:eastAsia="Times New Roman" w:cstheme="minorHAnsi"/>
          <w:sz w:val="24"/>
          <w:szCs w:val="24"/>
          <w:lang w:val="en-US" w:eastAsia="el-GR"/>
        </w:rPr>
      </w:pPr>
      <w:r w:rsidRPr="0088324F">
        <w:rPr>
          <w:rFonts w:eastAsia="Times New Roman" w:cstheme="minorHAnsi"/>
          <w:sz w:val="24"/>
          <w:szCs w:val="24"/>
          <w:lang w:val="en-US" w:eastAsia="el-GR"/>
        </w:rPr>
        <w:t>This comparative approach allows for a detailed assessment of the model's learning trajectory and helps identify potential occurrences of overfitting or underfitting. Furthermore, tracking the progression of the cost function across both training and validation inputs is imperative for understanding convergence behavior and the stability of the optimization.</w:t>
      </w:r>
    </w:p>
    <w:p w14:paraId="36B67C71" w14:textId="125EF15A" w:rsidR="0088324F" w:rsidRDefault="0088324F" w:rsidP="0088324F">
      <w:pPr>
        <w:spacing w:before="100" w:beforeAutospacing="1" w:after="100" w:afterAutospacing="1" w:line="240" w:lineRule="auto"/>
        <w:rPr>
          <w:rFonts w:eastAsia="Times New Roman" w:cstheme="minorHAnsi"/>
          <w:sz w:val="24"/>
          <w:szCs w:val="24"/>
          <w:lang w:val="en-US" w:eastAsia="el-GR"/>
        </w:rPr>
      </w:pPr>
      <w:r w:rsidRPr="0088324F">
        <w:rPr>
          <w:rFonts w:eastAsia="Times New Roman" w:cstheme="minorHAnsi"/>
          <w:sz w:val="24"/>
          <w:szCs w:val="24"/>
          <w:lang w:val="en-US" w:eastAsia="el-GR"/>
        </w:rPr>
        <w:t>The specific parameters associated with the highest validation performance are preserved, along with the epoch count required to achieve this optimal state. Ultimately, these optimized parameters are utilized to perform inference on the held-out test set, providing an unbiased evaluation of the Variational Quantum Classifier's performance and its efficacy in solving the tumor classification problem.</w:t>
      </w:r>
    </w:p>
    <w:p w14:paraId="611B87DD" w14:textId="72BA8BA1" w:rsidR="0088324F" w:rsidRPr="0088324F" w:rsidRDefault="0088324F" w:rsidP="0088324F">
      <w:pPr>
        <w:spacing w:before="100" w:beforeAutospacing="1" w:after="100" w:afterAutospacing="1" w:line="240" w:lineRule="auto"/>
        <w:rPr>
          <w:rFonts w:eastAsia="Times New Roman" w:cstheme="minorHAnsi"/>
          <w:sz w:val="24"/>
          <w:szCs w:val="24"/>
          <w:lang w:val="en-US" w:eastAsia="el-GR"/>
        </w:rPr>
      </w:pPr>
      <w:r w:rsidRPr="0088324F">
        <w:rPr>
          <w:rFonts w:eastAsia="Times New Roman" w:cstheme="minorHAnsi"/>
          <w:sz w:val="24"/>
          <w:szCs w:val="24"/>
          <w:lang w:val="en-US" w:eastAsia="el-GR"/>
        </w:rPr>
        <w:t>To ensure a robust assessment of the generalization capabilities of the Variational Quantum Classifier, the aforementioned experimental procedure is repeated ten times for each specific layer configuration. This iterative approach facilitates a rigorous statistical analysis of the correlation between circuit depth</w:t>
      </w:r>
      <w:r>
        <w:rPr>
          <w:rFonts w:eastAsia="Times New Roman" w:cstheme="minorHAnsi"/>
          <w:sz w:val="24"/>
          <w:szCs w:val="24"/>
          <w:lang w:val="en-US" w:eastAsia="el-GR"/>
        </w:rPr>
        <w:t xml:space="preserve">, </w:t>
      </w:r>
      <w:r w:rsidRPr="0088324F">
        <w:rPr>
          <w:rFonts w:eastAsia="Times New Roman" w:cstheme="minorHAnsi"/>
          <w:sz w:val="24"/>
          <w:szCs w:val="24"/>
          <w:lang w:val="en-US" w:eastAsia="el-GR"/>
        </w:rPr>
        <w:t>and the concomitant increase in the total number of trainable parameters</w:t>
      </w:r>
      <w:r>
        <w:rPr>
          <w:rFonts w:eastAsia="Times New Roman" w:cstheme="minorHAnsi"/>
          <w:sz w:val="24"/>
          <w:szCs w:val="24"/>
          <w:lang w:val="en-US" w:eastAsia="el-GR"/>
        </w:rPr>
        <w:t xml:space="preserve">, </w:t>
      </w:r>
      <w:r w:rsidRPr="0088324F">
        <w:rPr>
          <w:rFonts w:eastAsia="Times New Roman" w:cstheme="minorHAnsi"/>
          <w:sz w:val="24"/>
          <w:szCs w:val="24"/>
          <w:lang w:val="en-US" w:eastAsia="el-GR"/>
        </w:rPr>
        <w:t>and the resulting model performance. By conducting multiple independent trials, the methodology accounts for the stochasticity inherent in parameter initialization and the non-convex nature of the optimization landscape, thereby providing a more statistically significant estimation of the model’s predictive stability and performance across different initial conditions.</w:t>
      </w:r>
    </w:p>
    <w:p w14:paraId="7838018C" w14:textId="1C1581C6" w:rsidR="0088324F" w:rsidRDefault="0088324F" w:rsidP="0088324F">
      <w:pPr>
        <w:spacing w:before="100" w:beforeAutospacing="1" w:after="100" w:afterAutospacing="1" w:line="240" w:lineRule="auto"/>
        <w:rPr>
          <w:rFonts w:eastAsia="Times New Roman" w:cstheme="minorHAnsi"/>
          <w:sz w:val="24"/>
          <w:szCs w:val="24"/>
          <w:lang w:val="en-US" w:eastAsia="el-GR"/>
        </w:rPr>
      </w:pPr>
      <w:r w:rsidRPr="0088324F">
        <w:rPr>
          <w:rFonts w:eastAsia="Times New Roman" w:cstheme="minorHAnsi"/>
          <w:sz w:val="24"/>
          <w:szCs w:val="24"/>
          <w:lang w:val="en-US" w:eastAsia="el-GR"/>
        </w:rPr>
        <w:lastRenderedPageBreak/>
        <w:t xml:space="preserve">Furthermore, the mean number of epochs required for </w:t>
      </w:r>
      <w:r>
        <w:rPr>
          <w:rFonts w:eastAsia="Times New Roman" w:cstheme="minorHAnsi"/>
          <w:sz w:val="24"/>
          <w:szCs w:val="24"/>
          <w:lang w:val="en-US" w:eastAsia="el-GR"/>
        </w:rPr>
        <w:t>achieving these results</w:t>
      </w:r>
      <w:r w:rsidRPr="0088324F">
        <w:rPr>
          <w:rFonts w:eastAsia="Times New Roman" w:cstheme="minorHAnsi"/>
          <w:sz w:val="24"/>
          <w:szCs w:val="24"/>
          <w:lang w:val="en-US" w:eastAsia="el-GR"/>
        </w:rPr>
        <w:t xml:space="preserve"> within each layer configuration is recorded to evaluate the efficiency and stability of the training process. The computational latency, measured in seconds, is also documented for each training cycle to provide a detailed perspective on the temporal requirements associated with scaling the quantum architecture. Ultimately, the specific parameters from the most efficacious model across all experimental iterations and layer depths are preserved for final evaluation, irrespective of the circuit depth at which they were attained. This comprehensive data collection enables a thorough characterization of the trade-offs between quantum circuit complexity, computational cost, and classification accuracy.</w:t>
      </w:r>
    </w:p>
    <w:p w14:paraId="7E3CE475" w14:textId="558EF73A" w:rsidR="003418CB" w:rsidRPr="003418CB" w:rsidRDefault="003418CB" w:rsidP="003418CB">
      <w:pPr>
        <w:spacing w:before="100" w:beforeAutospacing="1" w:after="100" w:afterAutospacing="1" w:line="240" w:lineRule="auto"/>
        <w:rPr>
          <w:rFonts w:eastAsia="Times New Roman" w:cstheme="minorHAnsi"/>
          <w:sz w:val="24"/>
          <w:szCs w:val="24"/>
          <w:lang w:val="en-US" w:eastAsia="el-GR"/>
        </w:rPr>
      </w:pPr>
      <w:r w:rsidRPr="003418CB">
        <w:rPr>
          <w:rFonts w:eastAsia="Times New Roman" w:cstheme="minorHAnsi"/>
          <w:sz w:val="24"/>
          <w:szCs w:val="24"/>
          <w:lang w:val="en-US" w:eastAsia="el-GR"/>
        </w:rPr>
        <w:t>Several technical considerations regarding the optimization protocol warrant further clarification. The Mean Squared Error (MSE) is employed as the objective function for the training process, subject to a specific methodological refinement. While the final classification labels are determined by the algebraic sign of the model's output</w:t>
      </w:r>
      <w:r>
        <w:rPr>
          <w:rFonts w:eastAsia="Times New Roman" w:cstheme="minorHAnsi"/>
          <w:sz w:val="24"/>
          <w:szCs w:val="24"/>
          <w:lang w:val="en-US" w:eastAsia="el-GR"/>
        </w:rPr>
        <w:t xml:space="preserve">, </w:t>
      </w:r>
      <w:r w:rsidRPr="003418CB">
        <w:rPr>
          <w:rFonts w:eastAsia="Times New Roman" w:cstheme="minorHAnsi"/>
          <w:sz w:val="24"/>
          <w:szCs w:val="24"/>
          <w:lang w:val="en-US" w:eastAsia="el-GR"/>
        </w:rPr>
        <w:t>specifically the sum of the VQC measurement and the bias term</w:t>
      </w:r>
      <w:r>
        <w:rPr>
          <w:rFonts w:eastAsia="Times New Roman" w:cstheme="minorHAnsi"/>
          <w:sz w:val="24"/>
          <w:szCs w:val="24"/>
          <w:lang w:val="en-US" w:eastAsia="el-GR"/>
        </w:rPr>
        <w:t xml:space="preserve">, </w:t>
      </w:r>
      <w:r w:rsidRPr="003418CB">
        <w:rPr>
          <w:rFonts w:eastAsia="Times New Roman" w:cstheme="minorHAnsi"/>
          <w:sz w:val="24"/>
          <w:szCs w:val="24"/>
          <w:lang w:val="en-US" w:eastAsia="el-GR"/>
        </w:rPr>
        <w:t>the loss function is calculated using the raw continuous values. This approach effectively treats the binary classification problem as a regression task where a zero-threshold is applied post-measurement. This choice is critical as it ensures a smooth and differentiable cost landscape, avoiding the discontinuous or step-like functions that typically arise when calculating loss based on discrete labels. Consequently, this allows for more effective monitoring of the training trajectory and provides a more granular signal for gradient updates.</w:t>
      </w:r>
    </w:p>
    <w:p w14:paraId="01155B96" w14:textId="655A25B1" w:rsidR="003418CB" w:rsidRPr="003418CB" w:rsidRDefault="003418CB" w:rsidP="003418CB">
      <w:pPr>
        <w:spacing w:before="100" w:beforeAutospacing="1" w:after="100" w:afterAutospacing="1" w:line="240" w:lineRule="auto"/>
        <w:rPr>
          <w:rFonts w:eastAsia="Times New Roman" w:cstheme="minorHAnsi"/>
          <w:sz w:val="24"/>
          <w:szCs w:val="24"/>
          <w:lang w:val="en-US" w:eastAsia="el-GR"/>
        </w:rPr>
      </w:pPr>
      <w:r w:rsidRPr="003418CB">
        <w:rPr>
          <w:rFonts w:eastAsia="Times New Roman" w:cstheme="minorHAnsi"/>
          <w:sz w:val="24"/>
          <w:szCs w:val="24"/>
          <w:lang w:val="en-US" w:eastAsia="el-GR"/>
        </w:rPr>
        <w:t xml:space="preserve">The optimization of the parameters is executed using the </w:t>
      </w:r>
      <w:proofErr w:type="spellStart"/>
      <w:r w:rsidRPr="003418CB">
        <w:rPr>
          <w:rFonts w:eastAsia="Times New Roman" w:cstheme="minorHAnsi"/>
          <w:sz w:val="24"/>
          <w:szCs w:val="24"/>
          <w:lang w:val="en-US" w:eastAsia="el-GR"/>
        </w:rPr>
        <w:t>Nesterov</w:t>
      </w:r>
      <w:proofErr w:type="spellEnd"/>
      <w:r w:rsidRPr="003418CB">
        <w:rPr>
          <w:rFonts w:eastAsia="Times New Roman" w:cstheme="minorHAnsi"/>
          <w:sz w:val="24"/>
          <w:szCs w:val="24"/>
          <w:lang w:val="en-US" w:eastAsia="el-GR"/>
        </w:rPr>
        <w:t xml:space="preserve"> Momentum optimizer, also known as </w:t>
      </w:r>
      <w:proofErr w:type="spellStart"/>
      <w:r w:rsidRPr="003418CB">
        <w:rPr>
          <w:rFonts w:eastAsia="Times New Roman" w:cstheme="minorHAnsi"/>
          <w:sz w:val="24"/>
          <w:szCs w:val="24"/>
          <w:lang w:val="en-US" w:eastAsia="el-GR"/>
        </w:rPr>
        <w:t>Nesterov</w:t>
      </w:r>
      <w:proofErr w:type="spellEnd"/>
      <w:r w:rsidRPr="003418CB">
        <w:rPr>
          <w:rFonts w:eastAsia="Times New Roman" w:cstheme="minorHAnsi"/>
          <w:sz w:val="24"/>
          <w:szCs w:val="24"/>
          <w:lang w:val="en-US" w:eastAsia="el-GR"/>
        </w:rPr>
        <w:t xml:space="preserve"> Accelerated Gradient</w:t>
      </w:r>
      <w:r w:rsidR="00A90FDC">
        <w:rPr>
          <w:rFonts w:eastAsia="Times New Roman" w:cstheme="minorHAnsi"/>
          <w:sz w:val="24"/>
          <w:szCs w:val="24"/>
          <w:lang w:val="en-US" w:eastAsia="el-GR"/>
        </w:rPr>
        <w:t xml:space="preserve"> </w:t>
      </w:r>
      <w:r w:rsidR="00A90FDC">
        <w:rPr>
          <w:rFonts w:eastAsia="Times New Roman" w:cstheme="minorHAnsi"/>
          <w:b/>
          <w:bCs/>
          <w:sz w:val="24"/>
          <w:szCs w:val="24"/>
          <w:lang w:val="en-US" w:eastAsia="el-GR"/>
        </w:rPr>
        <w:t>[CITE]</w:t>
      </w:r>
      <w:r w:rsidRPr="003418CB">
        <w:rPr>
          <w:rFonts w:eastAsia="Times New Roman" w:cstheme="minorHAnsi"/>
          <w:sz w:val="24"/>
          <w:szCs w:val="24"/>
          <w:lang w:val="en-US" w:eastAsia="el-GR"/>
        </w:rPr>
        <w:t>. This method is an advanced iteration of standard momentum-based gradient descent, frequently utilized in deep learning for its ability to anticipate the loss landscape and achieve superior convergence rates. The input data is processed in stochastic mini-batches of size five, with the order of samples randomized in each epoch. Given the relative scarcity of the dataset, a batch size of this magnitude is considered sufficient to provide stable gradient estimates while maintaining the stochasticity necessary for effective exploration of the parameter space.</w:t>
      </w:r>
    </w:p>
    <w:p w14:paraId="6AC5B383" w14:textId="77777777" w:rsidR="002E58FD" w:rsidRPr="002E58FD" w:rsidRDefault="002E58FD" w:rsidP="002E58FD">
      <w:pPr>
        <w:spacing w:before="100" w:beforeAutospacing="1" w:after="100" w:afterAutospacing="1" w:line="240" w:lineRule="auto"/>
        <w:rPr>
          <w:rFonts w:eastAsia="Times New Roman" w:cstheme="minorHAnsi"/>
          <w:sz w:val="24"/>
          <w:szCs w:val="24"/>
          <w:lang w:val="en-US" w:eastAsia="el-GR"/>
        </w:rPr>
      </w:pPr>
      <w:r w:rsidRPr="002E58FD">
        <w:rPr>
          <w:rFonts w:eastAsia="Times New Roman" w:cstheme="minorHAnsi"/>
          <w:sz w:val="24"/>
          <w:szCs w:val="24"/>
          <w:lang w:val="en-US" w:eastAsia="el-GR"/>
        </w:rPr>
        <w:t>It is important to clarify that the comprehensive training procedure, which spans various layer depths across ten independent trials, is executed in two distinct phases. The initial phase involves the implementation of unbiased classifiers, followed by a secondary phase dedicated to biased models. Consequently, for each specific qubit configuration, we obtain two distinct model types: an unbiased model defined by purely quantum variational parameters and a biased model characterized by a combination of quantum and classical parameters.</w:t>
      </w:r>
    </w:p>
    <w:p w14:paraId="3D849F34" w14:textId="77777777" w:rsidR="002E58FD" w:rsidRPr="002E58FD" w:rsidRDefault="002E58FD" w:rsidP="002E58FD">
      <w:pPr>
        <w:spacing w:before="100" w:beforeAutospacing="1" w:after="100" w:afterAutospacing="1" w:line="240" w:lineRule="auto"/>
        <w:rPr>
          <w:rFonts w:eastAsia="Times New Roman" w:cstheme="minorHAnsi"/>
          <w:sz w:val="24"/>
          <w:szCs w:val="24"/>
          <w:lang w:val="en-US" w:eastAsia="el-GR"/>
        </w:rPr>
      </w:pPr>
      <w:r w:rsidRPr="002E58FD">
        <w:rPr>
          <w:rFonts w:eastAsia="Times New Roman" w:cstheme="minorHAnsi"/>
          <w:sz w:val="24"/>
          <w:szCs w:val="24"/>
          <w:lang w:val="en-US" w:eastAsia="el-GR"/>
        </w:rPr>
        <w:t xml:space="preserve">This dual-track approach is designed to elucidate which specific methodology provides the optimal solution for the tumor classification task at a given qubit count. Furthermore, it enables a comparative analysis of the respective advantages of each paradigm as the problem scales, providing deeper insight into the efficacy of hybrid quantum-classical optimization versus purely quantum strategies. This methodology </w:t>
      </w:r>
      <w:r w:rsidRPr="002E58FD">
        <w:rPr>
          <w:rFonts w:eastAsia="Times New Roman" w:cstheme="minorHAnsi"/>
          <w:sz w:val="24"/>
          <w:szCs w:val="24"/>
          <w:lang w:val="en-US" w:eastAsia="el-GR"/>
        </w:rPr>
        <w:lastRenderedPageBreak/>
        <w:t>ensures that the performance of the Variational Quantum Classifier is evaluated not only on its quantum depth but also on its ability to integrate classical components to improve diagnostic accuracy.</w:t>
      </w:r>
    </w:p>
    <w:p w14:paraId="00203C1C" w14:textId="77777777" w:rsidR="003418CB" w:rsidRPr="0088324F" w:rsidRDefault="003418CB" w:rsidP="0088324F">
      <w:pPr>
        <w:spacing w:before="100" w:beforeAutospacing="1" w:after="100" w:afterAutospacing="1" w:line="240" w:lineRule="auto"/>
        <w:rPr>
          <w:rFonts w:eastAsia="Times New Roman" w:cstheme="minorHAnsi"/>
          <w:sz w:val="24"/>
          <w:szCs w:val="24"/>
          <w:lang w:val="en-US" w:eastAsia="el-GR"/>
        </w:rPr>
      </w:pPr>
    </w:p>
    <w:p w14:paraId="5F5DC231" w14:textId="77777777" w:rsidR="0088324F" w:rsidRPr="0088324F" w:rsidRDefault="0088324F" w:rsidP="0088324F">
      <w:pPr>
        <w:spacing w:before="100" w:beforeAutospacing="1" w:after="100" w:afterAutospacing="1" w:line="240" w:lineRule="auto"/>
        <w:rPr>
          <w:rFonts w:eastAsia="Times New Roman" w:cstheme="minorHAnsi"/>
          <w:sz w:val="24"/>
          <w:szCs w:val="24"/>
          <w:lang w:val="en-US" w:eastAsia="el-GR"/>
        </w:rPr>
      </w:pPr>
    </w:p>
    <w:p w14:paraId="78684D05" w14:textId="77777777" w:rsidR="0088324F" w:rsidRPr="00943E30" w:rsidRDefault="0088324F" w:rsidP="00943E30">
      <w:pPr>
        <w:spacing w:before="100" w:beforeAutospacing="1" w:after="100" w:afterAutospacing="1" w:line="240" w:lineRule="auto"/>
        <w:rPr>
          <w:rFonts w:eastAsia="Times New Roman" w:cstheme="minorHAnsi"/>
          <w:sz w:val="24"/>
          <w:szCs w:val="24"/>
          <w:lang w:val="en-US" w:eastAsia="el-GR"/>
        </w:rPr>
      </w:pPr>
    </w:p>
    <w:p w14:paraId="33CEC195" w14:textId="77777777" w:rsidR="00943E30" w:rsidRPr="00900D15" w:rsidRDefault="00943E30" w:rsidP="00900D15">
      <w:pPr>
        <w:spacing w:before="100" w:beforeAutospacing="1" w:after="100" w:afterAutospacing="1" w:line="240" w:lineRule="auto"/>
        <w:rPr>
          <w:rFonts w:eastAsia="Times New Roman" w:cstheme="minorHAnsi"/>
          <w:sz w:val="24"/>
          <w:szCs w:val="24"/>
          <w:lang w:val="en-US" w:eastAsia="el-GR"/>
        </w:rPr>
      </w:pPr>
    </w:p>
    <w:p w14:paraId="0387E2EA" w14:textId="77777777" w:rsidR="00900D15" w:rsidRPr="00790C70" w:rsidRDefault="00900D15" w:rsidP="00790C70">
      <w:pPr>
        <w:spacing w:before="100" w:beforeAutospacing="1" w:after="100" w:afterAutospacing="1" w:line="240" w:lineRule="auto"/>
        <w:rPr>
          <w:rFonts w:eastAsia="Times New Roman" w:cstheme="minorHAnsi"/>
          <w:sz w:val="24"/>
          <w:szCs w:val="24"/>
          <w:lang w:val="en-US" w:eastAsia="el-GR"/>
        </w:rPr>
      </w:pPr>
    </w:p>
    <w:p w14:paraId="64179B20" w14:textId="77777777" w:rsidR="00D26F31" w:rsidRPr="002E58FD" w:rsidRDefault="00D26F31">
      <w:pPr>
        <w:rPr>
          <w:rFonts w:cstheme="minorHAnsi"/>
          <w:lang w:val="en-US"/>
        </w:rPr>
      </w:pPr>
    </w:p>
    <w:sectPr w:rsidR="00D26F31" w:rsidRPr="002E58F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94D"/>
    <w:rsid w:val="000A3CA3"/>
    <w:rsid w:val="00262564"/>
    <w:rsid w:val="002E58FD"/>
    <w:rsid w:val="003418CB"/>
    <w:rsid w:val="00524D50"/>
    <w:rsid w:val="0072193F"/>
    <w:rsid w:val="00790C70"/>
    <w:rsid w:val="0088324F"/>
    <w:rsid w:val="00900D15"/>
    <w:rsid w:val="00943E30"/>
    <w:rsid w:val="00A6394D"/>
    <w:rsid w:val="00A90FDC"/>
    <w:rsid w:val="00A95B59"/>
    <w:rsid w:val="00D26F31"/>
    <w:rsid w:val="00D42ED2"/>
    <w:rsid w:val="00E8134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B86F6"/>
  <w15:chartTrackingRefBased/>
  <w15:docId w15:val="{AEBE7110-899E-4698-8FD0-4D32C948B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262564"/>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math-inline">
    <w:name w:val="math-inline"/>
    <w:basedOn w:val="a0"/>
    <w:rsid w:val="002625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2340">
      <w:bodyDiv w:val="1"/>
      <w:marLeft w:val="0"/>
      <w:marRight w:val="0"/>
      <w:marTop w:val="0"/>
      <w:marBottom w:val="0"/>
      <w:divBdr>
        <w:top w:val="none" w:sz="0" w:space="0" w:color="auto"/>
        <w:left w:val="none" w:sz="0" w:space="0" w:color="auto"/>
        <w:bottom w:val="none" w:sz="0" w:space="0" w:color="auto"/>
        <w:right w:val="none" w:sz="0" w:space="0" w:color="auto"/>
      </w:divBdr>
    </w:div>
    <w:div w:id="414790137">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765230597">
      <w:bodyDiv w:val="1"/>
      <w:marLeft w:val="0"/>
      <w:marRight w:val="0"/>
      <w:marTop w:val="0"/>
      <w:marBottom w:val="0"/>
      <w:divBdr>
        <w:top w:val="none" w:sz="0" w:space="0" w:color="auto"/>
        <w:left w:val="none" w:sz="0" w:space="0" w:color="auto"/>
        <w:bottom w:val="none" w:sz="0" w:space="0" w:color="auto"/>
        <w:right w:val="none" w:sz="0" w:space="0" w:color="auto"/>
      </w:divBdr>
    </w:div>
    <w:div w:id="991375100">
      <w:bodyDiv w:val="1"/>
      <w:marLeft w:val="0"/>
      <w:marRight w:val="0"/>
      <w:marTop w:val="0"/>
      <w:marBottom w:val="0"/>
      <w:divBdr>
        <w:top w:val="none" w:sz="0" w:space="0" w:color="auto"/>
        <w:left w:val="none" w:sz="0" w:space="0" w:color="auto"/>
        <w:bottom w:val="none" w:sz="0" w:space="0" w:color="auto"/>
        <w:right w:val="none" w:sz="0" w:space="0" w:color="auto"/>
      </w:divBdr>
    </w:div>
    <w:div w:id="1191725713">
      <w:bodyDiv w:val="1"/>
      <w:marLeft w:val="0"/>
      <w:marRight w:val="0"/>
      <w:marTop w:val="0"/>
      <w:marBottom w:val="0"/>
      <w:divBdr>
        <w:top w:val="none" w:sz="0" w:space="0" w:color="auto"/>
        <w:left w:val="none" w:sz="0" w:space="0" w:color="auto"/>
        <w:bottom w:val="none" w:sz="0" w:space="0" w:color="auto"/>
        <w:right w:val="none" w:sz="0" w:space="0" w:color="auto"/>
      </w:divBdr>
    </w:div>
    <w:div w:id="1219053601">
      <w:bodyDiv w:val="1"/>
      <w:marLeft w:val="0"/>
      <w:marRight w:val="0"/>
      <w:marTop w:val="0"/>
      <w:marBottom w:val="0"/>
      <w:divBdr>
        <w:top w:val="none" w:sz="0" w:space="0" w:color="auto"/>
        <w:left w:val="none" w:sz="0" w:space="0" w:color="auto"/>
        <w:bottom w:val="none" w:sz="0" w:space="0" w:color="auto"/>
        <w:right w:val="none" w:sz="0" w:space="0" w:color="auto"/>
      </w:divBdr>
    </w:div>
    <w:div w:id="1241209424">
      <w:bodyDiv w:val="1"/>
      <w:marLeft w:val="0"/>
      <w:marRight w:val="0"/>
      <w:marTop w:val="0"/>
      <w:marBottom w:val="0"/>
      <w:divBdr>
        <w:top w:val="none" w:sz="0" w:space="0" w:color="auto"/>
        <w:left w:val="none" w:sz="0" w:space="0" w:color="auto"/>
        <w:bottom w:val="none" w:sz="0" w:space="0" w:color="auto"/>
        <w:right w:val="none" w:sz="0" w:space="0" w:color="auto"/>
      </w:divBdr>
    </w:div>
    <w:div w:id="1447239894">
      <w:bodyDiv w:val="1"/>
      <w:marLeft w:val="0"/>
      <w:marRight w:val="0"/>
      <w:marTop w:val="0"/>
      <w:marBottom w:val="0"/>
      <w:divBdr>
        <w:top w:val="none" w:sz="0" w:space="0" w:color="auto"/>
        <w:left w:val="none" w:sz="0" w:space="0" w:color="auto"/>
        <w:bottom w:val="none" w:sz="0" w:space="0" w:color="auto"/>
        <w:right w:val="none" w:sz="0" w:space="0" w:color="auto"/>
      </w:divBdr>
    </w:div>
    <w:div w:id="1996494351">
      <w:bodyDiv w:val="1"/>
      <w:marLeft w:val="0"/>
      <w:marRight w:val="0"/>
      <w:marTop w:val="0"/>
      <w:marBottom w:val="0"/>
      <w:divBdr>
        <w:top w:val="none" w:sz="0" w:space="0" w:color="auto"/>
        <w:left w:val="none" w:sz="0" w:space="0" w:color="auto"/>
        <w:bottom w:val="none" w:sz="0" w:space="0" w:color="auto"/>
        <w:right w:val="none" w:sz="0" w:space="0" w:color="auto"/>
      </w:divBdr>
    </w:div>
    <w:div w:id="200612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2621</Words>
  <Characters>14157</Characters>
  <Application>Microsoft Office Word</Application>
  <DocSecurity>0</DocSecurity>
  <Lines>117</Lines>
  <Paragraphs>33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Charisis</dc:creator>
  <cp:keywords/>
  <dc:description/>
  <cp:lastModifiedBy>Nick Charisis</cp:lastModifiedBy>
  <cp:revision>12</cp:revision>
  <dcterms:created xsi:type="dcterms:W3CDTF">2026-01-06T19:50:00Z</dcterms:created>
  <dcterms:modified xsi:type="dcterms:W3CDTF">2026-01-07T20:19:00Z</dcterms:modified>
</cp:coreProperties>
</file>