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8.png" ContentType="image/png"/>
  <Override PartName="/word/media/rId622.png" ContentType="image/png"/>
  <Override PartName="/word/media/rId608.png" ContentType="image/png"/>
  <Override PartName="/word/media/rId611.png" ContentType="image/png"/>
  <Override PartName="/word/media/rId615.png" ContentType="image/png"/>
  <Override PartName="/word/media/rId632.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rPr>
          <w:i/>
          <w:iCs/>
        </w:rPr>
        <w:t xml:space="preserve">(338 words)</w:t>
      </w:r>
    </w:p>
    <w:p>
      <w:pPr>
        <w:pStyle w:val="BodyText"/>
      </w:pPr>
      <w:r>
        <w:t xml:space="preserve">Preschools routinely share classroom photographs with parents, and the obvious implementation - a shared album - is unacceptable: it exposes every child's face to every parent. This project delivers Hive, a photo-sharing platform built so that a parent sees photographs of their own children and nothing else.</w:t>
      </w:r>
    </w:p>
    <w:p>
      <w:pPr>
        <w:pStyle w:val="BodyText"/>
      </w:pPr>
      <w:r>
        <w:t xml:space="preserve">The system comprises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Three roles are supported: teachers upload and tag photographs, parents view a privacy-scoped feed, read a per-child diary of that child's whole time at the school, and order prints, and administrators manage schools, classes, students and users.</w:t>
      </w:r>
    </w:p>
    <w:p>
      <w:pPr>
        <w:pStyle w:val="BodyText"/>
      </w:pPr>
      <w:r>
        <w:t xml:space="preserve">The central engineering constraint is that the API authenticates using a service-role credential which bypasses row-level security by design. Authorization is therefore enforced explicitly in the service layer, and every resource accessed by identifier is checked against the caller. A formal audit identified 46 defects, of which the most serious permitted cross-family access to photograph metadata, cross-school access to student rosters including dates of birth, and an entirely non-functional ordering flow.</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the suite detects the regressions it targets and additionally exposed a pre-existing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they answer different questions. The wall answers</w:t>
      </w:r>
      <w:r>
        <w:t xml:space="preserve"> </w:t>
      </w:r>
      <w:r>
        <w:rPr>
          <w:i/>
          <w:iCs/>
        </w:rPr>
        <w:t xml:space="preserve">what arrived</w:t>
      </w:r>
      <w:r>
        <w:t xml:space="preserve"> </w:t>
      </w:r>
      <w:r>
        <w:t xml:space="preserve">- newest first, the fastest route to this afternoon. The diary answers</w:t>
      </w:r>
      <w:r>
        <w:t xml:space="preserve"> </w:t>
      </w:r>
      <w:r>
        <w:rPr>
          <w:i/>
          <w:iCs/>
        </w:rPr>
        <w:t xml:space="preserve">how has it gone</w:t>
      </w:r>
      <w:r>
        <w:t xml:space="preserve"> </w:t>
      </w:r>
      <w:r>
        <w:t xml:space="preserve">- one child's whole time at the school, read forwards, month by month. The second is the artefact a family keeps, and a feed is the wrong shape for it: a feed is newest-first by construction, so the further back something is the harder it is to reach, which makes a child's first week the least reachable thing in the app.</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For a setting composed entirely of minors, that is not a minor usability concern; it is a safeguarding failure.</w:t>
      </w:r>
    </w:p>
    <w:p>
      <w:pPr>
        <w:pStyle w:val="BodyText"/>
      </w:pPr>
      <w:r>
        <w:t xml:space="preserve">The requirement that defines the product is therefore: a parent must see photographs of their own children and nothing else - not "mostly", and not "unless they guess an identifier".</w:t>
      </w:r>
    </w:p>
    <w:p>
      <w:pPr>
        <w:pStyle w:val="BodyText"/>
      </w:pPr>
      <w:r>
        <w:t xml:space="preserve">Three consequences follow, and they justify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are worth recording, each made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dependency graph were deleted in favour of a synchronous sharp call taking 100-300 ms.</w:t>
      </w:r>
    </w:p>
    <w:p>
      <w:pPr>
        <w:pStyle w:val="BodyText"/>
      </w:pPr>
      <w:r>
        <w:t xml:space="preserve">Monetary values were migrated to integer minor units. The original schema used decimal(10,2).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 a reverse-chronological feed. Driving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 the wall is still the fastest route to this afternoon and the diary is deliberately not that - and the parent tab bar now leads with the diary. §2.3.7 and §2.4.6 describe it; the feed screen is renamed</w:t>
      </w:r>
      <w:r>
        <w:t xml:space="preserve"> </w:t>
      </w:r>
      <w:r>
        <w:rPr>
          <w:i/>
          <w:iCs/>
        </w:rPr>
        <w:t xml:space="preserve">Moments</w:t>
      </w:r>
      <w:r>
        <w:t xml:space="preserve"> </w:t>
      </w:r>
      <w:r>
        <w:t xml:space="preserve">in the tab bar to make the distinction legible.</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The constraint that shapes the whole system: the API authenticates using the service-role credential, which bypasses row-level security by design. RLS therefore protects only those queries the mobile application issues directly to Supabase.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exactly this root cause: code that assumed RLS was covering it. This is documented prominently in the repository because it is the single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ordering is load-bearing. The trigger fires on the transition</w:t>
      </w:r>
      <w:r>
        <w:t xml:space="preserve"> </w:t>
      </w:r>
      <w:r>
        <w:rPr>
          <w:i/>
          <w:iCs/>
        </w:rPr>
        <w:t xml:space="preserve">to</w:t>
      </w:r>
      <w:r>
        <w:t xml:space="preserve"> </w:t>
      </w:r>
      <w:r>
        <w:t xml:space="preserve">ready and iterates the tags existing at that instant. Confirming before tagging produces zero notifications - silently. The system appears to work and the feature is dead. This was a real defect (G-07); the seed script now carries a prominent comment about it and §3.3.2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Authorization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are decisions rather than implementation details:</w:t>
      </w:r>
    </w:p>
    <w:p>
      <w:pPr>
        <w:pStyle w:val="Compact"/>
        <w:numPr>
          <w:ilvl w:val="0"/>
          <w:numId w:val="1003"/>
        </w:numPr>
      </w:pPr>
      <w:r>
        <w:t xml:space="preserve">Signing is proportional to what is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can legally carry text. Both are right for what they do, and neither can say</w:t>
      </w:r>
      <w:r>
        <w:t xml:space="preserve"> </w:t>
      </w:r>
      <w:r>
        <w:rPr>
          <w:i/>
          <w:iCs/>
        </w:rPr>
        <w:t xml:space="preserve">this is for a four-year-old's family</w:t>
      </w:r>
      <w:r>
        <w:t xml:space="preserve">, which is why the application read as plain. A play layer was added on top rather than mixed into the existing one, and the fencing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rule is enforced rather than remembered. It also holds the honeycomb geometry that the mark, the tab indicator, the page indicator and the celebration burst all share -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that lesson is encoded in the constraint rather than left to be re-learnt.</w:t>
      </w:r>
    </w:p>
    <w:p>
      <w:pPr>
        <w:pStyle w:val="Compact"/>
        <w:numPr>
          <w:ilvl w:val="0"/>
          <w:numId w:val="1004"/>
        </w:numPr>
      </w:pPr>
      <w:r>
        <w:t xml:space="preserve">Bo, a bee, in ten poses, drawn as three layers so the wings can beat without the body re-rendering. The poses are a closed vocabulary - each exists because a screen needed to say something a drawing says better than a sentence. hide, Bo covering her eyes, is this product's central promise in one picture, and it is used twice: on the privacy slide of the onboarding carousel, and on the login screen whenever the password field has focus.</w:t>
      </w:r>
    </w:p>
    <w:p>
      <w:pPr>
        <w:pStyle w:val="FirstParagraph"/>
      </w:pPr>
      <w:r>
        <w:t xml:space="preserve">Two rules hold across all of it, and both are load-bearing rather than stylistic. Nothing becomes visible by animating - every entrance animates transforms only, or is gated on being rendered at all, because an animation that silently fails to run leaves invisible content and no error. And all of it is hidden from screen readers and skipped under Reduce Motion: delete the entire decorative layer and every screen still says exactly what it said.</w:t>
      </w:r>
    </w:p>
    <w:p>
      <w:pPr>
        <w:pStyle w:val="BodyText"/>
      </w:pPr>
      <w:r>
        <w:t xml:space="preserve">The illustrated scenes are objects and places, never children. That constraint is inherited from the product - a drawn child would be the same wrong trade with a nicer finish -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carry weight.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in circulation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 a $4.99 print would have stored 499.00. The 299 figure appears twice in that comment and $4.99 once, so the digital download is the likelier original, and it is the version used above. This is corrected in the open rather than quietly,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 and the compensation never executed, because the process had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Two questions the diary has to answer, neither with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rather than unit testing.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§3.3.1 records the numbers and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This is recorded because a guard nobody has tested is not a guard, and the failure mode here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- 13 pure calendar cases in a new file, and 16 in feed.test.ts, of which 13 exercise the two diary endpoints and 3 close validation gaps the feed routes had carried from the beginning: a malformed studentId, a malformed photograph id and a cursor of the wrong shape each returned a 500 from PostgREST rather than a 400, because those routes had no validator at all. The suite was 218 across 8 files from 13 August until then, and 178 before that.</w:t>
      </w:r>
    </w:p>
    <w:p>
      <w:pPr>
        <w:pStyle w:val="BodyText"/>
      </w:pPr>
      <w:r>
        <w:t xml:space="preserve">This table covers the backend integration suite, which is the one that exercises the privacy boundary and therefore carries the argument of this chapter.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§5.1 is the two combined.</w:t>
      </w:r>
    </w:p>
    <w:p>
      <w:pPr>
        <w:pStyle w:val="TableCaption"/>
      </w:pPr>
      <w:r>
        <w:t xml:space="preserve">Table 3.2 - Test cases and results (representative selection; all 247**</w:t>
      </w:r>
      <w:r>
        <w:t xml:space="preserve"> </w:t>
      </w:r>
      <w:r>
        <w:rPr>
          <w:b/>
          <w:bCs/>
        </w:rPr>
        <w:t xml:space="preserve">pass</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drawing>
          <wp:inline>
            <wp:extent cx="5577840" cy="3062741"/>
            <wp:effectExtent b="0" l="0" r="0" t="0"/>
            <wp:docPr descr="Figure 3.1 - Test suite execution - 218 tests passing"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r>
        <w:t xml:space="preserve"> </w:t>
      </w: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r>
        <w:t xml:space="preserve"> </w:t>
      </w:r>
      <w:r>
        <w:rPr>
          <w:i/>
          <w:iCs/>
        </w:rPr>
        <w:t xml:space="preserve">(Figure 3.1)</w:t>
      </w:r>
    </w:p>
    <w:p>
      <w:pPr>
        <w:pStyle w:val="BodyText"/>
      </w:pPr>
      <w:r>
        <w:t xml:space="preserve">The 21.96 s is not a speed-up in the code and must not be read as one. It is the test target moving from a hosted Supabase project to a local stack. The comparable earlier figures - 245 s and 122.63 s on 16 August, and 373.86 s in CI - were 218 tests against the remote hive-test project, where wall time is dominated by network latency to Postgres, GoTrue and Storage rather than by the code under test. CI still runs against hive-test, so the CI figure and the local figure measure different things and must not be quoted against each other. Figure 3.1 shows a re-run on 25 August against the hosted project - the same 247 tests across 9 files, passing, in 150.85 s, alongside 117 mobile unit tests in 330 ms. It is reproduced against the hosted target rather than the local stack because that is what a reader can reach; the seven-fold spread between the two is the point of this paragraph, not a discrepancy.</w:t>
      </w:r>
    </w:p>
    <w:p>
      <w:pPr>
        <w:pStyle w:val="TableCaption"/>
      </w:pPr>
      <w:r>
        <w:t xml:space="preserve">Table 3.3 - Runtime functional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BodyText"/>
      </w:pPr>
      <w:r>
        <w:rPr>
          <w:i/>
          <w:iCs/>
        </w:rPr>
        <w:t xml:space="preserve">Figure 3.4 - Privacy comparison: two parents, zero overlap.</w:t>
      </w:r>
    </w:p>
    <w:p>
      <w:pPr>
        <w:pStyle w:val="BodyText"/>
      </w:pPr>
      <w:r>
        <w:t xml:space="preserve">This is the requirement the product exists to satisfy, so it is measured rather than asserted. Two</w:t>
      </w:r>
      <w:r>
        <w:t xml:space="preserve"> </w:t>
      </w:r>
      <w:r>
        <w:rPr>
          <w:b/>
          <w:bCs/>
        </w:rPr>
        <w:t xml:space="preserve">parent</w:t>
      </w:r>
      <w:r>
        <w:t xml:space="preserve"> </w:t>
      </w:r>
      <w:r>
        <w:t xml:space="preserve">accounts were signed in against the same seeded dataset - Rajesh, who has two children at Bloom Preschool, and Vikram, who has two at Little Stars Academy - and each feed was counted. Neither is a teacher or an administrator; a parent is the only role whose visibility is restricted by the privacy model, which is why the test uses two of them at different schools.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w:t>
            </w:r>
            <w:r>
              <w:t xml:space="preserve"> </w:t>
            </w:r>
            <w:r>
              <w:rPr>
                <w:b/>
                <w:bCs/>
              </w:rPr>
              <w:t xml:space="preserve">a parent</w:t>
            </w:r>
            <w:r>
              <w:t xml:space="preserve"> </w:t>
            </w:r>
            <w:r>
              <w:t xml:space="preserve">at Bloom Preschool, two children enrolled - sees</w:t>
            </w:r>
          </w:p>
        </w:tc>
        <w:tc>
          <w:tcPr/>
          <w:p>
            <w:pPr>
              <w:pStyle w:val="Compact"/>
            </w:pPr>
            <w:r>
              <w:t xml:space="preserve">2</w:t>
            </w:r>
          </w:p>
        </w:tc>
      </w:tr>
      <w:tr>
        <w:tc>
          <w:tcPr/>
          <w:p>
            <w:pPr>
              <w:pStyle w:val="Compact"/>
            </w:pPr>
            <w:r>
              <w:t xml:space="preserve">Vikram -</w:t>
            </w:r>
            <w:r>
              <w:t xml:space="preserve"> </w:t>
            </w:r>
            <w:r>
              <w:rPr>
                <w:b/>
                <w:bCs/>
              </w:rPr>
              <w:t xml:space="preserve">a parent</w:t>
            </w:r>
            <w:r>
              <w:t xml:space="preserve"> </w:t>
            </w:r>
            <w:r>
              <w:t xml:space="preserve">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FirstParagraph"/>
      </w:pPr>
      <w:r>
        <w:drawing>
          <wp:inline>
            <wp:extent cx="5577840" cy="2449178"/>
            <wp:effectExtent b="0" l="0" r="0" t="0"/>
            <wp:docPr descr="Figure 3.5 - Signed URL 200 versus stripped-token 400" title="" id="616" name="Picture"/>
            <a:graphic>
              <a:graphicData uri="http://schemas.openxmlformats.org/drawingml/2006/picture">
                <pic:pic>
                  <pic:nvPicPr>
                    <pic:cNvPr descr="docs/capstone/screenshots/figures/fig-3.5-signed-url.png" id="617" name="Picture"/>
                    <pic:cNvPicPr>
                      <a:picLocks noChangeArrowheads="1" noChangeAspect="1"/>
                    </pic:cNvPicPr>
                  </pic:nvPicPr>
                  <pic:blipFill>
                    <a:blip r:embed="rId615"/>
                    <a:stretch>
                      <a:fillRect/>
                    </a:stretch>
                  </pic:blipFill>
                  <pic:spPr bwMode="auto">
                    <a:xfrm>
                      <a:off x="0" y="0"/>
                      <a:ext cx="5577840" cy="2449178"/>
                    </a:xfrm>
                    <a:prstGeom prst="rect">
                      <a:avLst/>
                    </a:prstGeom>
                    <a:noFill/>
                    <a:ln w="9525">
                      <a:noFill/>
                      <a:headEnd/>
                      <a:tailEnd/>
                    </a:ln>
                  </pic:spPr>
                </pic:pic>
              </a:graphicData>
            </a:graphic>
          </wp:inline>
        </w:drawing>
      </w:r>
      <w:r>
        <w:t xml:space="preserve"> </w:t>
      </w:r>
      <w:r>
        <w:drawing>
          <wp:inline>
            <wp:extent cx="5577840" cy="8001665"/>
            <wp:effectExtent b="0" l="0" r="0" t="0"/>
            <wp:docPr descr="Figure 3.2 - Security verification output - 29 passed, 0 failed, 1 skipped" title="" id="619" name="Picture"/>
            <a:graphic>
              <a:graphicData uri="http://schemas.openxmlformats.org/drawingml/2006/picture">
                <pic:pic>
                  <pic:nvPicPr>
                    <pic:cNvPr descr="docs/capstone/screenshots/figures/fig-3.2-verify-security.png" id="620" name="Picture"/>
                    <pic:cNvPicPr>
                      <a:picLocks noChangeArrowheads="1" noChangeAspect="1"/>
                    </pic:cNvPicPr>
                  </pic:nvPicPr>
                  <pic:blipFill>
                    <a:blip r:embed="rId618"/>
                    <a:stretch>
                      <a:fillRect/>
                    </a:stretch>
                  </pic:blipFill>
                  <pic:spPr bwMode="auto">
                    <a:xfrm>
                      <a:off x="0" y="0"/>
                      <a:ext cx="5577840" cy="8001665"/>
                    </a:xfrm>
                    <a:prstGeom prst="rect">
                      <a:avLst/>
                    </a:prstGeom>
                    <a:noFill/>
                    <a:ln w="9525">
                      <a:noFill/>
                      <a:headEnd/>
                      <a:tailEnd/>
                    </a:ln>
                  </pic:spPr>
                </pic:pic>
              </a:graphicData>
            </a:graphic>
          </wp:inline>
        </w:drawing>
      </w:r>
    </w:p>
    <w:p>
      <w:pPr>
        <w:pStyle w:val="BodyText"/>
      </w:pPr>
      <w:r>
        <w:rPr>
          <w:rStyle w:val="VerbatimChar"/>
        </w:rPr>
        <w:t xml:space="preserve">scripts/verify-security.sh    passed 26    failed 0    skipped 3</w:t>
      </w:r>
    </w:p>
    <w:p>
      <w:pPr>
        <w:pStyle w:val="BodyText"/>
      </w:pPr>
      <w:r>
        <w:t xml:space="preserve">Reproduced from cold on 2 August - stack stopped and restarted, database truncated, re-seeded, backend rebooted - with an identical result. It is a repeatable procedure, not a single favourable reading.</w:t>
      </w:r>
    </w:p>
    <w:p>
      <w:pPr>
        <w:pStyle w:val="TableCaption"/>
      </w:pPr>
      <w:r>
        <w:t xml:space="preserve">Table 3.4 - Security verification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Result, 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 which is the property that matters - the sabotage is precise, not merely destructive: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rather than three in one. Every other test stayed green - the sabotage is precise, not merely destructive, which is the property that makes the exercise worth anything. The line was restored immediately afterwards and the working tree verified clean.</w:t>
      </w:r>
    </w:p>
    <w:p>
      <w:pPr>
        <w:pStyle w:val="BodyText"/>
      </w:pPr>
      <w:r>
        <w:t xml:space="preserve">And it exposed a genuine problem. A similarly-named test in photos.test.ts remained green -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(§6.3 item 4); the client is not</w:t>
            </w:r>
          </w:p>
        </w:tc>
      </w:tr>
    </w:tbl>
    <w:p>
      <w:pPr>
        <w:pStyle w:val="BodyText"/>
      </w:pPr>
      <w:r>
        <w:t xml:space="preserve">The application has been driven end to end in a desktop browser via Expo's web target, so the screens are exercised rather than merely compiled. Web is a verification convenience; the product targets iOS and Android, and that is where it remains unproven.</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most serious:</w:t>
      </w:r>
    </w:p>
    <w:p>
      <w:pPr>
        <w:pStyle w:val="TableCaption"/>
      </w:pPr>
      <w:r>
        <w:t xml:space="preserve">Table 3.5 - Defects identified and** **resolved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They are recorded because a report claiming twenty-five consecutive fixes with no regressions would not be credible.</w:t>
      </w:r>
    </w:p>
    <w:p>
      <w:pPr>
        <w:pStyle w:val="BodyText"/>
      </w:pPr>
      <w:r>
        <w:t xml:space="preserve">Three later defects are worth naming, because each was invisible to every static check. All were found by driving the running application, and all were fixed on 16 August.</w:t>
      </w:r>
    </w:p>
    <w:p>
      <w:pPr>
        <w:pStyle w:val="TableCaption"/>
      </w:pPr>
      <w:r>
        <w:t xml:space="preserve">Table 3.9 - Defects only a running application could show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Plan 03 generated thumbnails, thumbnail_s3_key was always null and the client fell back to full-resolution originals, so one page could exceed 100 MB. That is a four-order-of-magnitude reduction, and it is the single clearest quantitative justification for the storage work.</w:t>
      </w:r>
    </w:p>
    <w:p>
      <w:pPr>
        <w:pStyle w:val="BodyText"/>
      </w:pPr>
      <w:r>
        <w:t xml:space="preserve">The load profile (50 VU, 5 min) crossed its thresholds, and the reason is instructive rather than damning. It recorded 69.38% http_req_failed over 4,727 requests. The failures decompose exactly: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 per-identity rate limiting and cross-school authorization - hold under concurrent load. It does not establish a capacity ceiling: at 50 virtual users the binding constraint was the project's own rate limiter, by design, so no unconstrained throughput or latency figure exists. Obtaining one requires per-virtual-user identities or a raised ceiling, and a deployed target to make the number mean anything. No figure has been extrapolated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performance characteristic has been measured. Neither is an oversight discovered late; each follows from one absent step - deployment. The error-reporting pipeline, previously listed here, has since carried a real event; §6.3 item 4 records it. Observation on the shipping platform, previously listed here, is now largely closed: the application has been driven end to end on a physical Android device, and on a physical iPhone on 16 August.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rather than fail. Three runs within half an hour produced timeouts on 9 August. Every failure observed was a timeout, never a failed assertion, and the same files passed in isolation immediately afterwards. Moving local runs onto a local Supabase stack removes that constraint for developers - the suite was run twice in succession on 20 August with no timeout and no variance worth reporting - but it does not remove it from CI, which still signs in against hive-test. A red CI run is still worth re-reading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§4.3 is a capture from that device rather than a browser.</w:t>
      </w:r>
    </w:p>
    <w:p>
      <w:pPr>
        <w:pStyle w:val="TableCaption"/>
      </w:pPr>
      <w:r>
        <w:t xml:space="preserve">Table 3.7 - Behaviour verified on the device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significant is worth stating in full,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The loop ran 145 times in one session, measured,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subsequently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are stated deliberately, because both bear on how much the run proves. Nothing was captured: there is no recording, screenshot set or retained log, so this is an observed pass rather than an artefact, and unlike the Android run it contributes no figure to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 a fact confirmed rather than assumed: with only Expo Go installed, cmd package resolve-activity -a android.intent.action.VIEW -d "hive://feed" answered</w:t>
      </w:r>
      <w:r>
        <w:t xml:space="preserve"> </w:t>
      </w:r>
      <w:r>
        <w:rPr>
          <w:i/>
          <w:iCs/>
        </w:rPr>
        <w:t xml:space="preserve">No activity found</w:t>
      </w:r>
      <w:r>
        <w:t xml:space="preserve"> </w:t>
      </w:r>
      <w:r>
        <w:t xml:space="preserve">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5" w:name="execution-environment"/>
    <w:p>
      <w:pPr>
        <w:pStyle w:val="Heading2"/>
      </w:pPr>
      <w:r>
        <w:t xml:space="preserve">4.1 Execution environment</w:t>
      </w:r>
    </w:p>
    <w:p>
      <w:pPr>
        <w:pStyle w:val="CaptionedFigure"/>
      </w:pPr>
      <w:r>
        <w:drawing>
          <wp:inline>
            <wp:extent cx="5577840" cy="2236206"/>
            <wp:effectExtent b="0" l="0" r="0" t="0"/>
            <wp:docPr descr="Figure 4.1 - Health endpoint, healthy and degraded" title="" id="633" name="Picture"/>
            <a:graphic>
              <a:graphicData uri="http://schemas.openxmlformats.org/drawingml/2006/picture">
                <pic:pic>
                  <pic:nvPicPr>
                    <pic:cNvPr descr="docs/capstone/screenshots/figures/fig-4.1-health.png" id="634" name="Picture"/>
                    <pic:cNvPicPr>
                      <a:picLocks noChangeArrowheads="1" noChangeAspect="1"/>
                    </pic:cNvPicPr>
                  </pic:nvPicPr>
                  <pic:blipFill>
                    <a:blip r:embed="rId632"/>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5"/>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r>
        <w:t xml:space="preserve"> </w:t>
      </w:r>
      <w:r>
        <w:rPr>
          <w:i/>
          <w:iCs/>
        </w:rPr>
        <w:t xml:space="preserve">(Figure 4.1)</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 what was not done is provisioning a hosting target.</w:t>
      </w:r>
    </w:p>
    <w:p>
      <w:pPr>
        <w:pStyle w:val="BodyText"/>
      </w:pPr>
      <w:r>
        <w:t xml:space="preserve">This is a scoping decision rather than an unfinished task, and it is recorded as one. The objectives in §1.3 are about a demonstrable privacy boundary and a correct ordering path; neither requires a public origin, and the system is exercised locally and on physical hardware over the local network instead (§3.3.8).</w:t>
      </w:r>
    </w:p>
    <w:p>
      <w:pPr>
        <w:pStyle w:val="BodyText"/>
      </w:pPr>
      <w:r>
        <w:t xml:space="preserve">Three consequences follow, and are stated rather than quietly dropped:</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(OnePlus CPH2487)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Re-captured on 24 August against the current build. An earlier set was taken on 16 August, before the brand and play layer landed that evening and before the diary landed on 20 August, so those figures showed an interface the submission no longer describes. Every application figure below is now from the same 24 August session on the same handset, at 1240 px wide with the status bar cropped uniformly, and the diary - which previously had no figure at all - is captured in two.</w:t>
      </w:r>
    </w:p>
    <w:p>
      <w:pPr>
        <w:pStyle w:val="TableCaption"/>
      </w:pPr>
      <w:r>
        <w:t xml:space="preserve">Table 4.2 - Application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 two most important figures in the submission, and they are only meaningful as a pair. Both were captured on the same device at the same resolution with the same crop, so the comparison is between the application's behaviour and nothing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demonstrated as an observable property rather than asserted as a feature - §3.3.2 gives the same result measured at the API.</w:t>
      </w:r>
    </w:p>
    <w:p>
      <w:pPr>
        <w:pStyle w:val="BodyText"/>
      </w:pPr>
      <w:r>
        <w:rPr>
          <w:i/>
          <w:iCs/>
        </w:rPr>
        <w:t xml:space="preserve">Evidence figures 3.1, 3.2, 3.3, 3.5, 4.1, 5.1 and 5.2 are terminal and repository captures rather than application screenshots;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type="pct" w:w="5000"/>
        <w:tblLayout w:type="fixed"/>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218 tests,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218 tests,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49"/>
    <w:bookmarkStart w:id="650" w:name="supervisor-interaction-summary"/>
    <w:p>
      <w:pPr>
        <w:pStyle w:val="Heading2"/>
      </w:pPr>
      <w:r>
        <w:t xml:space="preserve">5.3 Supervisor interaction summary</w:t>
      </w:r>
    </w:p>
    <w:p>
      <w:pPr>
        <w:pStyle w:val="FirstParagraph"/>
      </w:pPr>
      <w:r>
        <w:t xml:space="preserve">Reviews were held through the project period from February to August 2026. One</w:t>
      </w:r>
      <w:r>
        <w:t xml:space="preserve"> </w:t>
      </w:r>
      <w:r>
        <w:t xml:space="preserve">row per review below; the schedule is laid out by month so the cadence across</w:t>
      </w:r>
      <w:r>
        <w:t xml:space="preserve"> </w:t>
      </w:r>
      <w:r>
        <w:t xml:space="preserve">the semester is visible.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The defining constraint - that the API bypasses row-level security by design - was addressed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 reproduced cold. One skip needs a deployment (HTTPS); the other needs FORCE_500_PATH set alongside NODE_ENV=production.</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never-executed infrastructure removed - the asynchronous queue and object-store client neither of which had ever run.</w:t>
      </w:r>
    </w:p>
    <w:p>
      <w:pPr>
        <w:pStyle w:val="Compact"/>
        <w:numPr>
          <w:ilvl w:val="0"/>
          <w:numId w:val="1007"/>
        </w:numPr>
      </w:pPr>
      <w:r>
        <w:t xml:space="preserve">A second parent surface that a feed cannot be. The diary renders one child's whole time at the school, read forwards, bucketed in the</w:t>
      </w:r>
      <w:r>
        <w:t xml:space="preserve"> </w:t>
      </w:r>
      <w:r>
        <w:rPr>
          <w:i/>
          <w:iCs/>
        </w:rPr>
        <w:t xml:space="preserve">viewer's</w:t>
      </w:r>
      <w:r>
        <w:t xml:space="preserve"> </w:t>
      </w:r>
      <w:r>
        <w:t xml:space="preserve">calendar rather than the server's, signing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stopped being able to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order submission answered in 485 ms with Redis stopped.</w:t>
      </w:r>
    </w:p>
    <w:bookmarkEnd w:id="653"/>
    <w:bookmarkStart w:id="654" w:name="limitations"/>
    <w:p>
      <w:pPr>
        <w:pStyle w:val="Heading2"/>
      </w:pPr>
      <w:r>
        <w:t xml:space="preserve">6.3 Limitations</w:t>
      </w:r>
    </w:p>
    <w:p>
      <w:pPr>
        <w:pStyle w:val="FirstParagraph"/>
      </w:pPr>
      <w:r>
        <w:t xml:space="preserve">Stated explicitly; each is evidenced in Table 3.6.</w:t>
      </w:r>
    </w:p>
    <w:p>
      <w:pPr>
        <w:pStyle w:val="Compact"/>
        <w:numPr>
          <w:ilvl w:val="0"/>
          <w:numId w:val="1008"/>
        </w:numPr>
      </w:pPr>
      <w:r>
        <w:t xml:space="preserve">The system is not deployed, by decision rather than by omission. No hosted URL and no application binary, and none planned - see §4.2.2, which states the three consequences that follow rather than leaving them implied. The container image builds and is tested on every push; only the hosting target is absent.</w:t>
      </w:r>
    </w:p>
    <w:p>
      <w:pPr>
        <w:pStyle w:val="Compact"/>
        <w:numPr>
          <w:ilvl w:val="0"/>
          <w:numId w:val="1008"/>
        </w:numPr>
      </w:pPr>
      <w:r>
        <w:t xml:space="preserve">No performance measurement against a deployment exists. The k6 suite has now run - locally, on 16 August - and the smoke profile passes every threshold with a 3,908-byte feed page (§3.3.6). What is missing is a</w:t>
      </w:r>
      <w:r>
        <w:t xml:space="preserve"> </w:t>
      </w:r>
      <w:r>
        <w:rPr>
          <w:i/>
          <w:iCs/>
        </w:rPr>
        <w:t xml:space="preserve">capacity</w:t>
      </w:r>
      <w:r>
        <w:t xml:space="preserve"> </w:t>
      </w:r>
      <w:r>
        <w:t xml:space="preserve">figure: at 50 virtual users the binding constraint was the project's own per-identity rate limiter rather than the application, so no unconstrained throughput or latency number has been obtained, and none has been estimated.</w:t>
      </w:r>
    </w:p>
    <w:p>
      <w:pPr>
        <w:pStyle w:val="Compact"/>
        <w:numPr>
          <w:ilvl w:val="0"/>
          <w:numId w:val="1008"/>
        </w:numPr>
      </w:pPr>
      <w:r>
        <w:t xml:space="preserve">Native deep links are unverified, and the iOS evidence is weaker than the Android evidence. This limitation formerly read "iOS is unverified"; both platforms have now run on hardware. The Android run was the substantial one - the keychain-backed session, the image picker, upload progress, role routing and privacy scoping are all proven there, seven defects were found that no other method surfaced, and it supplies the application figures in §4.3 (§3.3.8). The iOS run, on 16 August, exercised all three roles on a physical iPhone but through Expo Go rather than a standalone build, and nothing was captured - so it is an observed pass, and the native paths ran under Expo Go's container rather than the application's own bundle identifier. What remains unproven is narrower than it was. hive:// deep linking was closed on Android on 16 August: a standalone build was produced with expo run:android and installed, after which the operating system resolves the scheme to com.hive.app.MainActivity and routes it both cold and warm, with an unauthenticated link correctly redirected to login (§3.3.8). Two things are still outstanding - that an</w:t>
      </w:r>
      <w:r>
        <w:t xml:space="preserve"> </w:t>
      </w:r>
      <w:r>
        <w:rPr>
          <w:i/>
          <w:iCs/>
        </w:rPr>
        <w:t xml:space="preserve">authenticated</w:t>
      </w:r>
      <w:r>
        <w:t xml:space="preserve"> </w:t>
      </w:r>
      <w:r>
        <w:t xml:space="preserve">link resolves to its target screen, which the automation harness could not type a clean sign-in to reach, and iOS, where no standalone build was produced and Expo Go serves under exp://.</w:t>
      </w:r>
    </w:p>
    <w:p>
      <w:pPr>
        <w:pStyle w:val="Compact"/>
        <w:numPr>
          <w:ilvl w:val="0"/>
          <w:numId w:val="1008"/>
        </w:numPr>
      </w:pPr>
      <w:r>
        <w:t xml:space="preserve">The error-reporting pipeline has never carried an error. Closed on 16 August. A Sentry project was created, SENTRY_DSN supplied, and the backend now logs</w:t>
      </w:r>
      <w:r>
        <w:t xml:space="preserve"> </w:t>
      </w:r>
      <w:r>
        <w:rPr>
          <w:i/>
          <w:iCs/>
        </w:rPr>
        <w:t xml:space="preserve">"Sentry initialised"</w:t>
      </w:r>
      <w:r>
        <w:t xml:space="preserve"> </w:t>
      </w:r>
      <w:r>
        <w:t xml:space="preserve">where it previously took its no-op path. A deliberate exception was captured and delivered - issue HIVE-BACKEND-1, event 8a5130bf. The beforeSend scrubber therefore ran against a real transported event rather than only the synthetic one it was unit-tested with. The mobile application is not wired to Sentry: it reads EXPO_PUBLIC_SENTRY_DSN, which is unset, so client-side reporting remains unproven.</w:t>
      </w:r>
    </w:p>
    <w:p>
      <w:pPr>
        <w:pStyle w:val="Compact"/>
        <w:numPr>
          <w:ilvl w:val="0"/>
          <w:numId w:val="1008"/>
        </w:numPr>
      </w:pPr>
      <w:r>
        <w:t xml:space="preserve">The continuous-integration test step is advisory. Closed on 16 August, and worth recording because of what it turned out to be. The step had been marked continue-on-error: true and was not merely failing to gate - it was</w:t>
      </w:r>
      <w:r>
        <w:t xml:space="preserve"> </w:t>
      </w:r>
      <w:r>
        <w:rPr>
          <w:i/>
          <w:iCs/>
        </w:rPr>
        <w:t xml:space="preserve">failing</w:t>
      </w:r>
      <w:r>
        <w:t xml:space="preserve">, on every push, with the failure masked. The harness refused to start (</w:t>
      </w:r>
      <w:r>
        <w:rPr>
          <w:i/>
          <w:iCs/>
        </w:rPr>
        <w:t xml:space="preserve">"SUPABASE_URL and SUPABASE_SERVICE_KEY must be set in packages/backend/.env.test"</w:t>
      </w:r>
      <w:r>
        <w:t xml:space="preserve">), the step exited 1, and the job still reported green. A green tick beside Test backend implied a guard that did not exist, and the only place the truth appeared was the run's annotations. Adding TEST_SUPABASE_URL, TEST_SUPABASE_SERVICE_KEY and TEST_SUPABASE_ANON_KEY as repository secrets, pointing at the separate hive-test project, let the suite run: 218 tests passed across 8 files in 373.86 s in CI. The escape hatch was then removed, and Figure 5.2 is the first run in which the tick beside Test backend means the suite passed. All four checks - lint, typecheck, build and the test suite - now block a merge, and the suite has since grown to 247.</w:t>
      </w:r>
    </w:p>
    <w:p>
      <w:pPr>
        <w:pStyle w:val="Compact"/>
        <w:numPr>
          <w:ilvl w:val="0"/>
          <w:numId w:val="1008"/>
        </w:numPr>
      </w:pPr>
      <w:r>
        <w:t xml:space="preserve">Server-side HEIC conversion does not work. sharp's prebuilt libvips ships libheif without an HEVC decoder, and an iPhone HEIC is HEVC-coded, so the container parses and the pixel decode fails. Established by testing a real HEVC HEIC on 24 July 2026. The mobile client transcodes on the device instead, and the server refuses HEVC with an actionable 400. Magic-byte rejection, previously listed here alongside it, is covered - by photos.test.ts T-20.</w:t>
      </w:r>
    </w:p>
    <w:p>
      <w:pPr>
        <w:pStyle w:val="Compact"/>
        <w:numPr>
          <w:ilvl w:val="0"/>
          <w:numId w:val="1008"/>
        </w:numPr>
      </w:pPr>
      <w:r>
        <w:t xml:space="preserve">The diary was driven on hardware on 24 August and is captured in §4.3, closing what had been the largest gap in the evidence. Two defects found on that run are open and are recorded here rather than left for a reader to notice: the diary's three summary figures render as clipped glyph fragments on Android, because AnimatedCounter paints into a TextInput with no explicit line height and the diary does not override the inherited font size; and EXIF orientation is never applied anywhere in the image pipeline, so a photograph taken in portrait on a phone is displayed rotated a quarter turn in both the feed and the diary. The second is visible in the figures themselves. Neither is a design decision; both are defects with known causes and neither was fixed before submission.</w:t>
      </w:r>
    </w:p>
    <w:p>
      <w:pPr>
        <w:pStyle w:val="Compact"/>
        <w:numPr>
          <w:ilvl w:val="0"/>
          <w:numId w:val="1008"/>
        </w:numPr>
      </w:pPr>
      <w:r>
        <w:t xml:space="preserve">A Redis outage is reported but does not change the health status code. /health surfaces "cache" alongside "database", but only the database determines 200 against 503. This is deliberate - losing the idempotency cache degrades deduplication rather than availability, so the instance should stay in rotation - with the consequence that an orchestrator probing only the status code will not restart or drain an instance whose Redis is unreachable.</w:t>
      </w:r>
    </w:p>
    <w:bookmarkEnd w:id="654"/>
    <w:bookmarkStart w:id="655" w:name="future-enhancements"/>
    <w:p>
      <w:pPr>
        <w:pStyle w:val="Heading2"/>
      </w:pPr>
      <w:r>
        <w:t xml:space="preserve">6.4 Future enhancements</w:t>
      </w:r>
    </w:p>
    <w:p>
      <w:pPr>
        <w:pStyle w:val="FirstParagraph"/>
      </w:pPr>
      <w:r>
        <w:t xml:space="preserve">Immediate, in dependency order:</w:t>
      </w:r>
    </w:p>
    <w:p>
      <w:pPr>
        <w:pStyle w:val="Compact"/>
        <w:numPr>
          <w:ilvl w:val="0"/>
          <w:numId w:val="1009"/>
        </w:numPr>
      </w:pPr>
      <w:r>
        <w:t xml:space="preserve">Deploy. One step that simultaneously unblocks the HTTPS and CORS checks, the load tests, and device testing against a real origin.</w:t>
      </w:r>
    </w:p>
    <w:p>
      <w:pPr>
        <w:pStyle w:val="Compact"/>
        <w:numPr>
          <w:ilvl w:val="0"/>
          <w:numId w:val="1009"/>
        </w:numPr>
      </w:pPr>
      <w:r>
        <w:t xml:space="preserve">Execute the k6 suite against that deployment and record the results.</w:t>
      </w:r>
    </w:p>
    <w:p>
      <w:pPr>
        <w:pStyle w:val="Compact"/>
        <w:numPr>
          <w:ilvl w:val="0"/>
          <w:numId w:val="1009"/>
        </w:numPr>
      </w:pPr>
      <w:r>
        <w:t xml:space="preserve">Produce iOS and Android builds and verify the platform-specific paths.</w:t>
      </w:r>
    </w:p>
    <w:p>
      <w:pPr>
        <w:pStyle w:val="Compact"/>
        <w:numPr>
          <w:ilvl w:val="0"/>
          <w:numId w:val="1009"/>
        </w:numPr>
      </w:pPr>
      <w:r>
        <w:t xml:space="preserve">Make the test step blocking. Done 16 August - see §6.3 item 5.</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p>
      <w:r>
        <w:pict>
          <v:rect style="width:0;height:1.5pt" o:hralign="center" o:hrstd="t" o:hr="t"/>
        </w:pic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32" Target="media/rId632.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2026-08-28T09:40:19Z</dcterms:created>
  <dcterms:modified xsi:type="dcterms:W3CDTF">2026-08-28T09:40:19Z</dcterms:modified>
</cp:coreProperties>
</file>

<file path=docProps/custom.xml><?xml version="1.0" encoding="utf-8"?>
<Properties xmlns="http://schemas.openxmlformats.org/officeDocument/2006/custom-properties" xmlns:vt="http://schemas.openxmlformats.org/officeDocument/2006/docPropsVTypes"/>
</file>