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4.png" ContentType="image/png"/>
  <Override PartName="/word/media/rId558.png" ContentType="image/png"/>
  <Override PartName="/word/media/rId568.png" ContentType="image/png"/>
  <Override PartName="/word/media/rId562.png" ContentType="image/png"/>
  <Override PartName="/word/media/rId584.png" ContentType="image/png"/>
  <Override PartName="/word/media/rId587.png" ContentType="image/png"/>
  <Override PartName="/word/media/rId590.png" ContentType="image/png"/>
  <Override PartName="/word/media/rId593.png" ContentType="image/png"/>
  <Override PartName="/word/media/rId603.png" ContentType="image/png"/>
  <Override PartName="/word/media/rId617.png" ContentType="image/png"/>
  <Override PartName="/word/media/rId621.png" ContentType="image/png"/>
  <Override PartName="/word/media/rId607.png" ContentType="image/png"/>
  <Override PartName="/word/media/rId610.png" ContentType="image/png"/>
  <Override PartName="/word/media/rId614.png" ContentType="image/png"/>
  <Override PartName="/word/media/rId631.png" ContentType="image/png"/>
  <Override PartName="/word/media/rId6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pPr>
        <w:pStyle w:val="BlockText"/>
      </w:pPr>
      <w:r>
        <w:rPr>
          <w:b/>
          <w:bCs/>
        </w:rPr>
        <w:t xml:space="preserve">Structured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Document-format.docx</w:t>
      </w:r>
      <w:r>
        <w:rPr>
          <w:b/>
          <w:bCs/>
        </w:rPr>
        <w:t xml:space="preserve">.</w:t>
      </w:r>
      <w:r>
        <w:t xml:space="preserve"> </w:t>
      </w:r>
      <w:r>
        <w:t xml:space="preserve">Section numbering, chapter order and</w:t>
      </w:r>
      <w:r>
        <w:t xml:space="preserve"> </w:t>
      </w:r>
      <w:r>
        <w:t xml:space="preserve">front matter match the template exactly. Pour into Word and apply the</w:t>
      </w:r>
      <w:r>
        <w:t xml:space="preserve"> </w:t>
      </w:r>
      <w:r>
        <w:t xml:space="preserve">formatting rules in the closing section.</w:t>
      </w:r>
    </w:p>
    <w:p>
      <w:pPr>
        <w:pStyle w:val="BlockText"/>
      </w:pPr>
      <w:r>
        <w:rPr>
          <w:rStyle w:val="VerbatimChar"/>
          <w:b/>
          <w:bCs/>
        </w:rPr>
        <w:t xml:space="preserve">«…»</w:t>
      </w:r>
      <w:r>
        <w:rPr>
          <w:b/>
          <w:bCs/>
        </w:rPr>
        <w:t xml:space="preserve"> </w:t>
      </w:r>
      <w:r>
        <w:rPr>
          <w:b/>
          <w:bCs/>
        </w:rPr>
        <w:t xml:space="preserve">marks the only things I cannot supply</w:t>
      </w:r>
      <w:r>
        <w:t xml:space="preserve"> </w:t>
      </w:r>
      <w:r>
        <w:t xml:space="preserve">— your name, roll number,</w:t>
      </w:r>
      <w:r>
        <w:t xml:space="preserve"> </w:t>
      </w:r>
      <w:r>
        <w:t xml:space="preserve">supervisor, dates, and supervisor remarks. Everything else is written and</w:t>
      </w:r>
      <w:r>
        <w:t xml:space="preserve"> </w:t>
      </w:r>
      <w:r>
        <w:t xml:space="preserve">sourced.</w:t>
      </w:r>
    </w:p>
    <w:p>
      <w:pPr>
        <w:pStyle w:val="BlockText"/>
      </w:pPr>
      <w:r>
        <w:rPr>
          <w:b/>
          <w:bCs/>
        </w:rPr>
        <w:t xml:space="preserve">Every figure is traced to a dated run.</w:t>
      </w:r>
      <w:r>
        <w:t xml:space="preserve"> </w:t>
      </w:r>
      <w:r>
        <w:t xml:space="preserve">Where something was not verified,</w:t>
      </w:r>
      <w:r>
        <w:t xml:space="preserve"> </w:t>
      </w:r>
      <w:r>
        <w:t xml:space="preserve">the report says so. See §3.3.4 and §6.3.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«Your name — roll number»</w:t>
      </w:r>
      <w:r>
        <w:t xml:space="preserve"> </w:t>
      </w:r>
      <w:r>
        <w:rPr>
          <w:i/>
          <w:iCs/>
        </w:rPr>
        <w:t xml:space="preserve">(Team: Srujan, Ruthwik, Bhargav, Nagachaitanya)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«Supervisor name»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«Signature» · «Date»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Implementation Details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Testing, Validation &amp; Results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Execution / Deployment Details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Project Execution Evidence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Conclusion &amp; Future Work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p>
      <w:pPr>
        <w:pStyle w:val="BodyText"/>
      </w:pPr>
      <w:r>
        <w:rPr>
          <w:i/>
          <w:iCs/>
        </w:rPr>
        <w:t xml:space="preserve">(Generate in Word: References → Table of Contents, after applying Heading</w:t>
      </w:r>
      <w:r>
        <w:rPr>
          <w:i/>
          <w:iCs/>
        </w:rPr>
        <w:t xml:space="preserve"> </w:t>
      </w:r>
      <w:r>
        <w:rPr>
          <w:i/>
          <w:iCs/>
        </w:rPr>
        <w:t xml:space="preserve">styles.)</w:t>
      </w:r>
    </w:p>
    <w:p>
      <w:r>
        <w:pict>
          <v:rect style="width:0;height:1.5pt" o:hralign="center" o:hrstd="t" o:hr="t"/>
        </w:pict>
      </w:r>
    </w:p>
    <w:bookmarkEnd w:id="543"/>
    <w:bookmarkStart w:id="54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High-level system architecture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Data flow — photograph upload to parent notification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Entity-relationship diagram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Component interaction — authorization pipeline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Teacher upload screen with student tagger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Parent feed with child switcher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Order placement and confirmation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Administrator dashboard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Test suite execution — 218 tests passing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Security verification output — 27/0/2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Sabotage exercise — targeted tests failing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Privacy comparison — two parents, zero overlap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Signed URL 200 versus stripped-token 400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Health endpoint, healthy and degraded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Commit history — 422 commits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Continuous integration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544"/>
    <w:bookmarkStart w:id="545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Technology stack and rationale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Authorization layers and trust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Representative API endpoints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Test suite composition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Test cases and results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Runtime functional verification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Security verification results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Defects identified and resolved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Properties not verified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Weekly progress summary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545"/>
    <w:bookmarkStart w:id="546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6"/>
    <w:bookmarkStart w:id="553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7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7"/>
    <w:bookmarkStart w:id="548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8"/>
    <w:bookmarkStart w:id="549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9"/>
    <w:bookmarkStart w:id="550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50"/>
    <w:bookmarkStart w:id="551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1"/>
    <w:bookmarkStart w:id="552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2"/>
    <w:bookmarkEnd w:id="553"/>
    <w:bookmarkStart w:id="597" w:name="chapter-2-implementation-details"/>
    <w:p>
      <w:pPr>
        <w:pStyle w:val="Heading1"/>
      </w:pPr>
      <w:r>
        <w:t xml:space="preserve">CHAPTER 2: IMPLEMENTATION DETAILS</w:t>
      </w:r>
    </w:p>
    <w:bookmarkStart w:id="566" w:name="system-architecture-and-design"/>
    <w:p>
      <w:pPr>
        <w:pStyle w:val="Heading2"/>
      </w:pPr>
      <w:r>
        <w:t xml:space="preserve">2.1 System architecture and design</w:t>
      </w:r>
    </w:p>
    <w:bookmarkStart w:id="557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5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6" name="Picture"/>
                    <pic:cNvPicPr>
                      <a:picLocks noChangeArrowheads="1" noChangeAspect="1"/>
                    </pic:cNvPicPr>
                  </pic:nvPicPr>
                  <pic:blipFill>
                    <a:blip r:embed="rId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7"/>
    <w:bookmarkStart w:id="561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4094870"/>
            <wp:effectExtent b="0" l="0" r="0" t="0"/>
            <wp:docPr descr="Figure 2.2 — Data flow — photograph upload to parent notification" title="" id="559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60" name="Picture"/>
                    <pic:cNvPicPr>
                      <a:picLocks noChangeArrowheads="1" noChangeAspect="1"/>
                    </pic:cNvPicPr>
                  </pic:nvPicPr>
                  <pic:blipFill>
                    <a:blip r:embed="rId5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09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1"/>
    <w:bookmarkStart w:id="565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5120640" cy="927295"/>
            <wp:effectExtent b="0" l="0" r="0" t="0"/>
            <wp:docPr descr="Figure 2.4 — Component interaction — authorization pipeline" title="" id="563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927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FirstParagraph"/>
      </w:pPr>
      <w:r>
        <w:rPr>
          <w:b/>
          <w:bCs/>
        </w:rP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5"/>
    <w:bookmarkEnd w:id="566"/>
    <w:bookmarkStart w:id="567" w:name="technology-stack"/>
    <w:p>
      <w:pPr>
        <w:pStyle w:val="Heading2"/>
      </w:pPr>
      <w:r>
        <w:t xml:space="preserve">2.2 Technology stack</w:t>
      </w:r>
    </w:p>
    <w:p>
      <w:pPr>
        <w:pStyle w:val="FirstParagraph"/>
      </w:pPr>
      <w:r>
        <w:rPr>
          <w:b/>
          <w:bCs/>
        </w:rP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7"/>
    <w:bookmarkStart w:id="577" w:name="system-modules"/>
    <w:p>
      <w:pPr>
        <w:pStyle w:val="Heading2"/>
      </w:pPr>
      <w:r>
        <w:t xml:space="preserve">2.3 System modules</w:t>
      </w:r>
    </w:p>
    <w:p>
      <w:pPr>
        <w:pStyle w:val="FirstParagraph"/>
      </w:pPr>
      <w:r>
        <w:rPr>
          <w:b/>
          <w:bCs/>
        </w:rP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9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70" name="Picture"/>
                    <pic:cNvPicPr>
                      <a:picLocks noChangeArrowheads="1" noChangeAspect="1"/>
                    </pic:cNvPicPr>
                  </pic:nvPicPr>
                  <pic:blipFill>
                    <a:blip r:embed="rId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1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1"/>
    <w:bookmarkStart w:id="572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2"/>
    <w:bookmarkStart w:id="573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3"/>
    <w:bookmarkStart w:id="574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4"/>
    <w:bookmarkStart w:id="575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5"/>
    <w:bookmarkStart w:id="576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BodyText"/>
      </w:pPr>
      <w:r>
        <w:rPr>
          <w:b/>
          <w:bCs/>
        </w:rPr>
        <w:t xml:space="preserve">Table 2.4 — Representative API endpoints</w:t>
      </w:r>
      <w:r>
        <w:t xml:space="preserve"> 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6"/>
    <w:bookmarkEnd w:id="577"/>
    <w:bookmarkStart w:id="583" w:name="key-algorithms-and-logic"/>
    <w:p>
      <w:pPr>
        <w:pStyle w:val="Heading2"/>
      </w:pPr>
      <w:r>
        <w:t xml:space="preserve">2.4 Key algorithms and logic</w:t>
      </w:r>
    </w:p>
    <w:bookmarkStart w:id="578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8"/>
    <w:bookmarkStart w:id="579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9"/>
    <w:bookmarkStart w:id="580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80"/>
    <w:bookmarkStart w:id="581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1"/>
    <w:bookmarkStart w:id="582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2"/>
    <w:bookmarkEnd w:id="583"/>
    <w:bookmarkStart w:id="596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5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6" name="Picture"/>
                    <pic:cNvPicPr>
                      <a:picLocks noChangeArrowheads="1" noChangeAspect="1"/>
                    </pic:cNvPicPr>
                  </pic:nvPicPr>
                  <pic:blipFill>
                    <a:blip r:embed="rId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6 — Parent feed with child switcher" title="" id="588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9" name="Picture"/>
                    <pic:cNvPicPr>
                      <a:picLocks noChangeArrowheads="1" noChangeAspect="1"/>
                    </pic:cNvPicPr>
                  </pic:nvPicPr>
                  <pic:blipFill>
                    <a:blip r:embed="rId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1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2" name="Picture"/>
                    <pic:cNvPicPr>
                      <a:picLocks noChangeArrowheads="1" noChangeAspect="1"/>
                    </pic:cNvPicPr>
                  </pic:nvPicPr>
                  <pic:blipFill>
                    <a:blip r:embed="rId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4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6"/>
    <w:bookmarkEnd w:id="597"/>
    <w:bookmarkStart w:id="630" w:name="chapter-3-testing-validation-results"/>
    <w:p>
      <w:pPr>
        <w:pStyle w:val="Heading1"/>
      </w:pPr>
      <w:r>
        <w:t xml:space="preserve">CHAPTER 3: TESTING, VALIDATION &amp; RESULTS</w:t>
      </w:r>
    </w:p>
    <w:bookmarkStart w:id="601" w:name="test-plan"/>
    <w:p>
      <w:pPr>
        <w:pStyle w:val="Heading2"/>
      </w:pPr>
      <w:r>
        <w:t xml:space="preserve">3.1 Test plan</w:t>
      </w:r>
    </w:p>
    <w:bookmarkStart w:id="598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8"/>
    <w:bookmarkStart w:id="599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9"/>
    <w:bookmarkStart w:id="600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600"/>
    <w:bookmarkEnd w:id="601"/>
    <w:bookmarkStart w:id="602" w:name="test-cases"/>
    <w:p>
      <w:pPr>
        <w:pStyle w:val="Heading2"/>
      </w:pPr>
      <w:r>
        <w:t xml:space="preserve">3.2 Test cases</w:t>
      </w:r>
    </w:p>
    <w:p>
      <w:pPr>
        <w:pStyle w:val="FirstParagraph"/>
      </w:pPr>
      <w:r>
        <w:rPr>
          <w:b/>
          <w:bCs/>
        </w:rP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BodyText"/>
      </w:pPr>
      <w:r>
        <w:rPr>
          <w:b/>
          <w:bCs/>
        </w:rPr>
        <w:t xml:space="preserve">Table 3.2 — Test cases and results</w:t>
      </w:r>
      <w:r>
        <w:t xml:space="preserve"> 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2"/>
    <w:bookmarkStart w:id="629" w:name="results-and-analysis"/>
    <w:p>
      <w:pPr>
        <w:pStyle w:val="Heading2"/>
      </w:pPr>
      <w:r>
        <w:t xml:space="preserve">3.3 Results and analysis</w:t>
      </w:r>
    </w:p>
    <w:bookmarkStart w:id="606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2129720"/>
            <wp:effectExtent b="0" l="0" r="0" t="0"/>
            <wp:docPr descr="Figure 3.1 — Test suite execution — 218 tests passing" title="" id="604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12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BodyText"/>
      </w:pPr>
      <w:r>
        <w:rPr>
          <w:b/>
          <w:bCs/>
        </w:rP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6"/>
    <w:bookmarkStart w:id="613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8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1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3"/>
    <w:bookmarkStart w:id="620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1784908"/>
            <wp:effectExtent b="0" l="0" r="0" t="0"/>
            <wp:docPr descr="Figure 3.5 — Signed URL 200 versus stripped-token 400" title="" id="615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6" name="Picture"/>
                    <pic:cNvPicPr>
                      <a:picLocks noChangeArrowheads="1"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1784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5349655"/>
            <wp:effectExtent b="0" l="0" r="0" t="0"/>
            <wp:docPr descr="Figure 3.2 — Security verification output — 27/0/2" title="" id="618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534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BodyText"/>
      </w:pPr>
      <w:r>
        <w:rPr>
          <w:b/>
          <w:bCs/>
        </w:rP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20"/>
    <w:bookmarkStart w:id="624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397411"/>
            <wp:effectExtent b="0" l="0" r="0" t="0"/>
            <wp:docPr descr="Figure 3.3 — Sabotage exercise — targeted tests failing" title="" id="622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3" name="Picture"/>
                    <pic:cNvPicPr>
                      <a:picLocks noChangeArrowheads="1" noChangeAspect="1"/>
                    </pic:cNvPicPr>
                  </pic:nvPicPr>
                  <pic:blipFill>
                    <a:blip r:embed="rId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39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BodyText"/>
      </w:pPr>
      <w:r>
        <w:rPr>
          <w:b/>
          <w:bCs/>
        </w:rP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test gate</w:t>
            </w:r>
          </w:p>
        </w:tc>
        <w:tc>
          <w:tcPr/>
          <w:p>
            <w:pPr>
              <w:pStyle w:val="Compact"/>
            </w:pPr>
            <w:r>
              <w:t xml:space="preserve">Repository secrets absent</w:t>
            </w:r>
          </w:p>
        </w:tc>
        <w:tc>
          <w:tcPr/>
          <w:p>
            <w:pPr>
              <w:pStyle w:val="Compact"/>
            </w:pPr>
            <w:r>
              <w:t xml:space="preserve">218 tests do not yet block a pull request; lint, typecheck and build do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4"/>
    <w:bookmarkStart w:id="625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BodyText"/>
      </w:pPr>
      <w:r>
        <w:rPr>
          <w:b/>
          <w:bCs/>
        </w:rP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5"/>
    <w:bookmarkStart w:id="626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BodyText"/>
      </w:pPr>
      <w:r>
        <w:rPr>
          <w:b/>
          <w:bCs/>
        </w:rPr>
        <w:t xml:space="preserve">Table 3.5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timed.</w:t>
      </w:r>
      <w:r>
        <w:t xml:space="preserve"> </w:t>
      </w:r>
      <w:r>
        <w:t xml:space="preserve">On 16 August the backend suite ran</w:t>
      </w:r>
      <w:r>
        <w:t xml:space="preserve"> </w:t>
      </w:r>
      <w:r>
        <w:rPr>
          <w:b/>
          <w:bCs/>
        </w:rPr>
        <w:t xml:space="preserve">218 tests across 8 files in 245 seconds</w:t>
      </w:r>
      <w:r>
        <w:t xml:space="preserve">, all passing, including table</w:t>
      </w:r>
      <w:r>
        <w:t xml:space="preserve"> </w:t>
      </w:r>
      <w:r>
        <w:t xml:space="preserve">truncation, approximately forty authentication-user creations and full HTTP</w:t>
      </w:r>
      <w:r>
        <w:t xml:space="preserve"> </w:t>
      </w:r>
      <w:r>
        <w:t xml:space="preserve">round-trips against a real Postgres, GoTrue and Storage stack. This supersedes an</w:t>
      </w:r>
      <w:r>
        <w:t xml:space="preserve"> </w:t>
      </w:r>
      <w:r>
        <w:t xml:space="preserve">earlier figure of 178 tests in 115 seconds, which belonged to the smaller suite</w:t>
      </w:r>
      <w:r>
        <w:t xml:space="preserve"> </w:t>
      </w:r>
      <w:r>
        <w:t xml:space="preserve">and should not be restated against this one. The mobile unit suite runs</w:t>
      </w:r>
      <w:r>
        <w:t xml:space="preserve"> </w:t>
      </w:r>
      <w:r>
        <w:rPr>
          <w:b/>
          <w:bCs/>
        </w:rPr>
        <w:t xml:space="preserve">100 tests in 281 milliseconds</w:t>
      </w:r>
      <w:r>
        <w:t xml:space="preserve"> </w:t>
      </w:r>
      <w:r>
        <w:t xml:space="preserve">— it is pure logic with no I/O, which is why</w:t>
      </w:r>
      <w:r>
        <w:t xml:space="preserve"> </w:t>
      </w:r>
      <w:r>
        <w:t xml:space="preserve">the two differ by three orders of magnitude.</w:t>
      </w:r>
    </w:p>
    <w:bookmarkEnd w:id="626"/>
    <w:bookmarkStart w:id="627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7"/>
    <w:bookmarkStart w:id="628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BodyText"/>
      </w:pPr>
      <w:r>
        <w:rPr>
          <w:b/>
          <w:bCs/>
        </w:rP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8"/>
    <w:bookmarkEnd w:id="629"/>
    <w:bookmarkEnd w:id="630"/>
    <w:bookmarkStart w:id="640" w:name="chapter-4-execution-deployment-details"/>
    <w:p>
      <w:pPr>
        <w:pStyle w:val="Heading1"/>
      </w:pPr>
      <w:r>
        <w:t xml:space="preserve">CHAPTER 4: EXECUTION / DEPLOYMENT DETAILS</w:t>
      </w:r>
    </w:p>
    <w:bookmarkStart w:id="634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1901536"/>
            <wp:effectExtent b="0" l="0" r="0" t="0"/>
            <wp:docPr descr="Figure 4.1 — Health endpoint, healthy and degraded" title="" id="632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3" name="Picture"/>
                    <pic:cNvPicPr>
                      <a:picLocks noChangeArrowheads="1" noChangeAspect="1"/>
                    </pic:cNvPicPr>
                  </pic:nvPicPr>
                  <pic:blipFill>
                    <a:blip r:embed="rId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190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4"/>
    <w:bookmarkStart w:id="637" w:name="deployment-steps"/>
    <w:p>
      <w:pPr>
        <w:pStyle w:val="Heading2"/>
      </w:pPr>
      <w:r>
        <w:t xml:space="preserve">4.2 Deployment steps</w:t>
      </w:r>
    </w:p>
    <w:bookmarkStart w:id="635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5"/>
    <w:bookmarkStart w:id="636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6"/>
    <w:bookmarkEnd w:id="637"/>
    <w:bookmarkStart w:id="638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BodyText"/>
      </w:pPr>
      <w:r>
        <w:rPr>
          <w:b/>
          <w:bCs/>
        </w:rP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8"/>
    <w:bookmarkStart w:id="639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9"/>
    <w:bookmarkEnd w:id="640"/>
    <w:bookmarkStart w:id="647" w:name="chapter-5-project-execution-evidence"/>
    <w:p>
      <w:pPr>
        <w:pStyle w:val="Heading1"/>
      </w:pPr>
      <w:r>
        <w:t xml:space="preserve">CHAPTER 5: PROJECT EXECUTION EVIDENCE</w:t>
      </w:r>
    </w:p>
    <w:bookmarkStart w:id="644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414,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422.</w:t>
      </w:r>
    </w:p>
    <w:p>
      <w:pPr>
        <w:pStyle w:val="CaptionedFigure"/>
      </w:pPr>
      <w:r>
        <w:drawing>
          <wp:inline>
            <wp:extent cx="5577840" cy="3052599"/>
            <wp:effectExtent b="0" l="0" r="0" t="0"/>
            <wp:docPr descr="Figure 5.1 — Commit history" title="" id="642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3" name="Picture"/>
                    <pic:cNvPicPr>
                      <a:picLocks noChangeArrowheads="1" noChangeAspect="1"/>
                    </pic:cNvPicPr>
                  </pic:nvPicPr>
                  <pic:blipFill>
                    <a:blip r:embed="rId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52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BodyText"/>
      </w:pPr>
      <w:r>
        <w:rPr>
          <w:i/>
          <w:iCs/>
        </w:rPr>
        <w:t xml:space="preserve">(Figure 5.2 — continuous integration run — not yet captured.)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4"/>
    <w:bookmarkStart w:id="645" w:name="weekly-progress-summary"/>
    <w:p>
      <w:pPr>
        <w:pStyle w:val="Heading2"/>
      </w:pPr>
      <w:r>
        <w:t xml:space="preserve">5.2 Weekly progress summary</w:t>
      </w:r>
    </w:p>
    <w:p>
      <w:pPr>
        <w:pStyle w:val="FirstParagraph"/>
      </w:pPr>
      <w:r>
        <w:rPr>
          <w:b/>
          <w:bCs/>
        </w:rPr>
        <w:t xml:space="preserve">Table 5.1 — Weekly progress</w:t>
      </w:r>
      <w:r>
        <w:t xml:space="preserve"> </w:t>
      </w: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645"/>
    <w:bookmarkStart w:id="646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6"/>
    <w:bookmarkEnd w:id="647"/>
    <w:bookmarkStart w:id="652" w:name="chapter-6-conclusion-future-work"/>
    <w:p>
      <w:pPr>
        <w:pStyle w:val="Heading1"/>
      </w:pPr>
      <w:r>
        <w:t xml:space="preserve">CHAPTER 6: CONCLUSION &amp; FUTURE WORK</w:t>
      </w:r>
    </w:p>
    <w:bookmarkStart w:id="648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48"/>
    <w:bookmarkStart w:id="649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49"/>
    <w:bookmarkStart w:id="650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continuous-integration test step is advisory</w:t>
      </w:r>
      <w:r>
        <w:t xml:space="preserve">, pending repository</w:t>
      </w:r>
      <w:r>
        <w:t xml:space="preserve"> </w:t>
      </w:r>
      <w:r>
        <w:t xml:space="preserve">secrets; lint, typecheck and build do block.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0"/>
    <w:bookmarkStart w:id="651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test step blocking</w:t>
      </w:r>
      <w:r>
        <w:t xml:space="preserve"> </w:t>
      </w:r>
      <w:r>
        <w:t xml:space="preserve">by adding the three repository secrets.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1"/>
    <w:bookmarkEnd w:id="652"/>
    <w:bookmarkStart w:id="65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3"/>
    <w:bookmarkStart w:id="658" w:name="appendix"/>
    <w:p>
      <w:pPr>
        <w:pStyle w:val="Heading1"/>
      </w:pPr>
      <w:r>
        <w:t xml:space="preserve">APPENDIX</w:t>
      </w:r>
    </w:p>
    <w:bookmarkStart w:id="654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4"/>
    <w:bookmarkStart w:id="655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5"/>
    <w:bookmarkStart w:id="656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6"/>
    <w:bookmarkStart w:id="657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7"/>
    <w:bookmarkEnd w:id="658"/>
    <w:bookmarkStart w:id="659" w:name="formatting-checklist"/>
    <w:p>
      <w:pPr>
        <w:pStyle w:val="Heading1"/>
      </w:pPr>
      <w:r>
        <w:t xml:space="preserve">FORMATTING CHECKLIST</w:t>
      </w:r>
    </w:p>
    <w:p>
      <w:pPr>
        <w:pStyle w:val="FirstParagraph"/>
      </w:pPr>
      <w:r>
        <w:t xml:space="preserve">Apply on transfer into</w:t>
      </w:r>
      <w:r>
        <w:t xml:space="preserve"> </w:t>
      </w:r>
      <w:r>
        <w:rPr>
          <w:rStyle w:val="VerbatimChar"/>
        </w:rPr>
        <w:t xml:space="preserve">Document-format.docx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Times New Roman throughout</w:t>
      </w:r>
    </w:p>
    <w:p>
      <w:pPr>
        <w:pStyle w:val="Compact"/>
        <w:numPr>
          <w:ilvl w:val="0"/>
          <w:numId w:val="1009"/>
        </w:numPr>
      </w:pPr>
      <w:r>
        <w:t xml:space="preserve">12 pt body, 14 pt headings</w:t>
      </w:r>
    </w:p>
    <w:p>
      <w:pPr>
        <w:pStyle w:val="Compact"/>
        <w:numPr>
          <w:ilvl w:val="0"/>
          <w:numId w:val="1010"/>
        </w:numPr>
      </w:pPr>
      <w:r>
        <w:t xml:space="preserve">1.5 line spacing</w:t>
      </w:r>
    </w:p>
    <w:p>
      <w:pPr>
        <w:pStyle w:val="Compact"/>
        <w:numPr>
          <w:ilvl w:val="0"/>
          <w:numId w:val="1011"/>
        </w:numPr>
      </w:pPr>
      <w:r>
        <w:t xml:space="preserve">1 inch margins, all sides</w:t>
      </w:r>
    </w:p>
    <w:p>
      <w:pPr>
        <w:pStyle w:val="Compact"/>
        <w:numPr>
          <w:ilvl w:val="0"/>
          <w:numId w:val="1012"/>
        </w:numPr>
      </w:pPr>
      <w:r>
        <w:t xml:space="preserve">Page numbers, bottom-centre</w:t>
      </w:r>
    </w:p>
    <w:p>
      <w:pPr>
        <w:pStyle w:val="Compact"/>
        <w:numPr>
          <w:ilvl w:val="0"/>
          <w:numId w:val="1013"/>
        </w:numPr>
      </w:pPr>
      <w:r>
        <w:t xml:space="preserve">Figures captioned</w:t>
      </w:r>
      <w:r>
        <w:t xml:space="preserve"> </w:t>
      </w:r>
      <w:r>
        <w:t xml:space="preserve">“Figure N.N — …”</w:t>
      </w:r>
      <w:r>
        <w:t xml:space="preserve"> </w:t>
      </w:r>
      <w:r>
        <w:t xml:space="preserve">beneath; tables captioned above</w:t>
      </w:r>
    </w:p>
    <w:p>
      <w:pPr>
        <w:pStyle w:val="Compact"/>
        <w:numPr>
          <w:ilvl w:val="0"/>
          <w:numId w:val="1014"/>
        </w:numPr>
      </w:pPr>
      <w:r>
        <w:t xml:space="preserve">List of Figures and List of Tables updated after captioning</w:t>
      </w:r>
    </w:p>
    <w:p>
      <w:pPr>
        <w:pStyle w:val="Compact"/>
        <w:numPr>
          <w:ilvl w:val="0"/>
          <w:numId w:val="1015"/>
        </w:numPr>
      </w:pPr>
      <w:r>
        <w:t xml:space="preserve">Table of Contents generated from Heading styles</w:t>
      </w:r>
    </w:p>
    <w:p>
      <w:pPr>
        <w:pStyle w:val="Compact"/>
        <w:numPr>
          <w:ilvl w:val="0"/>
          <w:numId w:val="1016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«…»</w:t>
      </w:r>
      <w:r>
        <w:t xml:space="preserve"> </w:t>
      </w:r>
      <w:r>
        <w:t xml:space="preserve">placeholder replaced</w:t>
      </w:r>
    </w:p>
    <w:p>
      <w:pPr>
        <w:pStyle w:val="Compact"/>
        <w:numPr>
          <w:ilvl w:val="0"/>
          <w:numId w:val="1017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</w:p>
    <w:bookmarkEnd w:id="659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4" Target="media/rId554.png" /><Relationship Type="http://schemas.openxmlformats.org/officeDocument/2006/relationships/image" Id="rId558" Target="media/rId558.png" /><Relationship Type="http://schemas.openxmlformats.org/officeDocument/2006/relationships/image" Id="rId568" Target="media/rId568.png" /><Relationship Type="http://schemas.openxmlformats.org/officeDocument/2006/relationships/image" Id="rId562" Target="media/rId562.png" /><Relationship Type="http://schemas.openxmlformats.org/officeDocument/2006/relationships/image" Id="rId584" Target="media/rId584.png" /><Relationship Type="http://schemas.openxmlformats.org/officeDocument/2006/relationships/image" Id="rId587" Target="media/rId587.png" /><Relationship Type="http://schemas.openxmlformats.org/officeDocument/2006/relationships/image" Id="rId590" Target="media/rId590.png" /><Relationship Type="http://schemas.openxmlformats.org/officeDocument/2006/relationships/image" Id="rId593" Target="media/rId593.png" /><Relationship Type="http://schemas.openxmlformats.org/officeDocument/2006/relationships/image" Id="rId603" Target="media/rId603.png" /><Relationship Type="http://schemas.openxmlformats.org/officeDocument/2006/relationships/image" Id="rId617" Target="media/rId617.png" /><Relationship Type="http://schemas.openxmlformats.org/officeDocument/2006/relationships/image" Id="rId621" Target="media/rId621.png" /><Relationship Type="http://schemas.openxmlformats.org/officeDocument/2006/relationships/image" Id="rId607" Target="media/rId607.png" /><Relationship Type="http://schemas.openxmlformats.org/officeDocument/2006/relationships/image" Id="rId610" Target="media/rId610.png" /><Relationship Type="http://schemas.openxmlformats.org/officeDocument/2006/relationships/image" Id="rId614" Target="media/rId614.png" /><Relationship Type="http://schemas.openxmlformats.org/officeDocument/2006/relationships/image" Id="rId631" Target="media/rId631.png" /><Relationship Type="http://schemas.openxmlformats.org/officeDocument/2006/relationships/image" Id="rId641" Target="media/rId6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2026-08-16T04:50:49Z</dcterms:created>
  <dcterms:modified xsi:type="dcterms:W3CDTF">2026-08-16T04:50:49Z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