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 Figure 3.1 shows a re-run on 25 August against the hosted project - the same 247 tests across 9 files, passing, in 150.85 s, alongside 117 mobile unit tests in 330 ms. It is reproduced against the hosted target rather than the local stack because that is what a reader can reach. The seven-fold spread between the two is what this paragraph exists to explain; it is not a discrepancy.</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2026-08-28T13:21:47Z</dcterms:created>
  <dcterms:modified xsi:type="dcterms:W3CDTF">2026-08-28T13:21:47Z</dcterms:modified>
</cp:coreProperties>
</file>

<file path=docProps/custom.xml><?xml version="1.0" encoding="utf-8"?>
<Properties xmlns="http://schemas.openxmlformats.org/officeDocument/2006/custom-properties" xmlns:vt="http://schemas.openxmlformats.org/officeDocument/2006/docPropsVTypes"/>
</file>