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rPr>
          <w:i/>
          <w:iCs/>
        </w:rPr>
        <w:t xml:space="preserve">(338 words)</w:t>
      </w:r>
    </w:p>
    <w:p>
      <w:pPr>
        <w:pStyle w:val="BodyText"/>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w:t>
      </w:r>
      <w:r>
        <w:t xml:space="preserve">- newest first, the fastest route to this afternoon. The diary answers</w:t>
      </w:r>
      <w:r>
        <w:t xml:space="preserve"> </w:t>
      </w:r>
      <w:r>
        <w:rPr>
          <w:i/>
          <w:iCs/>
        </w:rPr>
        <w:t xml:space="preserve">how has it gone</w:t>
      </w:r>
      <w:r>
        <w:t xml:space="preserve"> </w:t>
      </w:r>
      <w:r>
        <w:t xml:space="preserve">-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 "mostly", and not "unless they guess an identifier".</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 the wall is still the fastest route to this afternoon and the diary is deliberately not that - and the parent tab bar now leads with the diary. §2.3.7 and §2.4.6 describe it; the feed screen is renamed</w:t>
      </w:r>
      <w:r>
        <w:t xml:space="preserve"> </w:t>
      </w:r>
      <w:r>
        <w:rPr>
          <w:i/>
          <w:iCs/>
        </w:rPr>
        <w:t xml:space="preserve">Moments</w:t>
      </w:r>
      <w:r>
        <w:t xml:space="preserve"> </w:t>
      </w:r>
      <w:r>
        <w:t xml:space="preserve">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3038404"/>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3038404"/>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ordering is load-bearing. The trigger fires on the transition</w:t>
      </w:r>
      <w:r>
        <w:t xml:space="preserve"> </w:t>
      </w:r>
      <w:r>
        <w:rPr>
          <w:i/>
          <w:iCs/>
        </w:rPr>
        <w:t xml:space="preserve">to</w:t>
      </w:r>
      <w:r>
        <w:t xml:space="preserve"> </w:t>
      </w:r>
      <w:r>
        <w:t xml:space="preserve">ready and iterates the tags existing at that instant. Confirming before tagging produces zero notifications - silently. The system appears to work and the feature is dead. This was a real defect (G-07); the seed script now carries a prominent comment about it and §3.3.2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4912097"/>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4912097"/>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3384754"/>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3384754"/>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4912097"/>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4912097"/>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4912097"/>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4912097"/>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§3.3.1 records the numbers and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§5.1 is the two combined.</w:t>
      </w:r>
    </w:p>
    <w:p>
      <w:pPr>
        <w:pStyle w:val="TableCaption"/>
      </w:pPr>
      <w:r>
        <w:t xml:space="preserve">Table 3.2 - Test cases and results (representative selection; all 247**</w:t>
      </w:r>
      <w:r>
        <w:t xml:space="preserve"> </w:t>
      </w:r>
      <w:r>
        <w:rPr>
          <w:b/>
          <w:bCs/>
        </w:rPr>
        <w:t xml:space="preserve">pass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93165"/>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93165"/>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w:t>
      </w:r>
    </w:p>
    <w:p>
      <w:pPr>
        <w:pStyle w:val="TableCaption"/>
      </w:pPr>
      <w:r>
        <w:t xml:space="preserve">Table 3.3 - Runtime functional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534244"/>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534244"/>
                          </a:xfrm>
                          <a:prstGeom prst="rect">
                            <a:avLst/>
                          </a:prstGeom>
                          <a:noFill/>
                          <a:ln w="9525">
                            <a:noFill/>
                            <a:headEnd/>
                            <a:tailEnd/>
                          </a:ln>
                        </pic:spPr>
                      </pic:pic>
                    </a:graphicData>
                  </a:graphic>
                </wp:inline>
              </w:drawing>
            </w:r>
          </w:p>
        </w:tc>
        <w:tc>
          <w:tcPr/>
          <w:p>
            <w:pPr>
              <w:pStyle w:val="Compact"/>
              <w:jc w:val="center"/>
            </w:pPr>
            <w:r>
              <w:drawing>
                <wp:inline>
                  <wp:extent cx="2194560" cy="4534244"/>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534244"/>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(§3.3.4).</w:t>
      </w:r>
    </w:p>
    <w:bookmarkEnd w:id="621"/>
    <w:bookmarkStart w:id="625" w:name="the-sabotage-exercise"/>
    <w:p>
      <w:pPr>
        <w:pStyle w:val="Heading3"/>
      </w:pPr>
      <w:r>
        <w:t xml:space="preserve">3.3.4 The sabotage exercise</w:t>
      </w:r>
    </w:p>
    <w:p>
      <w:pPr>
        <w:pStyle w:val="CaptionedFigure"/>
      </w:pPr>
      <w:r>
        <w:drawing>
          <wp:inline>
            <wp:extent cx="5577840" cy="3199651"/>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3199651"/>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16 August, it now fails five - the guard has gained coverage since. 218 tests | 5 failed | 213 passed: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The diary on a device</w:t>
            </w:r>
          </w:p>
        </w:tc>
        <w:tc>
          <w:tcPr/>
          <w:p>
            <w:pPr>
              <w:pStyle w:val="Compact"/>
            </w:pPr>
            <w:r>
              <w:t xml:space="preserve">Added 20 August, after the 16 August device runs</w:t>
            </w:r>
          </w:p>
        </w:tc>
        <w:tc>
          <w:tcPr/>
          <w:p>
            <w:pPr>
              <w:pStyle w:val="Compact"/>
            </w:pPr>
            <w:r>
              <w:t xml:space="preserve">Its two endpoints and the calendar arithmetic carry 29 automated tests, but the screen itself has not been driven on hardware and no captured figure of it exists, so it contributes nothing to §4.3</w:t>
            </w:r>
          </w:p>
        </w:tc>
      </w:tr>
      <w:tr>
        <w:tc>
          <w:tcPr/>
          <w:p>
            <w:pPr>
              <w:pStyle w:val="Compact"/>
            </w:pPr>
            <w:r>
              <w:t xml:space="preserve">Server-side HEIC conversion</w:t>
            </w:r>
          </w:p>
        </w:tc>
        <w:tc>
          <w:tcPr/>
          <w:p>
            <w:pPr>
              <w:pStyle w:val="Compact"/>
            </w:pPr>
            <w:r>
              <w:t xml:space="preserve">sharp's prebuilt libvips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most serious:</w:t>
      </w:r>
    </w:p>
    <w:p>
      <w:pPr>
        <w:pStyle w:val="TableCaption"/>
      </w:pPr>
      <w:r>
        <w:t xml:space="preserve">Table 3.5 - Defects identified and** **resolved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§6.3 item 4 records it. Observation on the shipping platform, previously listed here, is now largely closed: the application has been driven end to end on a physical Android device, and on a physical iPhone on 16 August.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§4.3 is a capture from that device rather than a browser.</w:t>
      </w:r>
    </w:p>
    <w:p>
      <w:pPr>
        <w:pStyle w:val="TableCaption"/>
      </w:pPr>
      <w:r>
        <w:t xml:space="preserve">Table 3.7 - Behaviour verified on the device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 "hive://feed" answered</w:t>
      </w:r>
      <w:r>
        <w:t xml:space="preserve"> </w:t>
      </w:r>
      <w:r>
        <w:rPr>
          <w:i/>
          <w:iCs/>
        </w:rPr>
        <w:t xml:space="preserve">No activity found</w:t>
      </w:r>
      <w:r>
        <w:t xml:space="preserve"> </w:t>
      </w:r>
      <w:r>
        <w:t xml:space="preserve">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 what was not done is provisioning a hosting target.</w:t>
      </w:r>
    </w:p>
    <w:p>
      <w:pPr>
        <w:pStyle w:val="BodyText"/>
      </w:pPr>
      <w:r>
        <w:t xml:space="preserve">This is a scoping decision rather than an unfinished task, and it is recorded as one. The objectives in §1.3 are about a demonstrable privacy boundary and a correct ordering path; neither requires a public origin, and the system is exercised locally and on physical hardware over the local network instead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(OnePlus CPH2487)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They are dated, and the interface has moved since. Every figure below was captured on the afternoon of 16 August. The brand and play layer described in §2.3.8 landed the same evening, and the diary on 20 August. The figures are therefore an accurate record of the application as it stood when they were taken and not of the current build: the login screen, the onboarding carousel, the tab bar, the empty states and the feed's layout all changed afterwards, and the diary has no figure at all. Re-capturing them is the outstanding piece of evidence work, and it is listed as such in §6.3 rather than glossed here.</w:t>
      </w:r>
    </w:p>
    <w:p>
      <w:pPr>
        <w:pStyle w:val="TableCaption"/>
      </w:pPr>
      <w:r>
        <w:t xml:space="preserve">Table 4.2 - Application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§3.3.2 gives the same result measured at the API.</w:t>
      </w:r>
    </w:p>
    <w:p>
      <w:pPr>
        <w:pStyle w:val="BodyText"/>
      </w:pPr>
      <w:r>
        <w:rPr>
          <w:i/>
          <w:iCs/>
        </w:rPr>
        <w:t xml:space="preserve">Evidence figures 3.1, 3.2, 3.3, 3.5, 4.1, 5.1 and 5.2 are terminal and repository captures rather than application screenshots;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3b4145e</w:t>
      </w:r>
      <w:r>
        <w:rPr>
          <w:i/>
          <w:iCs/>
        </w:rPr>
        <w:t xml:space="preserve">, 20 August 2026. Figure 5.1 is a capture of an earlier head and shows the corresponding earlier totals; the figures below are a dated snapshot re-counted on 20 August, not a live count, and any commit made after that point moves them.</w:t>
      </w:r>
    </w:p>
    <w:tbl>
      <w:tblPr>
        <w:tblStyle w:val="Table"/>
        <w:tblW w:type="pct" w:w="5000"/>
        <w:tblLayout w:type="fixed"/>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455</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152</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155</w:t>
            </w:r>
          </w:p>
        </w:tc>
      </w:tr>
      <w:tr>
        <w:tc>
          <w:tcPr/>
          <w:p>
            <w:pPr>
              <w:pStyle w:val="Compact"/>
            </w:pPr>
            <w:r>
              <w:t xml:space="preserve">Ruthwik</w:t>
            </w:r>
          </w:p>
        </w:tc>
        <w:tc>
          <w:tcPr/>
          <w:p>
            <w:pPr>
              <w:pStyle w:val="Compact"/>
            </w:pPr>
            <w:r>
              <w:t xml:space="preserve">110</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447, with a further 8 merge commits making 455.</w:t>
      </w:r>
    </w:p>
    <w:p>
      <w:pPr>
        <w:pStyle w:val="CaptionedFigure"/>
      </w:pPr>
      <w:r>
        <w:drawing>
          <wp:inline>
            <wp:extent cx="5577840" cy="2875122"/>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75122"/>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158026"/>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158026"/>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p>
        </w:tc>
        <w:tc>
          <w:tcPr/>
          <w:p>
            <w:pPr>
              <w:pStyle w:val="Compact"/>
            </w:pPr>
          </w:p>
        </w:tc>
      </w:tr>
      <w:tr>
        <w:tc>
          <w:tcPr/>
          <w:p>
            <w:pPr>
              <w:pStyle w:val="Compact"/>
            </w:pPr>
            <w:r>
              <w:t xml:space="preserve">March 2026</w:t>
            </w:r>
          </w:p>
        </w:tc>
        <w:tc>
          <w:tcPr/>
          <w:p>
            <w:pPr>
              <w:pStyle w:val="Compact"/>
            </w:pPr>
          </w:p>
        </w:tc>
        <w:tc>
          <w:tcPr/>
          <w:p>
            <w:pPr>
              <w:pStyle w:val="Compact"/>
            </w:pPr>
          </w:p>
        </w:tc>
      </w:tr>
      <w:tr>
        <w:tc>
          <w:tcPr/>
          <w:p>
            <w:pPr>
              <w:pStyle w:val="Compact"/>
            </w:pPr>
            <w:r>
              <w:t xml:space="preserve">April 2026</w:t>
            </w:r>
          </w:p>
        </w:tc>
        <w:tc>
          <w:tcPr/>
          <w:p>
            <w:pPr>
              <w:pStyle w:val="Compact"/>
            </w:pPr>
          </w:p>
        </w:tc>
        <w:tc>
          <w:tcPr/>
          <w:p>
            <w:pPr>
              <w:pStyle w:val="Compact"/>
            </w:pPr>
          </w:p>
        </w:tc>
      </w:tr>
      <w:tr>
        <w:tc>
          <w:tcPr/>
          <w:p>
            <w:pPr>
              <w:pStyle w:val="Compact"/>
            </w:pPr>
            <w:r>
              <w:t xml:space="preserve">May 2026</w:t>
            </w:r>
          </w:p>
        </w:tc>
        <w:tc>
          <w:tcPr/>
          <w:p>
            <w:pPr>
              <w:pStyle w:val="Compact"/>
            </w:pPr>
          </w:p>
        </w:tc>
        <w:tc>
          <w:tcPr/>
          <w:p>
            <w:pPr>
              <w:pStyle w:val="Compact"/>
            </w:pPr>
          </w:p>
        </w:tc>
      </w:tr>
      <w:tr>
        <w:tc>
          <w:tcPr/>
          <w:p>
            <w:pPr>
              <w:pStyle w:val="Compact"/>
            </w:pPr>
            <w:r>
              <w:t xml:space="preserve">June 2026</w:t>
            </w:r>
          </w:p>
        </w:tc>
        <w:tc>
          <w:tcPr/>
          <w:p>
            <w:pPr>
              <w:pStyle w:val="Compact"/>
            </w:pPr>
          </w:p>
        </w:tc>
        <w:tc>
          <w:tcPr/>
          <w:p>
            <w:pPr>
              <w:pStyle w:val="Compact"/>
            </w:pPr>
          </w:p>
        </w:tc>
      </w:tr>
      <w:tr>
        <w:tc>
          <w:tcPr/>
          <w:p>
            <w:pPr>
              <w:pStyle w:val="Compact"/>
            </w:pPr>
            <w:r>
              <w:t xml:space="preserve">July 2026</w:t>
            </w:r>
          </w:p>
        </w:tc>
        <w:tc>
          <w:tcPr/>
          <w:p>
            <w:pPr>
              <w:pStyle w:val="Compact"/>
            </w:pPr>
          </w:p>
        </w:tc>
        <w:tc>
          <w:tcPr/>
          <w:p>
            <w:pPr>
              <w:pStyle w:val="Compact"/>
            </w:pPr>
          </w:p>
        </w:tc>
      </w:tr>
      <w:tr>
        <w:tc>
          <w:tcPr/>
          <w:p>
            <w:pPr>
              <w:pStyle w:val="Compact"/>
            </w:pPr>
            <w:r>
              <w:t xml:space="preserve">August 2026</w:t>
            </w:r>
          </w:p>
        </w:tc>
        <w:tc>
          <w:tcPr/>
          <w:p>
            <w:pPr>
              <w:pStyle w:val="Compact"/>
            </w:pPr>
          </w:p>
        </w:tc>
        <w:tc>
          <w:tcPr/>
          <w:p>
            <w:pPr>
              <w:pStyle w:val="Compact"/>
            </w:pP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w:t>
      </w:r>
      <w:r>
        <w:t xml:space="preserve">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evidenced in Table 3.6.</w:t>
      </w:r>
    </w:p>
    <w:p>
      <w:pPr>
        <w:pStyle w:val="Compact"/>
        <w:numPr>
          <w:ilvl w:val="0"/>
          <w:numId w:val="1008"/>
        </w:numPr>
      </w:pPr>
      <w:r>
        <w:t xml:space="preserve">The system is not deployed, by decision rather than by omission. No hosted URL and no application binary, and none planned - see §4.2.2, which states the three consequences that follow rather than leaving them implied. The container image builds and is tested on every push; only the hosting target is absent.</w:t>
      </w:r>
    </w:p>
    <w:p>
      <w:pPr>
        <w:pStyle w:val="Compact"/>
        <w:numPr>
          <w:ilvl w:val="0"/>
          <w:numId w:val="1008"/>
        </w:numPr>
      </w:pPr>
      <w:r>
        <w:t xml:space="preserve">No performance measurement against a deployment exists. The k6 suite has now run - locally, on 16 August - and the smoke profile passes every threshold with a 3,908-byte feed page (§3.3.6). What is missing is a</w:t>
      </w:r>
      <w:r>
        <w:t xml:space="preserve"> </w:t>
      </w:r>
      <w:r>
        <w:rPr>
          <w:i/>
          <w:iCs/>
        </w:rPr>
        <w:t xml:space="preserve">capacity</w:t>
      </w:r>
      <w:r>
        <w:t xml:space="preserve"> </w:t>
      </w:r>
      <w:r>
        <w:t xml:space="preserve">figure: at 50 virtual users the binding constraint was the project's own per-identity rate limiter rather than the application, so no unconstrained throughput or latency number has been obtained, and none has been estimated.</w:t>
      </w:r>
    </w:p>
    <w:p>
      <w:pPr>
        <w:pStyle w:val="Compact"/>
        <w:numPr>
          <w:ilvl w:val="0"/>
          <w:numId w:val="1008"/>
        </w:numPr>
      </w:pPr>
      <w:r>
        <w:t xml:space="preserve">Native deep links are unverified, and the iOS evidence is weaker than the Android evidence. This limitation formerly read "iOS is unverified"; both platforms have now run on hardware. The Android run was the substantial one - the keychain-backed session, the image picker, upload progress, role routing and privacy scoping are all proven there, seven defects were found that no other method surfaced, and it supplies the application figures in §4.3 (§3.3.8). The iOS run, on 16 August, exercised all three roles on a physical iPhone but through Expo Go rather than a standalone build, and nothing was captured - so it is an observed pass, and the native paths ran under Expo Go's container rather than the application's own bundle identifier. What remains unproven is narrower than it was. hive:// deep linking was closed on Android on 16 August: a standalone build was produced with expo run:android and installed, after which the operating system resolves the scheme to com.hive.app.MainActivity and routes it both cold and warm, with an unauthenticated link correctly redirected to login (§3.3.8). Two things are still outstanding - that an</w:t>
      </w:r>
      <w:r>
        <w:t xml:space="preserve"> </w:t>
      </w:r>
      <w:r>
        <w:rPr>
          <w:i/>
          <w:iCs/>
        </w:rPr>
        <w:t xml:space="preserve">authenticated</w:t>
      </w:r>
      <w:r>
        <w:t xml:space="preserve"> </w:t>
      </w:r>
      <w:r>
        <w:t xml:space="preserve">link resolves to its target screen, which the automation harness could not type a clean sign-in to reach, and iOS, where no standalone build was produced and Expo Go serves under exp://.</w:t>
      </w:r>
    </w:p>
    <w:p>
      <w:pPr>
        <w:pStyle w:val="Compact"/>
        <w:numPr>
          <w:ilvl w:val="0"/>
          <w:numId w:val="1008"/>
        </w:numPr>
      </w:pPr>
      <w:r>
        <w:t xml:space="preserve">The error-reporting pipeline has never carried an error. Closed on 16 August. A Sentry project was created, SENTRY_DSN supplied, and the backend now logs</w:t>
      </w:r>
      <w:r>
        <w:t xml:space="preserve"> </w:t>
      </w:r>
      <w:r>
        <w:rPr>
          <w:i/>
          <w:iCs/>
        </w:rPr>
        <w:t xml:space="preserve">"Sentry initialised"</w:t>
      </w:r>
      <w:r>
        <w:t xml:space="preserve"> </w:t>
      </w:r>
      <w:r>
        <w:t xml:space="preserve">where it previously took its no-op path. A deliberate exception was captured and delivered - issue HIVE-BACKEND-1, event 8a5130bf. The beforeSend scrubber therefore ran against a real transported event rather than only the synthetic one it was unit-tested with. The mobile application is not wired to Sentry: it reads EXPO_PUBLIC_SENTRY_DSN, which is unset, so client-side reporting remains unproven.</w:t>
      </w:r>
    </w:p>
    <w:p>
      <w:pPr>
        <w:pStyle w:val="Compact"/>
        <w:numPr>
          <w:ilvl w:val="0"/>
          <w:numId w:val="1008"/>
        </w:numPr>
      </w:pPr>
      <w:r>
        <w:t xml:space="preserve">The continuous-integration test step is advisory. Closed on 16 August, and worth recording because of what it turned out to be. The step had been marked continue-on-error: true and was not merely failing to gate - it was</w:t>
      </w:r>
      <w:r>
        <w:t xml:space="preserve"> </w:t>
      </w:r>
      <w:r>
        <w:rPr>
          <w:i/>
          <w:iCs/>
        </w:rPr>
        <w:t xml:space="preserve">failing</w:t>
      </w:r>
      <w:r>
        <w:t xml:space="preserve">, on every push, with the failure masked. The harness refused to start (</w:t>
      </w:r>
      <w:r>
        <w:rPr>
          <w:i/>
          <w:iCs/>
        </w:rPr>
        <w:t xml:space="preserve">"SUPABASE_URL and SUPABASE_SERVICE_KEY must be set in packages/backend/.env.test"</w:t>
      </w:r>
      <w:r>
        <w:t xml:space="preserve">), the step exited 1, and the job still reported green. A green tick beside Test backend implied a guard that did not exist, and the only place the truth appeared was the run's annotations. Adding TEST_SUPABASE_URL, TEST_SUPABASE_SERVICE_KEY and TEST_SUPABASE_ANON_KEY as repository secrets, pointing at the separate hive-test project, let the suite run: 218 tests passed across 8 files in 373.86 s in CI. The escape hatch was then removed, and Figure 5.2 is the first run in which the tick beside Test backend means the suite passed. All four checks - lint, typecheck, build and the test suite - now block a merge, and the suite has since grown to 247.</w:t>
      </w:r>
    </w:p>
    <w:p>
      <w:pPr>
        <w:pStyle w:val="Compact"/>
        <w:numPr>
          <w:ilvl w:val="0"/>
          <w:numId w:val="1008"/>
        </w:numPr>
      </w:pPr>
      <w:r>
        <w:t xml:space="preserve">Server-side HEIC conversion does not work. sharp's prebuilt libvips ships libheif without an HEVC decoder, and an iPhone HEIC is HEVC-coded, so the container parses and the pixel decode fails. Established by testing a real HEVC HEIC on 24 July 2026. The mobile client transcodes on the device instead, and the server refuses HEVC with an actionable 400. Magic-byte rejection, previously listed here alongside it, is covered - by photos.test.ts T-20.</w:t>
      </w:r>
    </w:p>
    <w:p>
      <w:pPr>
        <w:pStyle w:val="Compact"/>
        <w:numPr>
          <w:ilvl w:val="0"/>
          <w:numId w:val="1008"/>
        </w:numPr>
      </w:pPr>
      <w:r>
        <w:t xml:space="preserve">The diary has not been seen on hardware, and has no figure. It landed on 20 August, after the device runs of 16 August. Its two endpoints and its calendar arithmetic are covered by 29 automated tests, 13 of them pure cases that need no database, and the screen compiles and typechecks - but nobody has opened it on a phone, and §4.3 contains no capture of it. The same applies to the brand and play layer landed the same week: it is the largest visual change since the design system was written, and every application figure in §4.3 still shows the interface as it was before it.</w:t>
      </w:r>
    </w:p>
    <w:p>
      <w:pPr>
        <w:pStyle w:val="Compact"/>
        <w:numPr>
          <w:ilvl w:val="0"/>
          <w:numId w:val="1008"/>
        </w:numPr>
      </w:pPr>
      <w:r>
        <w:t xml:space="preserve">A Redis outage is reported but does not change the health status code. /health surfaces "cache" alongside "database", but only the database determines 200 against 503. This is deliberate - losing the idempotency cache degrades deduplication rather than availability, so the instance should stay in rotation - with the consequence that an orchestrator probing only the status code will not restart or drain an instance whose Redis is unreachable.</w:t>
      </w:r>
    </w:p>
    <w:bookmarkEnd w:id="654"/>
    <w:bookmarkStart w:id="655" w:name="future-enhancements"/>
    <w:p>
      <w:pPr>
        <w:pStyle w:val="Heading2"/>
      </w:pPr>
      <w:r>
        <w:t xml:space="preserve">6.4 Future enhancements</w:t>
      </w:r>
    </w:p>
    <w:p>
      <w:pPr>
        <w:pStyle w:val="FirstParagraph"/>
      </w:pPr>
      <w:r>
        <w:t xml:space="preserve">Immediate, in dependency order:</w:t>
      </w:r>
    </w:p>
    <w:p>
      <w:pPr>
        <w:pStyle w:val="Compact"/>
        <w:numPr>
          <w:ilvl w:val="0"/>
          <w:numId w:val="1009"/>
        </w:numPr>
      </w:pPr>
      <w:r>
        <w:t xml:space="preserve">Deploy. One step that simultaneously unblocks the HTTPS and CORS checks, the load tests, and device testing against a real origin.</w:t>
      </w:r>
    </w:p>
    <w:p>
      <w:pPr>
        <w:pStyle w:val="Compact"/>
        <w:numPr>
          <w:ilvl w:val="0"/>
          <w:numId w:val="1009"/>
        </w:numPr>
      </w:pPr>
      <w:r>
        <w:t xml:space="preserve">Execute the k6 suite against that deployment and record the results.</w:t>
      </w:r>
    </w:p>
    <w:p>
      <w:pPr>
        <w:pStyle w:val="Compact"/>
        <w:numPr>
          <w:ilvl w:val="0"/>
          <w:numId w:val="1009"/>
        </w:numPr>
      </w:pPr>
      <w:r>
        <w:t xml:space="preserve">Produce iOS and Android builds and verify the platform-specific paths.</w:t>
      </w:r>
    </w:p>
    <w:p>
      <w:pPr>
        <w:pStyle w:val="Compact"/>
        <w:numPr>
          <w:ilvl w:val="0"/>
          <w:numId w:val="1009"/>
        </w:numPr>
      </w:pPr>
      <w:r>
        <w:t xml:space="preserve">Make the test step blocking. Done 16 August - see §6.3 item 5.</w:t>
      </w:r>
    </w:p>
    <w:p>
      <w:pPr>
        <w:pStyle w:val="Compact"/>
        <w:numPr>
          <w:ilvl w:val="0"/>
          <w:numId w:val="1009"/>
        </w:numPr>
      </w:pPr>
      <w:r>
        <w:t xml:space="preserve">Re-capture the application figures. Every figure in §4.3 predates the brand and play layer and the diary, so the submission's pictures and its current build no longer agree. This is the cheapest outstanding item and the most visible.</w:t>
      </w:r>
    </w:p>
    <w:p>
      <w:pPr>
        <w:pStyle w:val="Compact"/>
        <w:numPr>
          <w:ilvl w:val="0"/>
          <w:numId w:val="1009"/>
        </w:numPr>
      </w:pPr>
      <w:r>
        <w:t xml:space="preserve">Open the diary on a device and capture it, so the newest feature has the same standard of evidence as the rest.</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p>
      <w:r>
        <w:pict>
          <v:rect style="width:0;height:1.5pt" o:hralign="center" o:hrstd="t" o:hr="t"/>
        </w:pic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2026-08-24T16:37:56Z</dcterms:created>
  <dcterms:modified xsi:type="dcterms:W3CDTF">2026-08-24T16:37:56Z</dcterms:modified>
</cp:coreProperties>
</file>

<file path=docProps/custom.xml><?xml version="1.0" encoding="utf-8"?>
<Properties xmlns="http://schemas.openxmlformats.org/officeDocument/2006/custom-properties" xmlns:vt="http://schemas.openxmlformats.org/officeDocument/2006/docPropsVTypes"/>
</file>