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pPr>
        <w:pStyle w:val="BlockText"/>
      </w:pPr>
      <w:r>
        <w:rPr>
          <w:b/>
          <w:bCs/>
        </w:rPr>
        <w:t xml:space="preserve">Structured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Document-format.docx</w:t>
      </w:r>
      <w:r>
        <w:rPr>
          <w:b/>
          <w:bCs/>
        </w:rPr>
        <w:t xml:space="preserve">.</w:t>
      </w:r>
      <w:r>
        <w:t xml:space="preserve"> </w:t>
      </w:r>
      <w:r>
        <w:t xml:space="preserve">Section numbering, chapter order and</w:t>
      </w:r>
      <w:r>
        <w:t xml:space="preserve"> </w:t>
      </w:r>
      <w:r>
        <w:t xml:space="preserve">front matter match the template exactly. Pour into Word and apply the</w:t>
      </w:r>
      <w:r>
        <w:t xml:space="preserve"> </w:t>
      </w:r>
      <w:r>
        <w:t xml:space="preserve">formatting rules in the closing section.</w:t>
      </w:r>
    </w:p>
    <w:p>
      <w:pPr>
        <w:pStyle w:val="BlockText"/>
      </w:pPr>
      <w:r>
        <w:rPr>
          <w:rStyle w:val="VerbatimChar"/>
          <w:b/>
          <w:bCs/>
        </w:rPr>
        <w:t xml:space="preserve">«…»</w:t>
      </w:r>
      <w:r>
        <w:rPr>
          <w:b/>
          <w:bCs/>
        </w:rPr>
        <w:t xml:space="preserve"> </w:t>
      </w:r>
      <w:r>
        <w:rPr>
          <w:b/>
          <w:bCs/>
        </w:rPr>
        <w:t xml:space="preserve">marks the only things I cannot supply</w:t>
      </w:r>
      <w:r>
        <w:t xml:space="preserve"> </w:t>
      </w:r>
      <w:r>
        <w:t xml:space="preserve">— your name, roll number,</w:t>
      </w:r>
      <w:r>
        <w:t xml:space="preserve"> </w:t>
      </w:r>
      <w:r>
        <w:t xml:space="preserve">supervisor, dates, and supervisor remarks. Everything else is written and</w:t>
      </w:r>
      <w:r>
        <w:t xml:space="preserve"> </w:t>
      </w:r>
      <w:r>
        <w:t xml:space="preserve">sourced.</w:t>
      </w:r>
    </w:p>
    <w:p>
      <w:pPr>
        <w:pStyle w:val="BlockText"/>
      </w:pPr>
      <w:r>
        <w:rPr>
          <w:b/>
          <w:bCs/>
        </w:rPr>
        <w:t xml:space="preserve">Every figure is traced to a dated run.</w:t>
      </w:r>
      <w:r>
        <w:t xml:space="preserve"> </w:t>
      </w:r>
      <w:r>
        <w:t xml:space="preserve">Where something was not verified,</w:t>
      </w:r>
      <w:r>
        <w:t xml:space="preserve"> </w:t>
      </w:r>
      <w:r>
        <w:t xml:space="preserve">the report says so. See §3.3.4 and §6.3.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«Your name — roll number»</w:t>
      </w:r>
      <w:r>
        <w:t xml:space="preserve"> </w:t>
      </w:r>
      <w:r>
        <w:rPr>
          <w:i/>
          <w:iCs/>
        </w:rPr>
        <w:t xml:space="preserve">(Team: Srujan, Ruthwik, Bhargav, Nagachaitanya)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«Supervisor name»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«Signature» · «Date»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158026"/>
            <wp:effectExtent b="0" l="0" r="0" t="0"/>
            <wp:docPr descr="Figure 5.2 — Continuous integration run — lint, typecheck, build and 218 tests, all blocking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5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lint, typecheck, build and 218 tests, all blocking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continuous-integration test step is advisory.</w:t>
      </w:r>
      <w:r>
        <w:t xml:space="preserve"> </w:t>
      </w:r>
      <w:r>
        <w:rPr>
          <w:b/>
          <w:bCs/>
        </w:rPr>
        <w:t xml:space="preserve">Closed on 16 August,</w:t>
      </w:r>
      <w:r>
        <w:rPr>
          <w:b/>
          <w:bCs/>
        </w:rPr>
        <w:t xml:space="preserve"> </w:t>
      </w:r>
      <w:r>
        <w:rPr>
          <w:b/>
          <w:bCs/>
        </w:rPr>
        <w:t xml:space="preserve">and worth recording because of what it turned out to be.</w:t>
      </w:r>
      <w:r>
        <w:t xml:space="preserve"> </w:t>
      </w:r>
      <w:r>
        <w:t xml:space="preserve">The step had been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 </w:t>
      </w:r>
      <w:r>
        <w:t xml:space="preserve">and was not merely failing to gate — it was</w:t>
      </w:r>
      <w:r>
        <w:t xml:space="preserve"> </w:t>
      </w:r>
      <w:r>
        <w:rPr>
          <w:i/>
          <w:iCs/>
        </w:rPr>
        <w:t xml:space="preserve">failing</w:t>
      </w:r>
      <w:r>
        <w:t xml:space="preserve">, on every push, with the failure masked. The harness refused to</w:t>
      </w:r>
      <w:r>
        <w:t xml:space="preserve"> </w:t>
      </w:r>
      <w:r>
        <w:t xml:space="preserve">start (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), the step exited 1, and the job still reported</w:t>
      </w:r>
      <w:r>
        <w:t xml:space="preserve"> </w:t>
      </w:r>
      <w:r>
        <w:t xml:space="preserve">green. A green tick 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implied a guard that did not exist,</w:t>
      </w:r>
      <w:r>
        <w:t xml:space="preserve"> </w:t>
      </w:r>
      <w:r>
        <w:t xml:space="preserve">and the only place the truth appeared was the run’s annotations. Adding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 secrets, pointing at the separate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let the</w:t>
      </w:r>
      <w:r>
        <w:t xml:space="preserve"> </w:t>
      </w:r>
      <w:r>
        <w:t xml:space="preserve">suite run:</w:t>
      </w:r>
      <w:r>
        <w:t xml:space="preserve"> </w:t>
      </w:r>
      <w:r>
        <w:rPr>
          <w:b/>
          <w:bCs/>
        </w:rPr>
        <w:t xml:space="preserve">218 tests passed across 8 files in 373.86 s in CI</w:t>
      </w:r>
      <w:r>
        <w:t xml:space="preserve">. The escape</w:t>
      </w:r>
      <w:r>
        <w:t xml:space="preserve"> </w:t>
      </w:r>
      <w:r>
        <w:t xml:space="preserve">hatch was then removed, and Figure 5.2 is the first run in which the tick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means the suite passed.</w:t>
      </w:r>
      <w:r>
        <w:t xml:space="preserve"> </w:t>
      </w:r>
      <w:r>
        <w:rPr>
          <w:b/>
          <w:bCs/>
        </w:rPr>
        <w:t xml:space="preserve">All four checks — lint,</w:t>
      </w:r>
      <w:r>
        <w:rPr>
          <w:b/>
          <w:bCs/>
        </w:rPr>
        <w:t xml:space="preserve"> </w:t>
      </w:r>
      <w:r>
        <w:rPr>
          <w:b/>
          <w:bCs/>
        </w:rPr>
        <w:t xml:space="preserve">typecheck, build and 218 tests — now block a merge.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strike/>
        </w:rPr>
        <w:t xml:space="preserve">Make the test step blocking.</w:t>
      </w:r>
      <w:r>
        <w:t xml:space="preserve"> </w:t>
      </w:r>
      <w:r>
        <w:t xml:space="preserve">Done 16 August — see §6.3 item 5.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bookmarkStart w:id="661" w:name="formatting-checklist"/>
    <w:p>
      <w:pPr>
        <w:pStyle w:val="Heading1"/>
      </w:pPr>
      <w:r>
        <w:t xml:space="preserve">FORMATTING CHECKLIST</w:t>
      </w:r>
    </w:p>
    <w:p>
      <w:pPr>
        <w:pStyle w:val="FirstParagraph"/>
      </w:pPr>
      <w:r>
        <w:t xml:space="preserve">Apply on transfer into</w:t>
      </w:r>
      <w:r>
        <w:t xml:space="preserve"> </w:t>
      </w:r>
      <w:r>
        <w:rPr>
          <w:rStyle w:val="VerbatimChar"/>
        </w:rPr>
        <w:t xml:space="preserve">Document-format.docx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Times New Roman throughout</w:t>
      </w:r>
    </w:p>
    <w:p>
      <w:pPr>
        <w:pStyle w:val="Compact"/>
        <w:numPr>
          <w:ilvl w:val="0"/>
          <w:numId w:val="1009"/>
        </w:numPr>
      </w:pPr>
      <w:r>
        <w:t xml:space="preserve">12 pt body, 14 pt headings</w:t>
      </w:r>
    </w:p>
    <w:p>
      <w:pPr>
        <w:pStyle w:val="Compact"/>
        <w:numPr>
          <w:ilvl w:val="0"/>
          <w:numId w:val="1010"/>
        </w:numPr>
      </w:pPr>
      <w:r>
        <w:t xml:space="preserve">1.5 line spacing</w:t>
      </w:r>
    </w:p>
    <w:p>
      <w:pPr>
        <w:pStyle w:val="Compact"/>
        <w:numPr>
          <w:ilvl w:val="0"/>
          <w:numId w:val="1011"/>
        </w:numPr>
      </w:pPr>
      <w:r>
        <w:t xml:space="preserve">1 inch margins, all sides</w:t>
      </w:r>
    </w:p>
    <w:p>
      <w:pPr>
        <w:pStyle w:val="Compact"/>
        <w:numPr>
          <w:ilvl w:val="0"/>
          <w:numId w:val="1012"/>
        </w:numPr>
      </w:pPr>
      <w:r>
        <w:t xml:space="preserve">Page numbers, bottom-centre</w:t>
      </w:r>
    </w:p>
    <w:p>
      <w:pPr>
        <w:pStyle w:val="Compact"/>
        <w:numPr>
          <w:ilvl w:val="0"/>
          <w:numId w:val="1013"/>
        </w:numPr>
      </w:pPr>
      <w:r>
        <w:t xml:space="preserve">Figures captioned</w:t>
      </w:r>
      <w:r>
        <w:t xml:space="preserve"> </w:t>
      </w:r>
      <w:r>
        <w:t xml:space="preserve">“Figure N.N — …”</w:t>
      </w:r>
      <w:r>
        <w:t xml:space="preserve"> </w:t>
      </w:r>
      <w:r>
        <w:t xml:space="preserve">beneath; tables captioned above</w:t>
      </w:r>
    </w:p>
    <w:p>
      <w:pPr>
        <w:pStyle w:val="Compact"/>
        <w:numPr>
          <w:ilvl w:val="0"/>
          <w:numId w:val="1014"/>
        </w:numPr>
      </w:pPr>
      <w:r>
        <w:t xml:space="preserve">List of Figures and List of Tables updated after captioning</w:t>
      </w:r>
    </w:p>
    <w:p>
      <w:pPr>
        <w:pStyle w:val="Compact"/>
        <w:numPr>
          <w:ilvl w:val="0"/>
          <w:numId w:val="1015"/>
        </w:numPr>
      </w:pPr>
      <w:r>
        <w:t xml:space="preserve">Table of Contents generated from Heading styles</w:t>
      </w:r>
    </w:p>
    <w:p>
      <w:pPr>
        <w:pStyle w:val="Compact"/>
        <w:numPr>
          <w:ilvl w:val="0"/>
          <w:numId w:val="1016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«…»</w:t>
      </w:r>
      <w:r>
        <w:t xml:space="preserve"> </w:t>
      </w:r>
      <w:r>
        <w:t xml:space="preserve">placeholder replaced</w:t>
      </w:r>
    </w:p>
    <w:p>
      <w:pPr>
        <w:pStyle w:val="Compact"/>
        <w:numPr>
          <w:ilvl w:val="0"/>
          <w:numId w:val="1017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</w:p>
    <w:bookmarkEnd w:id="661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2026-08-16T06:33:34Z</dcterms:created>
  <dcterms:modified xsi:type="dcterms:W3CDTF">2026-08-16T06:33:34Z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