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pPr>
        <w:pStyle w:val="BlockText"/>
      </w:pPr>
      <w:r>
        <w:rPr>
          <w:b/>
          <w:bCs/>
        </w:rPr>
        <w:t xml:space="preserve">Structured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Document-format.docx</w:t>
      </w:r>
      <w:r>
        <w:rPr>
          <w:b/>
          <w:bCs/>
        </w:rPr>
        <w:t xml:space="preserve">.</w:t>
      </w:r>
      <w:r>
        <w:t xml:space="preserve"> </w:t>
      </w:r>
      <w:r>
        <w:t xml:space="preserve">Section numbering, chapter order and</w:t>
      </w:r>
      <w:r>
        <w:t xml:space="preserve"> </w:t>
      </w:r>
      <w:r>
        <w:t xml:space="preserve">front matter match the template exactly. Pour into Word and apply the</w:t>
      </w:r>
      <w:r>
        <w:t xml:space="preserve"> </w:t>
      </w:r>
      <w:r>
        <w:t xml:space="preserve">formatting rules in the closing section.</w:t>
      </w:r>
    </w:p>
    <w:p>
      <w:pPr>
        <w:pStyle w:val="BlockText"/>
      </w:pPr>
      <w:r>
        <w:rPr>
          <w:rStyle w:val="VerbatimChar"/>
          <w:b/>
          <w:bCs/>
        </w:rPr>
        <w:t xml:space="preserve">«…»</w:t>
      </w:r>
      <w:r>
        <w:rPr>
          <w:b/>
          <w:bCs/>
        </w:rPr>
        <w:t xml:space="preserve"> </w:t>
      </w:r>
      <w:r>
        <w:rPr>
          <w:b/>
          <w:bCs/>
        </w:rPr>
        <w:t xml:space="preserve">marks the only things I cannot supply</w:t>
      </w:r>
      <w:r>
        <w:t xml:space="preserve"> </w:t>
      </w:r>
      <w:r>
        <w:t xml:space="preserve">— your name, roll number,</w:t>
      </w:r>
      <w:r>
        <w:t xml:space="preserve"> </w:t>
      </w:r>
      <w:r>
        <w:t xml:space="preserve">supervisor, dates, and supervisor remarks. Everything else is written and</w:t>
      </w:r>
      <w:r>
        <w:t xml:space="preserve"> </w:t>
      </w:r>
      <w:r>
        <w:t xml:space="preserve">sourced.</w:t>
      </w:r>
    </w:p>
    <w:p>
      <w:pPr>
        <w:pStyle w:val="BlockText"/>
      </w:pPr>
      <w:r>
        <w:rPr>
          <w:b/>
          <w:bCs/>
        </w:rPr>
        <w:t xml:space="preserve">Every figure is traced to a dated run.</w:t>
      </w:r>
      <w:r>
        <w:t xml:space="preserve"> </w:t>
      </w:r>
      <w:r>
        <w:t xml:space="preserve">Where something was not verified,</w:t>
      </w:r>
      <w:r>
        <w:t xml:space="preserve"> </w:t>
      </w:r>
      <w:r>
        <w:t xml:space="preserve">the report says so. See §3.3.4 and §6.3.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«Your name — roll number»</w:t>
      </w:r>
      <w:r>
        <w:t xml:space="preserve"> </w:t>
      </w:r>
      <w:r>
        <w:rPr>
          <w:i/>
          <w:iCs/>
        </w:rPr>
        <w:t xml:space="preserve">(Team: Srujan, Ruthwik, Bhargav, Nagachaitanya)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«Institution name»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«Supervisor name»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«Signature» · «Date»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High-level system architecture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Data flow — photograph upload to parent notification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Entity-relationship diagram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Component interaction — authorization pipeline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Teacher upload screen with student tagger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Parent feed with child switcher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Order placement and confirmation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Administrator dashboard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Test suite execution — 218 tests passing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Security verification output — 27/0/2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Sabotage exercise — targeted tests failing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Privacy comparison — two parents, zero overlap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Signed URL 200 versus stripped-token 400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Health endpoint, healthy and degraded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Commit history — 428 commits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Continuous integration run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543"/>
    <w:bookmarkStart w:id="54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Technology stack and rationale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Authorization layers and trust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Representative API endpoints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Test suite composition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Test cases and results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Runtime functional verification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Security verification results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Defects identified and resolved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Properties not verified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Weekly progress summary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4094870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09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5120640" cy="927295"/>
            <wp:effectExtent b="0" l="0" r="0" t="0"/>
            <wp:docPr descr="Figure 2.4 — Component interaction —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927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FirstParagraph"/>
      </w:pPr>
      <w:r>
        <w:rPr>
          <w:b/>
          <w:bCs/>
        </w:rP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FirstParagraph"/>
      </w:pPr>
      <w:r>
        <w:rPr>
          <w:b/>
          <w:bCs/>
        </w:rP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FirstParagraph"/>
      </w:pPr>
      <w:r>
        <w:rPr>
          <w:b/>
          <w:bCs/>
        </w:rP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BodyText"/>
      </w:pPr>
      <w:r>
        <w:rPr>
          <w:b/>
          <w:bCs/>
        </w:rPr>
        <w:t xml:space="preserve">Table 2.4 — Representative API endpoints</w:t>
      </w:r>
      <w:r>
        <w:t xml:space="preserve"> 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FirstParagraph"/>
      </w:pPr>
      <w:r>
        <w:rPr>
          <w:b/>
          <w:bCs/>
        </w:rP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BodyText"/>
      </w:pPr>
      <w:r>
        <w:rPr>
          <w:b/>
          <w:bCs/>
        </w:rPr>
        <w:t xml:space="preserve">Table 3.2 — Test cases and results</w:t>
      </w:r>
      <w:r>
        <w:t xml:space="preserve"> 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BodyText"/>
      </w:pPr>
      <w:r>
        <w:rPr>
          <w:b/>
          <w:bCs/>
        </w:rP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7682206"/>
            <wp:effectExtent b="0" l="0" r="0" t="0"/>
            <wp:docPr descr="Figure 3.2 — Security verification output — 27/0/2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768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BodyText"/>
      </w:pPr>
      <w:r>
        <w:rPr>
          <w:b/>
          <w:bCs/>
        </w:rP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BodyText"/>
      </w:pPr>
      <w:r>
        <w:rPr>
          <w:b/>
          <w:bCs/>
        </w:rP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reporting</w:t>
            </w:r>
          </w:p>
        </w:tc>
        <w:tc>
          <w:tcPr/>
          <w:p>
            <w:pPr>
              <w:pStyle w:val="Compact"/>
            </w:pPr>
            <w:r>
              <w:t xml:space="preserve">Sentry requires a DSN</w:t>
            </w:r>
          </w:p>
        </w:tc>
        <w:tc>
          <w:tcPr/>
          <w:p>
            <w:pPr>
              <w:pStyle w:val="Compact"/>
            </w:pPr>
            <w:r>
              <w:t xml:space="preserve">Pipeline unproven end to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test gate</w:t>
            </w:r>
          </w:p>
        </w:tc>
        <w:tc>
          <w:tcPr/>
          <w:p>
            <w:pPr>
              <w:pStyle w:val="Compact"/>
            </w:pPr>
            <w:r>
              <w:t xml:space="preserve">Repository secrets absent</w:t>
            </w:r>
          </w:p>
        </w:tc>
        <w:tc>
          <w:tcPr/>
          <w:p>
            <w:pPr>
              <w:pStyle w:val="Compact"/>
            </w:pPr>
            <w:r>
              <w:t xml:space="preserve">218 tests do not yet block a pull request; lint, typecheck and build do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BodyText"/>
      </w:pPr>
      <w:r>
        <w:rPr>
          <w:b/>
          <w:bCs/>
        </w:rP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BodyText"/>
      </w:pPr>
      <w:r>
        <w:rPr>
          <w:b/>
          <w:bCs/>
        </w:rPr>
        <w:t xml:space="preserve">Table 3.5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The error-reporting pipeline has never carried an error. Neither is an oversight</w:t>
      </w:r>
      <w:r>
        <w:t xml:space="preserve"> </w:t>
      </w:r>
      <w:r>
        <w:t xml:space="preserve">discovered late; each follows from one absent step — deployment.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BodyText"/>
      </w:pPr>
      <w:r>
        <w:rPr>
          <w:b/>
          <w:bCs/>
        </w:rP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BodyText"/>
      </w:pPr>
      <w:r>
        <w:rPr>
          <w:b/>
          <w:bCs/>
        </w:rP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6" w:name="chapter-5-project-execution-evidence"/>
    <w:p>
      <w:pPr>
        <w:pStyle w:val="Heading1"/>
      </w:pPr>
      <w:r>
        <w:t xml:space="preserve">CHAPTER 5: PROJECT EXECUTION EVIDENCE</w:t>
      </w:r>
    </w:p>
    <w:bookmarkStart w:id="643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420,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428.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BodyText"/>
      </w:pPr>
      <w:r>
        <w:rPr>
          <w:i/>
          <w:iCs/>
        </w:rPr>
        <w:t xml:space="preserve">(Figure 5.2 — continuous integration run — not yet captured.)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3"/>
    <w:bookmarkStart w:id="644" w:name="weekly-progress-summary"/>
    <w:p>
      <w:pPr>
        <w:pStyle w:val="Heading2"/>
      </w:pPr>
      <w:r>
        <w:t xml:space="preserve">5.2 Weekly progress summary</w:t>
      </w:r>
    </w:p>
    <w:p>
      <w:pPr>
        <w:pStyle w:val="FirstParagraph"/>
      </w:pPr>
      <w:r>
        <w:rPr>
          <w:b/>
          <w:bCs/>
        </w:rPr>
        <w:t xml:space="preserve">Table 5.1 — Weekly progress</w:t>
      </w:r>
      <w:r>
        <w:t xml:space="preserve"> </w:t>
      </w: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644"/>
    <w:bookmarkStart w:id="645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5"/>
    <w:bookmarkEnd w:id="646"/>
    <w:bookmarkStart w:id="651" w:name="chapter-6-conclusion-future-work"/>
    <w:p>
      <w:pPr>
        <w:pStyle w:val="Heading1"/>
      </w:pPr>
      <w:r>
        <w:t xml:space="preserve">CHAPTER 6: CONCLUSION &amp; FUTURE WORK</w:t>
      </w:r>
    </w:p>
    <w:bookmarkStart w:id="647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47"/>
    <w:bookmarkStart w:id="648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48"/>
    <w:bookmarkStart w:id="649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error-reporting pipeline has never carried an error.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continuous-integration test step is advisory</w:t>
      </w:r>
      <w:r>
        <w:t xml:space="preserve">, pending repository</w:t>
      </w:r>
      <w:r>
        <w:t xml:space="preserve"> </w:t>
      </w:r>
      <w:r>
        <w:t xml:space="preserve">secrets; lint, typecheck and build do block.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49"/>
    <w:bookmarkStart w:id="650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the test step blocking</w:t>
      </w:r>
      <w:r>
        <w:t xml:space="preserve"> </w:t>
      </w:r>
      <w:r>
        <w:t xml:space="preserve">by adding the three repository secrets.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0"/>
    <w:bookmarkEnd w:id="651"/>
    <w:bookmarkStart w:id="65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2"/>
    <w:bookmarkStart w:id="657" w:name="appendix"/>
    <w:p>
      <w:pPr>
        <w:pStyle w:val="Heading1"/>
      </w:pPr>
      <w:r>
        <w:t xml:space="preserve">APPENDIX</w:t>
      </w:r>
    </w:p>
    <w:bookmarkStart w:id="653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3"/>
    <w:bookmarkStart w:id="654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4"/>
    <w:bookmarkStart w:id="655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5"/>
    <w:bookmarkStart w:id="656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6"/>
    <w:bookmarkEnd w:id="657"/>
    <w:bookmarkStart w:id="658" w:name="formatting-checklist"/>
    <w:p>
      <w:pPr>
        <w:pStyle w:val="Heading1"/>
      </w:pPr>
      <w:r>
        <w:t xml:space="preserve">FORMATTING CHECKLIST</w:t>
      </w:r>
    </w:p>
    <w:p>
      <w:pPr>
        <w:pStyle w:val="FirstParagraph"/>
      </w:pPr>
      <w:r>
        <w:t xml:space="preserve">Apply on transfer into</w:t>
      </w:r>
      <w:r>
        <w:t xml:space="preserve"> </w:t>
      </w:r>
      <w:r>
        <w:rPr>
          <w:rStyle w:val="VerbatimChar"/>
        </w:rPr>
        <w:t xml:space="preserve">Document-format.docx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Times New Roman throughout</w:t>
      </w:r>
    </w:p>
    <w:p>
      <w:pPr>
        <w:pStyle w:val="Compact"/>
        <w:numPr>
          <w:ilvl w:val="0"/>
          <w:numId w:val="1009"/>
        </w:numPr>
      </w:pPr>
      <w:r>
        <w:t xml:space="preserve">12 pt body, 14 pt headings</w:t>
      </w:r>
    </w:p>
    <w:p>
      <w:pPr>
        <w:pStyle w:val="Compact"/>
        <w:numPr>
          <w:ilvl w:val="0"/>
          <w:numId w:val="1010"/>
        </w:numPr>
      </w:pPr>
      <w:r>
        <w:t xml:space="preserve">1.5 line spacing</w:t>
      </w:r>
    </w:p>
    <w:p>
      <w:pPr>
        <w:pStyle w:val="Compact"/>
        <w:numPr>
          <w:ilvl w:val="0"/>
          <w:numId w:val="1011"/>
        </w:numPr>
      </w:pPr>
      <w:r>
        <w:t xml:space="preserve">1 inch margins, all sides</w:t>
      </w:r>
    </w:p>
    <w:p>
      <w:pPr>
        <w:pStyle w:val="Compact"/>
        <w:numPr>
          <w:ilvl w:val="0"/>
          <w:numId w:val="1012"/>
        </w:numPr>
      </w:pPr>
      <w:r>
        <w:t xml:space="preserve">Page numbers, bottom-centre</w:t>
      </w:r>
    </w:p>
    <w:p>
      <w:pPr>
        <w:pStyle w:val="Compact"/>
        <w:numPr>
          <w:ilvl w:val="0"/>
          <w:numId w:val="1013"/>
        </w:numPr>
      </w:pPr>
      <w:r>
        <w:t xml:space="preserve">Figures captioned</w:t>
      </w:r>
      <w:r>
        <w:t xml:space="preserve"> </w:t>
      </w:r>
      <w:r>
        <w:t xml:space="preserve">“Figure N.N — …”</w:t>
      </w:r>
      <w:r>
        <w:t xml:space="preserve"> </w:t>
      </w:r>
      <w:r>
        <w:t xml:space="preserve">beneath; tables captioned above</w:t>
      </w:r>
    </w:p>
    <w:p>
      <w:pPr>
        <w:pStyle w:val="Compact"/>
        <w:numPr>
          <w:ilvl w:val="0"/>
          <w:numId w:val="1014"/>
        </w:numPr>
      </w:pPr>
      <w:r>
        <w:t xml:space="preserve">List of Figures and List of Tables updated after captioning</w:t>
      </w:r>
    </w:p>
    <w:p>
      <w:pPr>
        <w:pStyle w:val="Compact"/>
        <w:numPr>
          <w:ilvl w:val="0"/>
          <w:numId w:val="1015"/>
        </w:numPr>
      </w:pPr>
      <w:r>
        <w:t xml:space="preserve">Table of Contents generated from Heading styles</w:t>
      </w:r>
    </w:p>
    <w:p>
      <w:pPr>
        <w:pStyle w:val="Compact"/>
        <w:numPr>
          <w:ilvl w:val="0"/>
          <w:numId w:val="1016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«…»</w:t>
      </w:r>
      <w:r>
        <w:t xml:space="preserve"> </w:t>
      </w:r>
      <w:r>
        <w:t xml:space="preserve">placeholder replaced</w:t>
      </w:r>
    </w:p>
    <w:p>
      <w:pPr>
        <w:pStyle w:val="Compact"/>
        <w:numPr>
          <w:ilvl w:val="0"/>
          <w:numId w:val="1017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</w:p>
    <w:bookmarkEnd w:id="658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2026-08-16T05:19:20Z</dcterms:created>
  <dcterms:modified xsi:type="dcterms:W3CDTF">2026-08-16T05:19:20Z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