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2.png" ContentType="image/png"/>
  <Override PartName="/word/media/rId556.png" ContentType="image/png"/>
  <Override PartName="/word/media/rId566.png" ContentType="image/png"/>
  <Override PartName="/word/media/rId560.png" ContentType="image/png"/>
  <Override PartName="/word/media/rId585.png" ContentType="image/png"/>
  <Override PartName="/word/media/rId588.png" ContentType="image/png"/>
  <Override PartName="/word/media/rId591.png" ContentType="image/png"/>
  <Override PartName="/word/media/rId594.png" ContentType="image/png"/>
  <Override PartName="/word/media/rId604.png" ContentType="image/png"/>
  <Override PartName="/word/media/rId618.png" ContentType="image/png"/>
  <Override PartName="/word/media/rId622.png" ContentType="image/png"/>
  <Override PartName="/word/media/rId608.png" ContentType="image/png"/>
  <Override PartName="/word/media/rId611.png" ContentType="image/png"/>
  <Override PartName="/word/media/rId615.png" ContentType="image/png"/>
  <Override PartName="/word/media/rId632.png" ContentType="image/png"/>
  <Override PartName="/word/media/rId642.png" ContentType="image/png"/>
  <Override PartName="/word/media/rId6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w:t>
      </w:r>
      <w:r>
        <w:t xml:space="preserve"> </w:t>
      </w:r>
      <w:r>
        <w:t xml:space="preserve">“Hive — A Privacy-First Photo Sharing Platform for Preschools”</w:t>
      </w:r>
      <w:r>
        <w:t xml:space="preserve"> </w:t>
      </w:r>
      <w:r>
        <w:t xml:space="preserve">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abstract"/>
    <w:p>
      <w:pPr>
        <w:pStyle w:val="Heading1"/>
      </w:pPr>
      <w:r>
        <w:t xml:space="preserve">ABSTRACT</w:t>
      </w:r>
    </w:p>
    <w:p>
      <w:pPr>
        <w:pStyle w:val="FirstParagraph"/>
      </w:pPr>
      <w:r>
        <w:rPr>
          <w:i/>
          <w:iCs/>
        </w:rPr>
        <w:t xml:space="preserve">(338 words)</w:t>
      </w:r>
    </w:p>
    <w:p>
      <w:pPr>
        <w:pStyle w:val="BodyText"/>
      </w:pPr>
      <w:r>
        <w:t xml:space="preserve">Preschools routinely share classroom photographs with parents, and the obvious implementation — a shared album — is unacceptable: it exposes every child’s face to every parent. This project delivers Hive, a photo-sharing platform built so that a parent sees photographs of their own children and nothing else.</w:t>
      </w:r>
    </w:p>
    <w:p>
      <w:pPr>
        <w:pStyle w:val="BodyText"/>
      </w:pPr>
      <w:r>
        <w:t xml:space="preserve">The system comprises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Three roles are supported: teachers upload and tag photographs, parents view a privacy-scoped feed, read a per-child diary of that child’s whole time at the school, and order prints, and administrators manage schools, classes, students and users.</w:t>
      </w:r>
    </w:p>
    <w:p>
      <w:pPr>
        <w:pStyle w:val="BodyText"/>
      </w:pPr>
      <w:r>
        <w:t xml:space="preserve">The central engineering constraint is that the API authenticates using a service-role credential which bypasses row-level security by design. Authorization is therefore enforced explicitly in the service layer, and every resource accessed by identifier is checked against the caller. A formal audit identified 46 defects, of which the most serious permitted cross-family access to photograph metadata, cross-school access to student rosters including dates of birth, and an entirely non-functional ordering flow.</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the suite detects the regressions it targets and additionally exposed a pre-existing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(§3.3.6).</w:t>
      </w:r>
    </w:p>
    <w:p>
      <w:pPr>
        <w:pStyle w:val="BodyText"/>
      </w:pPr>
      <w:r>
        <w:t xml:space="preserve">Keywords: privacy by design, access control, REST API, React Native, PostgreSQL, integration testing</w:t>
      </w:r>
    </w:p>
    <w:p>
      <w:r>
        <w:pict>
          <v:rect style="width:0;height:1.5pt" o:hralign="center" o:hrstd="t" o:hr="t"/>
        </w:pict>
      </w:r>
    </w:p>
    <w:bookmarkEnd w:id="541"/>
    <w:bookmarkStart w:id="542" w:name="list-of-figures"/>
    <w:p>
      <w:pPr>
        <w:pStyle w:val="Heading1"/>
      </w:pPr>
      <w:r>
        <w:t xml:space="preserve">LIST OF FIGURES</w:t>
      </w:r>
    </w:p>
    <w:p>
      <w:pPr>
        <w:pStyle w:val="BodyText"/>
      </w:pPr>
      <w:r>
        <w:fldChar w:fldCharType="begin" w:dirty="true"/>
      </w:r>
      <w:r>
        <w:instrText xml:space="preserve"> TOC \h \z \t "ImageCaption,1" </w:instrText>
      </w:r>
      <w:r>
        <w:fldChar w:fldCharType="separate"/>
      </w:r>
      <w:r>
        <w:t>Update fields in Word (select all, then F9) to build this list.</w:t>
      </w:r>
      <w:r>
        <w:fldChar w:fldCharType="end"/>
      </w:r>
    </w:p>
    <w:bookmarkEnd w:id="542"/>
    <w:bookmarkStart w:id="543" w:name="list-of-tables"/>
    <w:p>
      <w:pPr>
        <w:pStyle w:val="Heading1"/>
      </w:pPr>
      <w:r>
        <w:t xml:space="preserve">LIST OF TABLES</w:t>
      </w:r>
    </w:p>
    <w:p>
      <w:pPr>
        <w:pStyle w:val="BodyText"/>
      </w:pPr>
      <w:r>
        <w:fldChar w:fldCharType="begin" w:dirty="true"/>
      </w:r>
      <w:r>
        <w:instrText xml:space="preserve"> TOC \h \z \t "TableCaption,1" </w:instrText>
      </w:r>
      <w:r>
        <w:fldChar w:fldCharType="separate"/>
      </w:r>
      <w:r>
        <w:t>Update fields in Word (select all, then F9) to build this list.</w:t>
      </w:r>
      <w:r>
        <w:fldChar w:fldCharType="end"/>
      </w:r>
    </w:p>
    <w:bookmarkEnd w:id="543"/>
    <w:bookmarkStart w:id="54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4"/>
    <w:bookmarkStart w:id="551"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§1.6 records what changed during implementation.</w:t>
      </w:r>
    </w:p>
    <w:bookmarkStart w:id="545"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they answer different questions. The wall answers</w:t>
      </w:r>
      <w:r>
        <w:t xml:space="preserve"> </w:t>
      </w:r>
      <w:r>
        <w:rPr>
          <w:i/>
          <w:iCs/>
        </w:rPr>
        <w:t xml:space="preserve">what arrived</w:t>
      </w:r>
      <w:r>
        <w:t xml:space="preserve"> — newest first, the fastest route to this afternoon. The diary answers</w:t>
      </w:r>
      <w:r>
        <w:t xml:space="preserve"> </w:t>
      </w:r>
      <w:r>
        <w:rPr>
          <w:i/>
          <w:iCs/>
        </w:rPr>
        <w:t xml:space="preserve">how has it gone</w:t>
      </w:r>
      <w:r>
        <w:t xml:space="preserve"> — one child’s whole time at the school, read forwards, month by month. The second is the artefact a family keeps, and a feed is the wrong shape for it: a feed is newest-first by construction, so the further back something is the harder it is to reach, which makes a child’s first week the least reachable thing in the app.</w:t>
      </w:r>
    </w:p>
    <w:bookmarkEnd w:id="545"/>
    <w:bookmarkStart w:id="546"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For a setting composed entirely of minors, that is not a minor usability concern; it is a safeguarding failure.</w:t>
      </w:r>
    </w:p>
    <w:p>
      <w:pPr>
        <w:pStyle w:val="BodyText"/>
      </w:pPr>
      <w:r>
        <w:t xml:space="preserve">The requirement that defines the product is therefore: a parent must see photographs of their own children and nothing else — not</w:t>
      </w:r>
      <w:r>
        <w:t xml:space="preserve"> </w:t>
      </w:r>
      <w:r>
        <w:t xml:space="preserve">“mostly”</w:t>
      </w:r>
      <w:r>
        <w:t xml:space="preserve">, and not</w:t>
      </w:r>
      <w:r>
        <w:t xml:space="preserve"> </w:t>
      </w:r>
      <w:r>
        <w:t xml:space="preserve">“unless they guess an identifier”</w:t>
      </w:r>
      <w:r>
        <w:t xml:space="preserve">.</w:t>
      </w:r>
    </w:p>
    <w:p>
      <w:pPr>
        <w:pStyle w:val="BodyText"/>
      </w:pPr>
      <w:r>
        <w:t xml:space="preserve">Three consequences follow, and they justify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across families and photograph tags, not a filter that can be applied afterwards.</w:t>
      </w:r>
    </w:p>
    <w:bookmarkEnd w:id="546"/>
    <w:bookmarkStart w:id="547"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7"/>
    <w:bookmarkStart w:id="548"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8"/>
    <w:bookmarkStart w:id="549"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49"/>
    <w:bookmarkStart w:id="550" w:name="changes-from-the-study-project-design"/>
    <w:p>
      <w:pPr>
        <w:pStyle w:val="Heading2"/>
      </w:pPr>
      <w:r>
        <w:t xml:space="preserve">1.6 Changes from the Study Project design</w:t>
      </w:r>
    </w:p>
    <w:p>
      <w:pPr>
        <w:pStyle w:val="FirstParagraph"/>
      </w:pPr>
      <w:r>
        <w:t xml:space="preserve">Three departures are worth recording, each made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dependency graph were deleted in favour of a synchronous sharp call taking 100–300 ms.</w:t>
      </w:r>
    </w:p>
    <w:p>
      <w:pPr>
        <w:pStyle w:val="BodyText"/>
      </w:pPr>
      <w:r>
        <w:t xml:space="preserve">Monetary values were migrated to integer minor units. The original schema used decimal(10,2).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 a reverse-chronological feed. Driving the seeded data made the omission visible: a feed is the right answer to</w:t>
      </w:r>
      <w:r>
        <w:t xml:space="preserve"> </w:t>
      </w:r>
      <w:r>
        <w:t xml:space="preserve">“what arrived today”</w:t>
      </w:r>
      <w:r>
        <w:t xml:space="preserve"> </w:t>
      </w:r>
      <w:r>
        <w:t xml:space="preserve">and the wrong answer to</w:t>
      </w:r>
      <w:r>
        <w:t xml:space="preserve"> </w:t>
      </w:r>
      <w:r>
        <w:t xml:space="preserve">“what has this year been like”</w:t>
      </w:r>
      <w:r>
        <w:t xml:space="preserve">, and only the second is the thing a family keeps. GET /feed/diary and GET /feed/diary/:month were added</w:t>
      </w:r>
      <w:r>
        <w:t xml:space="preserve"> </w:t>
      </w:r>
      <w:r>
        <w:rPr>
          <w:i/>
          <w:iCs/>
        </w:rPr>
        <w:t xml:space="preserve">alongside</w:t>
      </w:r>
      <w:r>
        <w:t xml:space="preserve"> the feed rather than replacing it — the wall is still the fastest route to this afternoon and the diary is deliberately not that — and the parent tab bar now leads with the diary. §2.3.7 and §2.4.6 describe it; the feed screen is renamed</w:t>
      </w:r>
      <w:r>
        <w:t xml:space="preserve"> </w:t>
      </w:r>
      <w:r>
        <w:rPr>
          <w:i/>
          <w:iCs/>
        </w:rPr>
        <w:t xml:space="preserve">Moments</w:t>
      </w:r>
      <w:r>
        <w:t xml:space="preserve"> in the tab bar to make the distinction legible.</w:t>
      </w:r>
    </w:p>
    <w:p>
      <w:r>
        <w:pict>
          <v:rect style="width:0;height:1.5pt" o:hralign="center" o:hrstd="t" o:hr="t"/>
        </w:pict>
      </w:r>
    </w:p>
    <w:bookmarkEnd w:id="550"/>
    <w:bookmarkEnd w:id="551"/>
    <w:bookmarkStart w:id="598" w:name="chapter-2-implementation-details"/>
    <w:p>
      <w:pPr>
        <w:pStyle w:val="Heading1"/>
      </w:pPr>
      <w:r>
        <w:t xml:space="preserve">CHAPTER 2: IMPLEMENTATION DETAILS</w:t>
      </w:r>
    </w:p>
    <w:bookmarkStart w:id="564" w:name="system-architecture-and-design"/>
    <w:p>
      <w:pPr>
        <w:pStyle w:val="Heading2"/>
      </w:pPr>
      <w:r>
        <w:t xml:space="preserve">2.1 System architecture and design</w:t>
      </w:r>
    </w:p>
    <w:bookmarkStart w:id="555" w:name="high-level-architecture"/>
    <w:p>
      <w:pPr>
        <w:pStyle w:val="Heading3"/>
      </w:pPr>
      <w:r>
        <w:t xml:space="preserve">2.1.1 High-level architecture</w:t>
      </w:r>
    </w:p>
    <w:p>
      <w:pPr>
        <w:pStyle w:val="CaptionedFigure"/>
      </w:pPr>
      <w:r>
        <w:drawing>
          <wp:inline>
            <wp:extent cx="5120640" cy="3038404"/>
            <wp:effectExtent b="0" l="0" r="0" t="0"/>
            <wp:docPr descr="Figure 2.1 — High-level system architecture" title="" id="553" name="Picture"/>
            <a:graphic>
              <a:graphicData uri="http://schemas.openxmlformats.org/drawingml/2006/picture">
                <pic:pic>
                  <pic:nvPicPr>
                    <pic:cNvPr descr="docs/capstone/screenshots/figures/fig-2.1-architecture.png" id="554" name="Picture"/>
                    <pic:cNvPicPr>
                      <a:picLocks noChangeArrowheads="1" noChangeAspect="1"/>
                    </pic:cNvPicPr>
                  </pic:nvPicPr>
                  <pic:blipFill>
                    <a:blip r:embed="rId552"/>
                    <a:stretch>
                      <a:fillRect/>
                    </a:stretch>
                  </pic:blipFill>
                  <pic:spPr bwMode="auto">
                    <a:xfrm>
                      <a:off x="0" y="0"/>
                      <a:ext cx="5120640" cy="3038404"/>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rPr>
          <w:rStyle w:val="VerbatimChar"/>
        </w:rPr>
        <w:t xml:space="preserve">┌──────────────────────────────────────────────────────────────┐</w:t>
      </w:r>
    </w:p>
    <w:p>
      <w:pPr>
        <w:pStyle w:val="BodyText"/>
      </w:pPr>
      <w:r>
        <w:rPr>
          <w:rStyle w:val="VerbatimChar"/>
        </w:rPr>
        <w:t xml:space="preserve">│  PRESENTATION — React Native (Expo)                          │</w:t>
      </w:r>
    </w:p>
    <w:p>
      <w:pPr>
        <w:pStyle w:val="BodyText"/>
      </w:pPr>
      <w:r>
        <w:rPr>
          <w:rStyle w:val="VerbatimChar"/>
        </w:rPr>
        <w:t xml:space="preserve">│  role-scoped screens · Zustand · TanStack Query              │</w:t>
      </w:r>
    </w:p>
    <w:p>
      <w:pPr>
        <w:pStyle w:val="BodyText"/>
      </w:pPr>
      <w:r>
        <w:rPr>
          <w:rStyle w:val="VerbatimChar"/>
        </w:rPr>
        <w:t xml:space="preserve">└───────────────┬──────────────────────────┬───────────────────┘</w:t>
      </w:r>
    </w:p>
    <w:p>
      <w:pPr>
        <w:pStyle w:val="BodyText"/>
      </w:pPr>
      <w:r>
        <w:rPr>
          <w:rStyle w:val="VerbatimChar"/>
        </w:rPr>
        <w:t xml:space="preserve">                │ REST + JWT               │ direct (RLS-guarded)</w:t>
      </w:r>
    </w:p>
    <w:p>
      <w:pPr>
        <w:pStyle w:val="BodyText"/>
      </w:pPr>
      <w:r>
        <w:rPr>
          <w:rStyle w:val="VerbatimChar"/>
        </w:rPr>
        <w:t xml:space="preserve">                ▼                          ▼</w:t>
      </w:r>
    </w:p>
    <w:p>
      <w:pPr>
        <w:pStyle w:val="BodyText"/>
      </w:pPr>
      <w:r>
        <w:rPr>
          <w:rStyle w:val="VerbatimChar"/>
        </w:rPr>
        <w:t xml:space="preserve">┌──────────────────────────────────┐  ┌────────────────────────┐</w:t>
      </w:r>
    </w:p>
    <w:p>
      <w:pPr>
        <w:pStyle w:val="BodyText"/>
      </w:pPr>
      <w:r>
        <w:rPr>
          <w:rStyle w:val="VerbatimChar"/>
        </w:rPr>
        <w:t xml:space="preserve">│  APPLICATION — Express API       │  │  Supabase Auth         │</w:t>
      </w:r>
    </w:p>
    <w:p>
      <w:pPr>
        <w:pStyle w:val="BodyText"/>
      </w:pPr>
      <w:r>
        <w:rPr>
          <w:rStyle w:val="VerbatimChar"/>
        </w:rPr>
        <w:t xml:space="preserve">│  authenticate → roleGuard →      │  │  GoTrue: JWT, refresh  │</w:t>
      </w:r>
    </w:p>
    <w:p>
      <w:pPr>
        <w:pStyle w:val="BodyText"/>
      </w:pPr>
      <w:r>
        <w:rPr>
          <w:rStyle w:val="VerbatimChar"/>
        </w:rPr>
        <w:t xml:space="preserve">│  validate(Zod) → controller →    │  └────────────────────────┘</w:t>
      </w:r>
    </w:p>
    <w:p>
      <w:pPr>
        <w:pStyle w:val="BodyText"/>
      </w:pPr>
      <w:r>
        <w:rPr>
          <w:rStyle w:val="VerbatimChar"/>
        </w:rPr>
        <w:t xml:space="preserve">│  service (ownership enforced)    │</w:t>
      </w:r>
    </w:p>
    <w:p>
      <w:pPr>
        <w:pStyle w:val="BodyText"/>
      </w:pPr>
      <w:r>
        <w:rPr>
          <w:rStyle w:val="VerbatimChar"/>
        </w:rPr>
        <w:t xml:space="preserve">└───────────────┬──────────────────┘──▶ Supabase Storage</w:t>
      </w:r>
    </w:p>
    <w:p>
      <w:pPr>
        <w:pStyle w:val="BodyText"/>
      </w:pPr>
      <w:r>
        <w:rPr>
          <w:rStyle w:val="VerbatimChar"/>
        </w:rPr>
        <w:t xml:space="preserve">                │                        private bucket,</w:t>
      </w:r>
    </w:p>
    <w:p>
      <w:pPr>
        <w:pStyle w:val="BodyText"/>
      </w:pPr>
      <w:r>
        <w:rPr>
          <w:rStyle w:val="VerbatimChar"/>
        </w:rPr>
        <w:t xml:space="preserve">                ▼                        signed URLs only</w:t>
      </w:r>
    </w:p>
    <w:p>
      <w:pPr>
        <w:pStyle w:val="BodyText"/>
      </w:pPr>
      <w:r>
        <w:rPr>
          <w:rStyle w:val="VerbatimChar"/>
        </w:rPr>
        <w:t xml:space="preserve">        ┌────────────────────┐</w:t>
      </w:r>
    </w:p>
    <w:p>
      <w:pPr>
        <w:pStyle w:val="BodyText"/>
      </w:pPr>
      <w:r>
        <w:rPr>
          <w:rStyle w:val="VerbatimChar"/>
        </w:rPr>
        <w:t xml:space="preserve">        │  DATA — PostgreSQL │</w:t>
      </w:r>
    </w:p>
    <w:p>
      <w:pPr>
        <w:pStyle w:val="BodyText"/>
      </w:pPr>
      <w:r>
        <w:rPr>
          <w:rStyle w:val="VerbatimChar"/>
        </w:rPr>
        <w:t xml:space="preserve">        │  20 migrations     │</w:t>
      </w:r>
    </w:p>
    <w:p>
      <w:pPr>
        <w:pStyle w:val="BodyText"/>
      </w:pPr>
      <w:r>
        <w:rPr>
          <w:rStyle w:val="VerbatimChar"/>
        </w:rPr>
        <w:t xml:space="preserve">        │  RLS + triggers    │</w:t>
      </w:r>
    </w:p>
    <w:p>
      <w:pPr>
        <w:pStyle w:val="BodyText"/>
      </w:pPr>
      <w:r>
        <w:rPr>
          <w:rStyle w:val="VerbatimChar"/>
        </w:rPr>
        <w:t xml:space="preserve">        └────────────────────┘</w:t>
      </w:r>
    </w:p>
    <w:p>
      <w:pPr>
        <w:pStyle w:val="BodyText"/>
      </w:pPr>
      <w:r>
        <w:t xml:space="preserve">The constraint that shapes the whole system: the API authenticates using the service-role credential, which bypasses row-level security by design. RLS therefore protects only those queries the mobile application issues directly to Supabase.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exactly this root cause: code that assumed RLS was covering it. This is documented prominently in the repository because it is the single most dangerous assumption a new contributor can make.</w:t>
      </w:r>
    </w:p>
    <w:bookmarkEnd w:id="555"/>
    <w:bookmarkStart w:id="559"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7" name="Picture"/>
            <a:graphic>
              <a:graphicData uri="http://schemas.openxmlformats.org/drawingml/2006/picture">
                <pic:pic>
                  <pic:nvPicPr>
                    <pic:cNvPr descr="docs/capstone/screenshots/figures/fig-2.2-dataflow.png" id="558" name="Picture"/>
                    <pic:cNvPicPr>
                      <a:picLocks noChangeArrowheads="1" noChangeAspect="1"/>
                    </pic:cNvPicPr>
                  </pic:nvPicPr>
                  <pic:blipFill>
                    <a:blip r:embed="rId556"/>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rPr>
          <w:rStyle w:val="VerbatimChar"/>
        </w:rPr>
        <w:t xml:space="preserve">  │                     │                          │               │</w:t>
      </w:r>
    </w:p>
    <w:p>
      <w:pPr>
        <w:pStyle w:val="BodyText"/>
      </w:pPr>
      <w:r>
        <w:rPr>
          <w:rStyle w:val="VerbatimChar"/>
        </w:rPr>
        <w:t xml:space="preserve">  ├─ POST /photos ─────▶│─ insert (processing) ───▶│               │</w:t>
      </w:r>
    </w:p>
    <w:p>
      <w:pPr>
        <w:pStyle w:val="BodyText"/>
      </w:pPr>
      <w:r>
        <w:rPr>
          <w:rStyle w:val="VerbatimChar"/>
        </w:rPr>
        <w:t xml:space="preserve">  │                     │                          │               │</w:t>
      </w:r>
    </w:p>
    <w:p>
      <w:pPr>
        <w:pStyle w:val="BodyText"/>
      </w:pPr>
      <w:r>
        <w:rPr>
          <w:rStyle w:val="VerbatimChar"/>
        </w:rPr>
        <w:t xml:space="preserve">  ├─ POST /:id/file ───▶│─ magic-byte validate     │               │</w:t>
      </w:r>
    </w:p>
    <w:p>
      <w:pPr>
        <w:pStyle w:val="BodyText"/>
      </w:pPr>
      <w:r>
        <w:rPr>
          <w:rStyle w:val="VerbatimChar"/>
        </w:rPr>
        <w:t xml:space="preserve">  │                     │─ sharp: convert, thumb,  │               │</w:t>
      </w:r>
    </w:p>
    <w:p>
      <w:pPr>
        <w:pStyle w:val="BodyText"/>
      </w:pPr>
      <w:r>
        <w:rPr>
          <w:rStyle w:val="VerbatimChar"/>
        </w:rPr>
        <w:t xml:space="preserve">  │                     │  blurhash ──────────────────────────────▶│</w:t>
      </w:r>
    </w:p>
    <w:p>
      <w:pPr>
        <w:pStyle w:val="BodyText"/>
      </w:pPr>
      <w:r>
        <w:rPr>
          <w:rStyle w:val="VerbatimChar"/>
        </w:rPr>
        <w:t xml:space="preserve">  │                     │─ update metadata ───────▶│               │</w:t>
      </w:r>
    </w:p>
    <w:p>
      <w:pPr>
        <w:pStyle w:val="BodyText"/>
      </w:pPr>
      <w:r>
        <w:rPr>
          <w:rStyle w:val="VerbatimChar"/>
        </w:rPr>
        <w:t xml:space="preserve">  │                     │                          │               │</w:t>
      </w:r>
    </w:p>
    <w:p>
      <w:pPr>
        <w:pStyle w:val="BodyText"/>
      </w:pPr>
      <w:r>
        <w:rPr>
          <w:rStyle w:val="VerbatimChar"/>
        </w:rPr>
        <w:t xml:space="preserve">  ├─ POST /:id/tag ────▶│─ insert tags ───────────▶│               │</w:t>
      </w:r>
    </w:p>
    <w:p>
      <w:pPr>
        <w:pStyle w:val="BodyText"/>
      </w:pPr>
      <w:r>
        <w:rPr>
          <w:rStyle w:val="VerbatimChar"/>
        </w:rPr>
        <w:t xml:space="preserve">  │                     │                          │               │</w:t>
      </w:r>
    </w:p>
    <w:p>
      <w:pPr>
        <w:pStyle w:val="BodyText"/>
      </w:pPr>
      <w:r>
        <w:rPr>
          <w:rStyle w:val="VerbatimChar"/>
        </w:rPr>
        <w:t xml:space="preserve">  ├─ POST /:id/confirm ▶│─ status → 'ready' ──────▶│               │</w:t>
      </w:r>
    </w:p>
    <w:p>
      <w:pPr>
        <w:pStyle w:val="BodyText"/>
      </w:pPr>
      <w:r>
        <w:rPr>
          <w:rStyle w:val="VerbatimChar"/>
        </w:rPr>
        <w:t xml:space="preserve">  │                     │                    TRIGGER fires:        │</w:t>
      </w:r>
    </w:p>
    <w:p>
      <w:pPr>
        <w:pStyle w:val="BodyText"/>
      </w:pPr>
      <w:r>
        <w:rPr>
          <w:rStyle w:val="VerbatimChar"/>
        </w:rPr>
        <w:t xml:space="preserve">  │                     │                    one notification per  │</w:t>
      </w:r>
    </w:p>
    <w:p>
      <w:pPr>
        <w:pStyle w:val="BodyText"/>
      </w:pPr>
      <w:r>
        <w:rPr>
          <w:rStyle w:val="VerbatimChar"/>
        </w:rPr>
        <w:t xml:space="preserve">  │                     │                    tagged child's parent │</w:t>
      </w:r>
    </w:p>
    <w:p>
      <w:pPr>
        <w:pStyle w:val="BodyText"/>
      </w:pPr>
      <w:r>
        <w:t xml:space="preserve">The ordering is load-bearing. The trigger fires on the transition</w:t>
      </w:r>
      <w:r>
        <w:t xml:space="preserve"> </w:t>
      </w:r>
      <w:r>
        <w:rPr>
          <w:i/>
          <w:iCs/>
        </w:rPr>
        <w:t xml:space="preserve">to</w:t>
      </w:r>
      <w:r>
        <w:t xml:space="preserve"> ready and iterates the tags existing at that instant. Confirming before tagging produces zero notifications — silently. The system appears to work and the feature is dead. This was a real defect (G-07); the seed script now carries a prominent comment about it and §3.3.2 records its verification.</w:t>
      </w:r>
    </w:p>
    <w:bookmarkEnd w:id="559"/>
    <w:bookmarkStart w:id="563" w:name="X2e27c990dd072ceec83c7fc645310c8d67cbd9e"/>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1" name="Picture"/>
            <a:graphic>
              <a:graphicData uri="http://schemas.openxmlformats.org/drawingml/2006/picture">
                <pic:pic>
                  <pic:nvPicPr>
                    <pic:cNvPr descr="docs/capstone/screenshots/figures/fig-2.4-authz-pipeline.png" id="562" name="Picture"/>
                    <pic:cNvPicPr>
                      <a:picLocks noChangeArrowheads="1" noChangeAspect="1"/>
                    </pic:cNvPicPr>
                  </pic:nvPicPr>
                  <pic:blipFill>
                    <a:blip r:embed="rId560"/>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   JWT →           coarse role         Zod, rejects 400            thin          ownership</w:t>
      </w:r>
    </w:p>
    <w:p>
      <w:pPr>
        <w:pStyle w:val="BodyText"/>
      </w:pPr>
      <w:r>
        <w:rPr>
          <w:rStyle w:val="VerbatimChar"/>
        </w:rPr>
        <w:t xml:space="preserve">   profile         check, 403                                                    assertions</w:t>
      </w:r>
    </w:p>
    <w:p>
      <w:pPr>
        <w:pStyle w:val="TableCaption"/>
      </w:pPr>
      <w:r>
        <w:t xml:space="preserve">Table 2.2 — Authorization layers and trust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Authorization precedes signing. A test asserts that a refused response contains no signed URL.</w:t>
      </w:r>
    </w:p>
    <w:bookmarkEnd w:id="563"/>
    <w:bookmarkEnd w:id="564"/>
    <w:bookmarkStart w:id="565" w:name="technology-stack"/>
    <w:p>
      <w:pPr>
        <w:pStyle w:val="Heading2"/>
      </w:pPr>
      <w:r>
        <w:t xml:space="preserve">2.2 Technology stack</w:t>
      </w:r>
    </w:p>
    <w:p>
      <w:pPr>
        <w:pStyle w:val="TableCaption"/>
      </w:pPr>
      <w:r>
        <w:t xml:space="preserve">Table 2.1 — Technology stack and rationale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5"/>
    <w:bookmarkStart w:id="577" w:name="system-modules"/>
    <w:p>
      <w:pPr>
        <w:pStyle w:val="Heading2"/>
      </w:pPr>
      <w:r>
        <w:t xml:space="preserve">2.3 System modules</w:t>
      </w:r>
    </w:p>
    <w:p>
      <w:pPr>
        <w:pStyle w:val="TableCaption"/>
      </w:pPr>
      <w:r>
        <w:t xml:space="preserve">Table 2.3 — Database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7" name="Picture"/>
            <a:graphic>
              <a:graphicData uri="http://schemas.openxmlformats.org/drawingml/2006/picture">
                <pic:pic>
                  <pic:nvPicPr>
                    <pic:cNvPr descr="docs/capstone/screenshots/figures/fig-2.3-er-diagram.png" id="568" name="Picture"/>
                    <pic:cNvPicPr>
                      <a:picLocks noChangeArrowheads="1" noChangeAspect="1"/>
                    </pic:cNvPicPr>
                  </pic:nvPicPr>
                  <pic:blipFill>
                    <a:blip r:embed="rId566"/>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69"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69"/>
    <w:bookmarkStart w:id="570"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0"/>
    <w:bookmarkStart w:id="571"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1"/>
    <w:bookmarkStart w:id="572"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2"/>
    <w:bookmarkStart w:id="573"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3"/>
    <w:bookmarkStart w:id="574"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4"/>
    <w:bookmarkStart w:id="575"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are decisions rather than implementation details:</w:t>
      </w:r>
    </w:p>
    <w:p>
      <w:pPr>
        <w:pStyle w:val="Compact"/>
        <w:numPr>
          <w:ilvl w:val="0"/>
          <w:numId w:val="1003"/>
        </w:numPr>
      </w:pPr>
      <w:r>
        <w:t xml:space="preserve">Signing is proportional to what is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w:t>
      </w:r>
      <w:r>
        <w:t xml:space="preserve"> </w:t>
      </w:r>
      <w:r>
        <w:t xml:space="preserve">“not yours”</w:t>
      </w:r>
      <w:r>
        <w:t xml:space="preserve"> </w:t>
      </w:r>
      <w:r>
        <w:t xml:space="preserve">from</w:t>
      </w:r>
      <w:r>
        <w:t xml:space="preserve"> </w:t>
      </w:r>
      <w:r>
        <w:t xml:space="preserve">“does not exist”</w:t>
      </w:r>
      <w:r>
        <w:t xml:space="preserve">. No query below it has to re-establish the boundary.</w:t>
      </w:r>
    </w:p>
    <w:bookmarkEnd w:id="575"/>
    <w:bookmarkStart w:id="576" w:name="X4d5add4752945926c57d48535dc8c6578fae540"/>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can legally carry text. Both are right for what they do, and neither can say</w:t>
      </w:r>
      <w:r>
        <w:t xml:space="preserve"> </w:t>
      </w:r>
      <w:r>
        <w:rPr>
          <w:i/>
          <w:iCs/>
        </w:rPr>
        <w:t xml:space="preserve">this is for a four-year-old’s family</w:t>
      </w:r>
      <w:r>
        <w:t xml:space="preserve">, which is why the application read as plain. A play layer was added on top rather than mixed into the existing one, and the fencing is the point:</w:t>
      </w:r>
    </w:p>
    <w:p>
      <w:pPr>
        <w:pStyle w:val="Compact"/>
        <w:numPr>
          <w:ilvl w:val="0"/>
          <w:numId w:val="1004"/>
        </w:numPr>
      </w:pPr>
      <w:r>
        <w:t xml:space="preserve">theme/play.ts holds an</w:t>
      </w:r>
      <w:r>
        <w:t xml:space="preserve"> </w:t>
      </w:r>
      <w:r>
        <w:rPr>
          <w:i/>
          <w:iCs/>
        </w:rPr>
        <w:t xml:space="preserve">illustration</w:t>
      </w:r>
      <w:r>
        <w:t xml:space="preserve"> palette at roughly twice the chroma of the interface palette. It is decorative only; nothing in it may set text, and isDecorativeColor() exists so that rule is enforced rather than remembered. It also holds the honeycomb geometry that the mark, the tab indicator, the page indicator and the celebration burst all share —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that lesson is encoded in the constraint rather than left to be re-learnt.</w:t>
      </w:r>
    </w:p>
    <w:p>
      <w:pPr>
        <w:pStyle w:val="Compact"/>
        <w:numPr>
          <w:ilvl w:val="0"/>
          <w:numId w:val="1004"/>
        </w:numPr>
      </w:pPr>
      <w:r>
        <w:t xml:space="preserve">Bo, a bee, in ten poses, drawn as three layers so the wings can beat without the body re-rendering. The poses are a closed vocabulary — each exists because a screen needed to say something a drawing says better than a sentence. hide, Bo covering her eyes, is this product’s central promise in one picture, and it is used twice: on the privacy slide of the onboarding carousel, and on the login screen whenever the password field has focus.</w:t>
      </w:r>
    </w:p>
    <w:p>
      <w:pPr>
        <w:pStyle w:val="FirstParagraph"/>
      </w:pPr>
      <w:r>
        <w:t xml:space="preserve">Two rules hold across all of it, and both are load-bearing rather than stylistic. Nothing becomes visible by animating — every entrance animates transforms only, or is gated on being rendered at all, because an animation that silently fails to run leaves invisible content and no error. And all of it is hidden from screen readers and skipped under Reduce Motion: delete the entire decorative layer and every screen still says exactly what it said.</w:t>
      </w:r>
    </w:p>
    <w:p>
      <w:pPr>
        <w:pStyle w:val="BodyText"/>
      </w:pPr>
      <w:r>
        <w:t xml:space="preserve">The illustrated scenes are objects and places, never children. That constraint is inherited from the product — a drawn child would be the same wrong trade with a nicer finish —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6"/>
    <w:bookmarkEnd w:id="577"/>
    <w:bookmarkStart w:id="584" w:name="key-algorithms-and-logic"/>
    <w:p>
      <w:pPr>
        <w:pStyle w:val="Heading2"/>
      </w:pPr>
      <w:r>
        <w:t xml:space="preserve">2.4 Key algorithms and logic</w:t>
      </w:r>
    </w:p>
    <w:bookmarkStart w:id="578"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    studentIds ← SELECT student_id FROM parent_student_mappings</w:t>
      </w:r>
    </w:p>
    <w:p>
      <w:pPr>
        <w:pStyle w:val="BodyText"/>
      </w:pPr>
      <w:r>
        <w:rPr>
          <w:rStyle w:val="VerbatimChar"/>
        </w:rPr>
        <w:t xml:space="preserve">                 WHERE parent_id = parentId</w:t>
      </w:r>
    </w:p>
    <w:p>
      <w:pPr>
        <w:pStyle w:val="BodyText"/>
      </w:pPr>
      <w:r>
        <w:rPr>
          <w:rStyle w:val="VerbatimChar"/>
        </w:rPr>
        <w:t xml:space="preserve">    IF studentIds is empty: RETURN empty page</w:t>
      </w:r>
    </w:p>
    <w:p>
      <w:pPr>
        <w:pStyle w:val="BodyText"/>
      </w:pPr>
      <w:r>
        <w:rPr>
          <w:rStyle w:val="VerbatimChar"/>
        </w:rPr>
        <w:t xml:space="preserve">    photoIds   ← SELECT DISTINCT photo_id FROM photo_student_tags</w:t>
      </w:r>
    </w:p>
    <w:p>
      <w:pPr>
        <w:pStyle w:val="BodyText"/>
      </w:pPr>
      <w:r>
        <w:rPr>
          <w:rStyle w:val="VerbatimChar"/>
        </w:rPr>
        <w:t xml:space="preserve">                 WHERE student_id IN studentIds          -- DISTINCT: siblings</w:t>
      </w:r>
    </w:p>
    <w:p>
      <w:pPr>
        <w:pStyle w:val="BodyText"/>
      </w:pPr>
      <w:r>
        <w:rPr>
          <w:rStyle w:val="VerbatimChar"/>
        </w:rPr>
        <w:t xml:space="preserve">    rows       ← SELECT … FROM photos</w:t>
      </w:r>
    </w:p>
    <w:p>
      <w:pPr>
        <w:pStyle w:val="BodyText"/>
      </w:pPr>
      <w:r>
        <w:rPr>
          <w:rStyle w:val="VerbatimChar"/>
        </w:rPr>
        <w:t xml:space="preserve">                 WHERE id IN photoIds</w:t>
      </w:r>
    </w:p>
    <w:p>
      <w:pPr>
        <w:pStyle w:val="BodyText"/>
      </w:pPr>
      <w:r>
        <w:rPr>
          <w:rStyle w:val="VerbatimChar"/>
        </w:rPr>
        <w:t xml:space="preserve">                   AND status = 'ready'                  -- unconfirmed excluded</w:t>
      </w:r>
    </w:p>
    <w:p>
      <w:pPr>
        <w:pStyle w:val="BodyText"/>
      </w:pPr>
      <w:r>
        <w:rPr>
          <w:rStyle w:val="VerbatimChar"/>
        </w:rPr>
        <w:t xml:space="preserve">                   AND (created_at, id) &lt; cursor         -- keyset pagination</w:t>
      </w:r>
    </w:p>
    <w:p>
      <w:pPr>
        <w:pStyle w:val="BodyText"/>
      </w:pPr>
      <w:r>
        <w:rPr>
          <w:rStyle w:val="VerbatimChar"/>
        </w:rPr>
        <w:t xml:space="preserve">                 ORDER BY created_at DESC, id DESC</w:t>
      </w:r>
    </w:p>
    <w:p>
      <w:pPr>
        <w:pStyle w:val="BodyText"/>
      </w:pPr>
      <w:r>
        <w:rPr>
          <w:rStyle w:val="VerbatimChar"/>
        </w:rPr>
        <w:t xml:space="preserve">                 LIMIT limit + 1                         -- +1 detects next page</w:t>
      </w:r>
    </w:p>
    <w:p>
      <w:pPr>
        <w:pStyle w:val="BodyText"/>
      </w:pPr>
      <w:r>
        <w:rPr>
          <w:rStyle w:val="VerbatimChar"/>
        </w:rPr>
        <w:t xml:space="preserve">    signedUrls ← batchSign(rows.thumbnailKey ?? rows.originalKey)</w:t>
      </w:r>
    </w:p>
    <w:p>
      <w:pPr>
        <w:pStyle w:val="BodyText"/>
      </w:pPr>
      <w:r>
        <w:rPr>
          <w:rStyle w:val="VerbatimChar"/>
        </w:rPr>
        <w:t xml:space="preserve">    RETURN rows joined with signedUrls, nextCursor</w:t>
      </w:r>
    </w:p>
    <w:p>
      <w:pPr>
        <w:pStyle w:val="BodyText"/>
      </w:pPr>
      <w:r>
        <w:t xml:space="preserve">Three details carry weight.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the rows are known to be permitted.</w:t>
      </w:r>
    </w:p>
    <w:bookmarkEnd w:id="578"/>
    <w:bookmarkStart w:id="579"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in circulation disagree.</w:t>
      </w:r>
      <w:r>
        <w:t xml:space="preserve"> 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 a $4.99 print would have stored 499.00. The 299 figure appears twice in that comment and $4.99 once, so the digital download is the likelier original, and it is the version used above. This is corrected in the open rather than quietly,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w:t>
      </w:r>
      <w:r>
        <w:t xml:space="preserve">‘en-IN’</w:t>
      </w:r>
      <w:r>
        <w:t xml:space="preserve">),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79"/>
    <w:bookmarkStart w:id="580"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 and the compensation never executed, because the process had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    IF jsonb_array_length(p_items) = 0 THEN</w:t>
      </w:r>
    </w:p>
    <w:p>
      <w:pPr>
        <w:pStyle w:val="BodyText"/>
      </w:pPr>
      <w:r>
        <w:rPr>
          <w:rStyle w:val="VerbatimChar"/>
        </w:rPr>
        <w:t xml:space="preserve">        RAISE EXCEPTION 'An order must contain at least one item';</w:t>
      </w:r>
    </w:p>
    <w:p>
      <w:pPr>
        <w:pStyle w:val="BodyText"/>
      </w:pPr>
      <w:r>
        <w:rPr>
          <w:rStyle w:val="VerbatimChar"/>
        </w:rPr>
        <w:t xml:space="preserve">    END IF;</w:t>
      </w:r>
    </w:p>
    <w:p>
      <w:pPr>
        <w:pStyle w:val="BodyText"/>
      </w:pPr>
      <w:r>
        <w:rPr>
          <w:rStyle w:val="VerbatimChar"/>
        </w:rPr>
        <w:t xml:space="preserve">    INSERT INTO orders (…) VALUES (…) RETURNING id INTO v_order_id;</w:t>
      </w:r>
    </w:p>
    <w:p>
      <w:pPr>
        <w:pStyle w:val="BodyText"/>
      </w:pPr>
      <w:r>
        <w:rPr>
          <w:rStyle w:val="VerbatimChar"/>
        </w:rPr>
        <w:t xml:space="preserve">    INSERT INTO order_items (…) SELECT … FROM jsonb_array_elements(p_items);</w:t>
      </w:r>
    </w:p>
    <w:p>
      <w:pPr>
        <w:pStyle w:val="BodyText"/>
      </w:pPr>
      <w:r>
        <w:rPr>
          <w:rStyle w:val="VerbatimChar"/>
        </w:rPr>
        <w:t xml:space="preserve">    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§3.3.1 by deliberately failing the item insert.</w:t>
      </w:r>
    </w:p>
    <w:bookmarkEnd w:id="580"/>
    <w:bookmarkStart w:id="581"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§3.3.1.</w:t>
      </w:r>
    </w:p>
    <w:bookmarkEnd w:id="581"/>
    <w:bookmarkStart w:id="582"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2"/>
    <w:bookmarkStart w:id="583" w:name="the-diarys-calendar-and-where-it-is-cut"/>
    <w:p>
      <w:pPr>
        <w:pStyle w:val="Heading3"/>
      </w:pPr>
      <w:r>
        <w:t xml:space="preserve">2.4.6 The diary’s calendar, and where it is cut</w:t>
      </w:r>
    </w:p>
    <w:p>
      <w:pPr>
        <w:pStyle w:val="FirstParagraph"/>
      </w:pPr>
      <w:r>
        <w:t xml:space="preserve">Two questions the diary has to answer, neither with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BodyText"/>
      </w:pPr>
      <w:r>
        <w:t xml:space="preserve">    shifted ← instant(iso) − tzOffsetMinutes × 60000</w:t>
      </w:r>
    </w:p>
    <w:p>
      <w:pPr>
        <w:pStyle w:val="BodyText"/>
      </w:pPr>
      <w:r>
        <w:rPr>
          <w:rStyle w:val="VerbatimChar"/>
        </w:rPr>
        <w:t xml:space="preserve">    RETURN { month: YYYY-MM of shifted, date: YYYY-MM-DD of shifted }   -- read via getUTC*</w:t>
      </w:r>
    </w:p>
    <w:p>
      <w:pPr>
        <w:pStyle w:val="BodyText"/>
      </w:pPr>
      <w:r>
        <w:rPr>
          <w:rStyle w:val="VerbatimChar"/>
        </w:rPr>
        <w:t xml:space="preserve">FUNCTION monthBoundsUtc(month, tzOffsetMinutes):</w:t>
      </w:r>
    </w:p>
    <w:p>
      <w:pPr>
        <w:pStyle w:val="BodyText"/>
      </w:pPr>
      <w:r>
        <w:t xml:space="preserve">    startLocal ← Date.UTC(year, monthIndex − 1, 1)</w:t>
      </w:r>
    </w:p>
    <w:p>
      <w:pPr>
        <w:pStyle w:val="BodyText"/>
      </w:pPr>
      <w:r>
        <w:rPr>
          <w:rStyle w:val="VerbatimChar"/>
        </w:rPr>
        <w:t xml:space="preserve">    endLocal   ← Date.UTC(year, monthIndex,     1)   -- December rolls over on its own</w:t>
      </w:r>
    </w:p>
    <w:p>
      <w:pPr>
        <w:pStyle w:val="BodyText"/>
      </w:pPr>
      <w:r>
        <w:rPr>
          <w:rStyle w:val="VerbatimChar"/>
        </w:rPr>
        <w:t xml:space="preserve">    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of the parent’s children, so a photograph of two siblings matches twice; the diary filters on exactly one student, and uq_photo_student_tag permits at most one tag row per (photograph, student).</w:t>
      </w:r>
    </w:p>
    <w:bookmarkEnd w:id="583"/>
    <w:bookmarkEnd w:id="584"/>
    <w:bookmarkStart w:id="597" w:name="screenshots-and-code-sections"/>
    <w:p>
      <w:pPr>
        <w:pStyle w:val="Heading2"/>
      </w:pPr>
      <w:r>
        <w:t xml:space="preserve">2.5 Screenshots and code sections</w:t>
      </w:r>
    </w:p>
    <w:p>
      <w:pPr>
        <w:pStyle w:val="CaptionedFigure"/>
      </w:pPr>
      <w:r>
        <w:drawing>
          <wp:inline>
            <wp:extent cx="2377440" cy="4912097"/>
            <wp:effectExtent b="0" l="0" r="0" t="0"/>
            <wp:docPr descr="Figure 2.5 — Teacher upload screen with student tagger" title="" id="586" name="Picture"/>
            <a:graphic>
              <a:graphicData uri="http://schemas.openxmlformats.org/drawingml/2006/picture">
                <pic:pic>
                  <pic:nvPicPr>
                    <pic:cNvPr descr="docs/capstone/screenshots/figures/fig-2.5-upload-tagger.png" id="587" name="Picture"/>
                    <pic:cNvPicPr>
                      <a:picLocks noChangeArrowheads="1" noChangeAspect="1"/>
                    </pic:cNvPicPr>
                  </pic:nvPicPr>
                  <pic:blipFill>
                    <a:blip r:embed="rId585"/>
                    <a:stretch>
                      <a:fillRect/>
                    </a:stretch>
                  </pic:blipFill>
                  <pic:spPr bwMode="auto">
                    <a:xfrm>
                      <a:off x="0" y="0"/>
                      <a:ext cx="2377440" cy="4912097"/>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3384754"/>
            <wp:effectExtent b="0" l="0" r="0" t="0"/>
            <wp:docPr descr="Figure 2.6 — Parent feed with child switcher" title="" id="589" name="Picture"/>
            <a:graphic>
              <a:graphicData uri="http://schemas.openxmlformats.org/drawingml/2006/picture">
                <pic:pic>
                  <pic:nvPicPr>
                    <pic:cNvPr descr="docs/capstone/screenshots/figures/fig-2.6-feed-child-switcher.png" id="590" name="Picture"/>
                    <pic:cNvPicPr>
                      <a:picLocks noChangeArrowheads="1" noChangeAspect="1"/>
                    </pic:cNvPicPr>
                  </pic:nvPicPr>
                  <pic:blipFill>
                    <a:blip r:embed="rId588"/>
                    <a:stretch>
                      <a:fillRect/>
                    </a:stretch>
                  </pic:blipFill>
                  <pic:spPr bwMode="auto">
                    <a:xfrm>
                      <a:off x="0" y="0"/>
                      <a:ext cx="4114800" cy="3384754"/>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4912097"/>
            <wp:effectExtent b="0" l="0" r="0" t="0"/>
            <wp:docPr descr="Figure 2.7 — Order placement and confirmation" title="" id="592" name="Picture"/>
            <a:graphic>
              <a:graphicData uri="http://schemas.openxmlformats.org/drawingml/2006/picture">
                <pic:pic>
                  <pic:nvPicPr>
                    <pic:cNvPr descr="docs/capstone/screenshots/figures/fig-2.7-order-confirm.png" id="593" name="Picture"/>
                    <pic:cNvPicPr>
                      <a:picLocks noChangeArrowheads="1" noChangeAspect="1"/>
                    </pic:cNvPicPr>
                  </pic:nvPicPr>
                  <pic:blipFill>
                    <a:blip r:embed="rId591"/>
                    <a:stretch>
                      <a:fillRect/>
                    </a:stretch>
                  </pic:blipFill>
                  <pic:spPr bwMode="auto">
                    <a:xfrm>
                      <a:off x="0" y="0"/>
                      <a:ext cx="2377440" cy="4912097"/>
                    </a:xfrm>
                    <a:prstGeom prst="rect">
                      <a:avLst/>
                    </a:prstGeom>
                    <a:noFill/>
                    <a:ln w="9525">
                      <a:noFill/>
                      <a:headEnd/>
                      <a:tailEnd/>
                    </a:ln>
                  </pic:spPr>
                </pic:pic>
              </a:graphicData>
            </a:graphic>
          </wp:inline>
        </w:drawing>
      </w:r>
    </w:p>
    <w:p>
      <w:pPr>
        <w:pStyle w:val="ImageCaption"/>
      </w:pPr>
      <w:r>
        <w:t xml:space="preserve">Figure 2.7 — Order placement and confirmation</w:t>
      </w:r>
    </w:p>
    <w:p>
      <w:pPr>
        <w:pStyle w:val="CaptionedFigure"/>
      </w:pPr>
      <w:r>
        <w:drawing>
          <wp:inline>
            <wp:extent cx="2377440" cy="4912097"/>
            <wp:effectExtent b="0" l="0" r="0" t="0"/>
            <wp:docPr descr="Figure 2.8 — Administrator dashboard" title="" id="595" name="Picture"/>
            <a:graphic>
              <a:graphicData uri="http://schemas.openxmlformats.org/drawingml/2006/picture">
                <pic:pic>
                  <pic:nvPicPr>
                    <pic:cNvPr descr="docs/capstone/screenshots/figures/fig-2.8-admin-dashboard.png" id="596" name="Picture"/>
                    <pic:cNvPicPr>
                      <a:picLocks noChangeArrowheads="1" noChangeAspect="1"/>
                    </pic:cNvPicPr>
                  </pic:nvPicPr>
                  <pic:blipFill>
                    <a:blip r:embed="rId594"/>
                    <a:stretch>
                      <a:fillRect/>
                    </a:stretch>
                  </pic:blipFill>
                  <pic:spPr bwMode="auto">
                    <a:xfrm>
                      <a:off x="0" y="0"/>
                      <a:ext cx="2377440" cy="4912097"/>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  if (user.role === 'admin') return;</w:t>
      </w:r>
    </w:p>
    <w:p>
      <w:pPr>
        <w:pStyle w:val="BodyText"/>
      </w:pPr>
      <w:r>
        <w:rPr>
          <w:rStyle w:val="VerbatimChar"/>
        </w:rPr>
        <w:t xml:space="preserve">  if (photo.school_id !== user.schoolId) {</w:t>
      </w:r>
    </w:p>
    <w:p>
      <w:pPr>
        <w:pStyle w:val="BodyText"/>
      </w:pPr>
      <w:r>
        <w:rPr>
          <w:rStyle w:val="VerbatimChar"/>
        </w:rPr>
        <w:t xml:space="preserve">    throw new AppError('You do not have access to this school', 403, 'FORBIDDEN');</w:t>
      </w:r>
    </w:p>
    <w:p>
      <w:pPr>
        <w:pStyle w:val="BodyText"/>
      </w:pPr>
      <w:r>
        <w:rPr>
          <w:rStyle w:val="VerbatimChar"/>
        </w:rPr>
        <w:t xml:space="preserve">  }</w:t>
      </w:r>
    </w:p>
    <w:p>
      <w:pPr>
        <w:pStyle w:val="BodyText"/>
      </w:pPr>
      <w:r>
        <w:rPr>
          <w:rStyle w:val="VerbatimChar"/>
        </w:rPr>
        <w:t xml:space="preserve">  if (user.role === 'teacher' &amp;&amp; photo.uploaded_by !== user.id) {</w:t>
      </w:r>
    </w:p>
    <w:p>
      <w:pPr>
        <w:pStyle w:val="BodyText"/>
      </w:pPr>
      <w:r>
        <w:rPr>
          <w:rStyle w:val="VerbatimChar"/>
        </w:rPr>
        <w:t xml:space="preserve">    throw new AppError('Not your photo', 403, 'FORBIDDEN');</w:t>
      </w:r>
    </w:p>
    <w:p>
      <w:pPr>
        <w:pStyle w:val="BodyText"/>
      </w:pPr>
      <w:r>
        <w:rPr>
          <w:rStyle w:val="VerbatimChar"/>
        </w:rPr>
        <w:t xml:space="preserve">  }</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7"/>
    <w:bookmarkEnd w:id="598"/>
    <w:bookmarkStart w:id="631" w:name="chapter-3-testing-validation-results"/>
    <w:p>
      <w:pPr>
        <w:pStyle w:val="Heading1"/>
      </w:pPr>
      <w:r>
        <w:t xml:space="preserve">CHAPTER 3: TESTING, VALIDATION &amp; RESULTS</w:t>
      </w:r>
    </w:p>
    <w:bookmarkStart w:id="602" w:name="test-plan"/>
    <w:p>
      <w:pPr>
        <w:pStyle w:val="Heading2"/>
      </w:pPr>
      <w:r>
        <w:t xml:space="preserve">3.1 Test plan</w:t>
      </w:r>
    </w:p>
    <w:bookmarkStart w:id="599" w:name="strategy"/>
    <w:p>
      <w:pPr>
        <w:pStyle w:val="Heading3"/>
      </w:pPr>
      <w:r>
        <w:t xml:space="preserve">3.1.1 Strategy</w:t>
      </w:r>
    </w:p>
    <w:p>
      <w:pPr>
        <w:pStyle w:val="FirstParagraph"/>
      </w:pPr>
      <w:r>
        <w:t xml:space="preserve">Three layers, each catching what the others cannot: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rather than unit testing.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layers.</w:t>
      </w:r>
    </w:p>
    <w:bookmarkEnd w:id="599"/>
    <w:bookmarkStart w:id="600"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§3.3.1 records the numbers and §3.3.7 what stopped happening.</w:t>
      </w:r>
    </w:p>
    <w:bookmarkEnd w:id="600"/>
    <w:bookmarkStart w:id="601"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w:t>
      </w:r>
      <w:r>
        <w:t xml:space="preserve"> </w:t>
      </w:r>
      <w:r>
        <w:t xml:space="preserve">“deliberately loud and unconditional”</w:t>
      </w:r>
      <w:r>
        <w:t xml:space="preserve">; it was neither. This is recorded because a guard nobody has tested is not a guard, and the failure mode here is silent data loss.</w:t>
      </w:r>
    </w:p>
    <w:bookmarkEnd w:id="601"/>
    <w:bookmarkEnd w:id="602"/>
    <w:bookmarkStart w:id="603" w:name="test-cases"/>
    <w:p>
      <w:pPr>
        <w:pStyle w:val="Heading2"/>
      </w:pPr>
      <w:r>
        <w:t xml:space="preserve">3.2 Test cases</w:t>
      </w:r>
    </w:p>
    <w:p>
      <w:pPr>
        <w:pStyle w:val="TableCaption"/>
      </w:pPr>
      <w:r>
        <w:t xml:space="preserve">Table 3.1 — Test suite composition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 13 pure calendar cases in a new file, and 16 in feed.test.ts, of which 13 exercise the two diary endpoints and 3 close validation gaps the feed routes had carried from the beginning: a malformed studentId, a malformed photograph id and a cursor of the wrong shape each returned a 500 from PostgREST rather than a 400, because those routes had no validator at all. The suite was 218 across 8 files from 13 August until then, and 178 before that.</w:t>
      </w:r>
    </w:p>
    <w:p>
      <w:pPr>
        <w:pStyle w:val="BodyText"/>
      </w:pPr>
      <w:r>
        <w:t xml:space="preserve">This table covers the backend integration suite, which is the one that exercises the privacy boundary and therefore carries the argument of this chapter.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§5.1 is the two combined.</w:t>
      </w:r>
    </w:p>
    <w:p>
      <w:pPr>
        <w:pStyle w:val="TableCaption"/>
      </w:pPr>
      <w:r>
        <w:t xml:space="preserve">Table 3.2 — Test cases and results (representative selection; all 247**</w:t>
      </w:r>
      <w:r>
        <w:t xml:space="preserve"> </w:t>
      </w:r>
      <w:r>
        <w:rPr>
          <w:b/>
          <w:bCs/>
        </w:rPr>
        <w:t xml:space="preserve">pass</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3"/>
    <w:bookmarkStart w:id="630" w:name="results-and-analysis"/>
    <w:p>
      <w:pPr>
        <w:pStyle w:val="Heading2"/>
      </w:pPr>
      <w:r>
        <w:t xml:space="preserve">3.3 Results and analysis</w:t>
      </w:r>
    </w:p>
    <w:bookmarkStart w:id="607" w:name="automated-suite"/>
    <w:p>
      <w:pPr>
        <w:pStyle w:val="Heading3"/>
      </w:pPr>
      <w:r>
        <w:t xml:space="preserve">3.3.1 Automated suite</w:t>
      </w:r>
    </w:p>
    <w:p>
      <w:pPr>
        <w:pStyle w:val="FirstParagraph"/>
      </w:pPr>
      <w:r>
        <w:drawing>
          <wp:inline>
            <wp:extent cx="5577840" cy="3093165"/>
            <wp:effectExtent b="0" l="0" r="0" t="0"/>
            <wp:docPr descr="Figure 3.1 — Test suite execution — 218 tests passing" title="" id="605" name="Picture"/>
            <a:graphic>
              <a:graphicData uri="http://schemas.openxmlformats.org/drawingml/2006/picture">
                <pic:pic>
                  <pic:nvPicPr>
                    <pic:cNvPr descr="docs/capstone/screenshots/figures/fig-3.1-test-suite.png" id="606" name="Picture"/>
                    <pic:cNvPicPr>
                      <a:picLocks noChangeArrowheads="1" noChangeAspect="1"/>
                    </pic:cNvPicPr>
                  </pic:nvPicPr>
                  <pic:blipFill>
                    <a:blip r:embed="rId604"/>
                    <a:stretch>
                      <a:fillRect/>
                    </a:stretch>
                  </pic:blipFill>
                  <pic:spPr bwMode="auto">
                    <a:xfrm>
                      <a:off x="0" y="0"/>
                      <a:ext cx="5577840" cy="3093165"/>
                    </a:xfrm>
                    <a:prstGeom prst="rect">
                      <a:avLst/>
                    </a:prstGeom>
                    <a:noFill/>
                    <a:ln w="9525">
                      <a:noFill/>
                      <a:headEnd/>
                      <a:tailEnd/>
                    </a:ln>
                  </pic:spPr>
                </pic:pic>
              </a:graphicData>
            </a:graphic>
          </wp:inline>
        </w:drawing>
      </w:r>
      <w:r>
        <w:t xml:space="preserve"> </w:t>
      </w: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 Raw output: docs/capstone/evidence/test-suites-20aug.txt.</w:t>
      </w:r>
      <w:r>
        <w:t xml:space="preserve"> </w:t>
      </w:r>
      <w:r>
        <w:rPr>
          <w:i/>
          <w:iCs/>
        </w:rPr>
        <w:t xml:space="preserve">(Figure 3.1)</w:t>
      </w:r>
    </w:p>
    <w:p>
      <w:pPr>
        <w:pStyle w:val="BodyText"/>
      </w:pPr>
      <w:r>
        <w:t xml:space="preserve">The 21.96 s is not a speed-up in the code and must not be read as one. It is the test target moving from a hosted Supabase project to a local stack. The comparable earlier figures — 245 s and 122.63 s on 16 August, and 373.86 s in CI — were 218 tests against the remote hive-test project, where wall time is dominated by network latency to Postgres, GoTrue and Storage rather than by the code under test. CI still runs against hive-test, so the CI figure and the local figure measure different things and must not be quoted against each other.</w:t>
      </w:r>
    </w:p>
    <w:p>
      <w:pPr>
        <w:pStyle w:val="TableCaption"/>
      </w:pPr>
      <w:r>
        <w:t xml:space="preserve">Table 3.3 — Runtime functional verification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w:t>
            </w:r>
            <w:r>
              <w:t xml:space="preserve"> </w:t>
            </w:r>
            <w:r>
              <w:t xml:space="preserve">“checks”</w:t>
            </w:r>
            <w:r>
              <w:t xml:space="preserve">: {</w:t>
            </w:r>
            <w:r>
              <w:t xml:space="preserve">“database”</w:t>
            </w:r>
            <w:r>
              <w:t xml:space="preserve">:</w:t>
            </w:r>
            <w:r>
              <w:t xml:space="preserve"> </w:t>
            </w:r>
            <w:r>
              <w:t xml:space="preserve">“ok”</w:t>
            </w:r>
            <w:r>
              <w:t xml:space="preserve">} — genuine round-trip</w:t>
            </w:r>
          </w:p>
        </w:tc>
      </w:tr>
      <w:tr>
        <w:tc>
          <w:tcPr/>
          <w:p>
            <w:pPr>
              <w:pStyle w:val="Compact"/>
            </w:pPr>
            <w:r>
              <w:t xml:space="preserve">GET /health, database stopped</w:t>
            </w:r>
          </w:p>
        </w:tc>
        <w:tc>
          <w:tcPr/>
          <w:p>
            <w:pPr>
              <w:pStyle w:val="Compact"/>
            </w:pPr>
            <w:r>
              <w:t xml:space="preserve">503,</w:t>
            </w:r>
            <w:r>
              <w:t xml:space="preserve"> </w:t>
            </w:r>
            <w:r>
              <w:t xml:space="preserve">“status”</w:t>
            </w:r>
            <w:r>
              <w:t xml:space="preserve">:</w:t>
            </w:r>
            <w:r>
              <w:t xml:space="preserve"> </w:t>
            </w:r>
            <w:r>
              <w:t xml:space="preserve">“degraded”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7"/>
    <w:bookmarkStart w:id="614" w:name="Xb0bdd6dec1e982733a286417be342800c29bcab"/>
    <w:p>
      <w:pPr>
        <w:pStyle w:val="Heading3"/>
      </w:pPr>
      <w:r>
        <w:t xml:space="preserve">3.3.2 Privacy verification — the central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534244"/>
                  <wp:effectExtent b="0" l="0" r="0" t="0"/>
                  <wp:docPr descr="" title="" id="609" name="Picture"/>
                  <a:graphic>
                    <a:graphicData uri="http://schemas.openxmlformats.org/drawingml/2006/picture">
                      <pic:pic>
                        <pic:nvPicPr>
                          <pic:cNvPr descr="docs/capstone/screenshots/figures/fig-3.4a-rajesh-feed.png" id="610" name="Picture"/>
                          <pic:cNvPicPr>
                            <a:picLocks noChangeArrowheads="1" noChangeAspect="1"/>
                          </pic:cNvPicPr>
                        </pic:nvPicPr>
                        <pic:blipFill>
                          <a:blip r:embed="rId608"/>
                          <a:stretch>
                            <a:fillRect/>
                          </a:stretch>
                        </pic:blipFill>
                        <pic:spPr bwMode="auto">
                          <a:xfrm>
                            <a:off x="0" y="0"/>
                            <a:ext cx="2194560" cy="4534244"/>
                          </a:xfrm>
                          <a:prstGeom prst="rect">
                            <a:avLst/>
                          </a:prstGeom>
                          <a:noFill/>
                          <a:ln w="9525">
                            <a:noFill/>
                            <a:headEnd/>
                            <a:tailEnd/>
                          </a:ln>
                        </pic:spPr>
                      </pic:pic>
                    </a:graphicData>
                  </a:graphic>
                </wp:inline>
              </w:drawing>
            </w:r>
          </w:p>
        </w:tc>
        <w:tc>
          <w:tcPr/>
          <w:p>
            <w:pPr>
              <w:pStyle w:val="Compact"/>
              <w:jc w:val="center"/>
            </w:pPr>
            <w:r>
              <w:drawing>
                <wp:inline>
                  <wp:extent cx="2194560" cy="4534244"/>
                  <wp:effectExtent b="0" l="0" r="0" t="0"/>
                  <wp:docPr descr="" title="" id="612" name="Picture"/>
                  <a:graphic>
                    <a:graphicData uri="http://schemas.openxmlformats.org/drawingml/2006/picture">
                      <pic:pic>
                        <pic:nvPicPr>
                          <pic:cNvPr descr="docs/capstone/screenshots/figures/fig-3.4b-vikram-feed.png" id="613" name="Picture"/>
                          <pic:cNvPicPr>
                            <a:picLocks noChangeArrowheads="1" noChangeAspect="1"/>
                          </pic:cNvPicPr>
                        </pic:nvPicPr>
                        <pic:blipFill>
                          <a:blip r:embed="rId611"/>
                          <a:stretch>
                            <a:fillRect/>
                          </a:stretch>
                        </pic:blipFill>
                        <pic:spPr bwMode="auto">
                          <a:xfrm>
                            <a:off x="0" y="0"/>
                            <a:ext cx="2194560" cy="4534244"/>
                          </a:xfrm>
                          <a:prstGeom prst="rect">
                            <a:avLst/>
                          </a:prstGeom>
                          <a:noFill/>
                          <a:ln w="9525">
                            <a:noFill/>
                            <a:headEnd/>
                            <a:tailEnd/>
                          </a:ln>
                        </pic:spPr>
                      </pic:pic>
                    </a:graphicData>
                  </a:graphic>
                </wp:inline>
              </w:drawing>
            </w:r>
          </w:p>
        </w:tc>
      </w:tr>
    </w:tbl>
    <w:p>
      <w:pPr>
        <w:pStyle w:val="BodyText"/>
      </w:pPr>
      <w:r>
        <w:rPr>
          <w:i/>
          <w:iCs/>
        </w:rPr>
        <w:t xml:space="preserve">Figure 3.4 — Privacy comparison: two parents, zero overlap.</w:t>
      </w:r>
    </w:p>
    <w:p>
      <w:pPr>
        <w:pStyle w:val="BodyText"/>
      </w:pPr>
      <w:r>
        <w:t xml:space="preserve">This is the requirement the product exists to satisfy, so it is measured rather than asserted. Two</w:t>
      </w:r>
      <w:r>
        <w:t xml:space="preserve"> </w:t>
      </w:r>
      <w:r>
        <w:rPr>
          <w:b/>
          <w:bCs/>
        </w:rPr>
        <w:t xml:space="preserve">parent</w:t>
      </w:r>
      <w:r>
        <w:t xml:space="preserve"> </w:t>
      </w:r>
      <w:r>
        <w:t xml:space="preserve">accounts were signed in against the same seeded dataset — Rajesh, who has two children at Bloom Preschool, and Vikram, who has two at Little Stars Academy — and each feed was counted. Neither is a teacher or an administrator; a parent is the only role whose visibility is restricted by the privacy model, which is why the test uses two of them at different schools.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w:t>
            </w:r>
            <w:r>
              <w:t xml:space="preserve"> </w:t>
            </w:r>
            <w:r>
              <w:rPr>
                <w:b/>
                <w:bCs/>
              </w:rPr>
              <w:t xml:space="preserve">a parent</w:t>
            </w:r>
            <w:r>
              <w:t xml:space="preserve"> </w:t>
            </w:r>
            <w:r>
              <w:t xml:space="preserve">at Bloom Preschool, two children enrolled — sees</w:t>
            </w:r>
          </w:p>
        </w:tc>
        <w:tc>
          <w:tcPr/>
          <w:p>
            <w:pPr>
              <w:pStyle w:val="Compact"/>
            </w:pPr>
            <w:r>
              <w:t xml:space="preserve">2</w:t>
            </w:r>
          </w:p>
        </w:tc>
      </w:tr>
      <w:tr>
        <w:tc>
          <w:tcPr/>
          <w:p>
            <w:pPr>
              <w:pStyle w:val="Compact"/>
            </w:pPr>
            <w:r>
              <w:t xml:space="preserve">Vikram —</w:t>
            </w:r>
            <w:r>
              <w:t xml:space="preserve"> </w:t>
            </w:r>
            <w:r>
              <w:rPr>
                <w:b/>
                <w:bCs/>
              </w:rPr>
              <w:t xml:space="preserve">a parent</w:t>
            </w:r>
            <w:r>
              <w:t xml:space="preserve"> </w:t>
            </w:r>
            <w:r>
              <w:t xml:space="preserve">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4"/>
    <w:bookmarkStart w:id="621" w:name="security-verification"/>
    <w:p>
      <w:pPr>
        <w:pStyle w:val="Heading3"/>
      </w:pPr>
      <w:r>
        <w:t xml:space="preserve">3.3.3 Security verification</w:t>
      </w:r>
    </w:p>
    <w:p>
      <w:pPr>
        <w:pStyle w:val="FirstParagraph"/>
      </w:pPr>
      <w:r>
        <w:drawing>
          <wp:inline>
            <wp:extent cx="5577840" cy="2449178"/>
            <wp:effectExtent b="0" l="0" r="0" t="0"/>
            <wp:docPr descr="Figure 3.5 — Signed URL 200 versus stripped-token 400" title="" id="616" name="Picture"/>
            <a:graphic>
              <a:graphicData uri="http://schemas.openxmlformats.org/drawingml/2006/picture">
                <pic:pic>
                  <pic:nvPicPr>
                    <pic:cNvPr descr="docs/capstone/screenshots/figures/fig-3.5-signed-url.png" id="617" name="Picture"/>
                    <pic:cNvPicPr>
                      <a:picLocks noChangeArrowheads="1" noChangeAspect="1"/>
                    </pic:cNvPicPr>
                  </pic:nvPicPr>
                  <pic:blipFill>
                    <a:blip r:embed="rId615"/>
                    <a:stretch>
                      <a:fillRect/>
                    </a:stretch>
                  </pic:blipFill>
                  <pic:spPr bwMode="auto">
                    <a:xfrm>
                      <a:off x="0" y="0"/>
                      <a:ext cx="5577840" cy="2449178"/>
                    </a:xfrm>
                    <a:prstGeom prst="rect">
                      <a:avLst/>
                    </a:prstGeom>
                    <a:noFill/>
                    <a:ln w="9525">
                      <a:noFill/>
                      <a:headEnd/>
                      <a:tailEnd/>
                    </a:ln>
                  </pic:spPr>
                </pic:pic>
              </a:graphicData>
            </a:graphic>
          </wp:inline>
        </w:drawing>
      </w:r>
      <w:r>
        <w:t xml:space="preserve"> </w:t>
      </w:r>
      <w:r>
        <w:drawing>
          <wp:inline>
            <wp:extent cx="5577840" cy="8001665"/>
            <wp:effectExtent b="0" l="0" r="0" t="0"/>
            <wp:docPr descr="Figure 3.2 — Security verification output — 29 passed, 0 failed, 1 skipped" title="" id="619" name="Picture"/>
            <a:graphic>
              <a:graphicData uri="http://schemas.openxmlformats.org/drawingml/2006/picture">
                <pic:pic>
                  <pic:nvPicPr>
                    <pic:cNvPr descr="docs/capstone/screenshots/figures/fig-3.2-verify-security.png" id="620" name="Picture"/>
                    <pic:cNvPicPr>
                      <a:picLocks noChangeArrowheads="1" noChangeAspect="1"/>
                    </pic:cNvPicPr>
                  </pic:nvPicPr>
                  <pic:blipFill>
                    <a:blip r:embed="rId618"/>
                    <a:stretch>
                      <a:fillRect/>
                    </a:stretch>
                  </pic:blipFill>
                  <pic:spPr bwMode="auto">
                    <a:xfrm>
                      <a:off x="0" y="0"/>
                      <a:ext cx="5577840" cy="8001665"/>
                    </a:xfrm>
                    <a:prstGeom prst="rect">
                      <a:avLst/>
                    </a:prstGeom>
                    <a:noFill/>
                    <a:ln w="9525">
                      <a:noFill/>
                      <a:headEnd/>
                      <a:tailEnd/>
                    </a:ln>
                  </pic:spPr>
                </pic:pic>
              </a:graphicData>
            </a:graphic>
          </wp:inline>
        </w:drawing>
      </w:r>
    </w:p>
    <w:p>
      <w:pPr>
        <w:pStyle w:val="BodyText"/>
      </w:pPr>
      <w:r>
        <w:rPr>
          <w:rStyle w:val="VerbatimChar"/>
        </w:rPr>
        <w:t xml:space="preserve">scripts/verify-security.sh    passed 26    failed 0    skipped 3</w:t>
      </w:r>
    </w:p>
    <w:p>
      <w:pPr>
        <w:pStyle w:val="BodyText"/>
      </w:pPr>
      <w:r>
        <w:t xml:space="preserve">Reproduced from cold on 2 August — stack stopped and restarted, database truncated, re-seeded, backend rebooted — with an identical result. It is a repeatable procedure, not a single favourable reading.</w:t>
      </w:r>
    </w:p>
    <w:p>
      <w:pPr>
        <w:pStyle w:val="TableCaption"/>
      </w:pPr>
      <w:r>
        <w:t xml:space="preserve">Table 3.4 — Security verification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(§3.3.4).</w:t>
      </w:r>
    </w:p>
    <w:bookmarkEnd w:id="621"/>
    <w:bookmarkStart w:id="625" w:name="the-sabotage-exercise"/>
    <w:p>
      <w:pPr>
        <w:pStyle w:val="Heading3"/>
      </w:pPr>
      <w:r>
        <w:t xml:space="preserve">3.3.4 The sabotage exercise</w:t>
      </w:r>
    </w:p>
    <w:p>
      <w:pPr>
        <w:pStyle w:val="CaptionedFigure"/>
      </w:pPr>
      <w:r>
        <w:drawing>
          <wp:inline>
            <wp:extent cx="5577840" cy="3199651"/>
            <wp:effectExtent b="0" l="0" r="0" t="0"/>
            <wp:docPr descr="Figure 3.3 — Sabotage exercise — targeted tests failing" title="" id="623" name="Picture"/>
            <a:graphic>
              <a:graphicData uri="http://schemas.openxmlformats.org/drawingml/2006/picture">
                <pic:pic>
                  <pic:nvPicPr>
                    <pic:cNvPr descr="docs/capstone/screenshots/figures/fig-3.3-sabotage.png" id="624" name="Picture"/>
                    <pic:cNvPicPr>
                      <a:picLocks noChangeArrowheads="1" noChangeAspect="1"/>
                    </pic:cNvPicPr>
                  </pic:nvPicPr>
                  <pic:blipFill>
                    <a:blip r:embed="rId622"/>
                    <a:stretch>
                      <a:fillRect/>
                    </a:stretch>
                  </pic:blipFill>
                  <pic:spPr bwMode="auto">
                    <a:xfrm>
                      <a:off x="0" y="0"/>
                      <a:ext cx="5577840" cy="3199651"/>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Result, when the exercise was first performed: exactly the three same-school ownership tests failed, as intended.</w:t>
      </w:r>
    </w:p>
    <w:p>
      <w:pPr>
        <w:pStyle w:val="BodyText"/>
      </w:pPr>
      <w:r>
        <w:t xml:space="preserve">Repeated on 16 August, it now fails five — the guard has gained coverage since. 218 tests | 5 failed | 213 passed: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rather than three in one. Every other test stayed green — the sabotage is precise, not merely destructive, which is the property that makes the exercise worth anything. The line was restored immediately afterwards and the working tree verified clean.</w:t>
      </w:r>
    </w:p>
    <w:p>
      <w:pPr>
        <w:pStyle w:val="BodyText"/>
      </w:pPr>
      <w:r>
        <w:t xml:space="preserve">And it exposed a genuine problem. A similarly-named test in photos.test.ts remained green — because both of its teachers belonged to</w:t>
      </w:r>
      <w:r>
        <w:t xml:space="preserve"> </w:t>
      </w:r>
      <w:r>
        <w:rPr>
          <w:i/>
          <w:iCs/>
        </w:rPr>
        <w:t xml:space="preserve">different</w:t>
      </w:r>
      <w:r>
        <w:t xml:space="preserve"> 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found a test that was not testing anything.</w:t>
      </w:r>
    </w:p>
    <w:p>
      <w:pPr>
        <w:pStyle w:val="TableCaption"/>
      </w:pPr>
      <w:r>
        <w:t xml:space="preserve">Table 3.6 — Properties not verified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w:t>
            </w:r>
            <w:r>
              <w:t xml:space="preserve"> </w:t>
            </w:r>
            <w:r>
              <w:t xml:space="preserve">“hive://feed”</w:t>
            </w:r>
            <w:r>
              <w:t xml:space="preserve">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 the earlier device runs used Expo Go, which serves under exp://, so the scheme had never been registered. After expo run:android (BUILD SUCCESSFUL, 12m 16s): the scheme resolves to com.hive.app.MainActivity; a cold start from am start -a android.intent.action.VIEW -d</w:t>
            </w:r>
            <w:r>
              <w:t xml:space="preserve"> </w:t>
            </w:r>
            <w:r>
              <w:t xml:space="preserve">“hive://feed”</w:t>
            </w:r>
            <w:r>
              <w:t xml:space="preserve"> launches the app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The diary on a device</w:t>
            </w:r>
          </w:p>
        </w:tc>
        <w:tc>
          <w:tcPr/>
          <w:p>
            <w:pPr>
              <w:pStyle w:val="Compact"/>
            </w:pPr>
            <w:r>
              <w:t xml:space="preserve">Added 20 August, after the 16 August device runs</w:t>
            </w:r>
          </w:p>
        </w:tc>
        <w:tc>
          <w:tcPr/>
          <w:p>
            <w:pPr>
              <w:pStyle w:val="Compact"/>
            </w:pPr>
            <w:r>
              <w:t xml:space="preserve">Its two endpoints and the calendar arithmetic carry 29 automated tests, but the screen itself has not been driven on hardware and no captured figure of it exists, so it contributes nothing to §4.3</w:t>
            </w:r>
          </w:p>
        </w:tc>
      </w:tr>
      <w:tr>
        <w:tc>
          <w:tcPr/>
          <w:p>
            <w:pPr>
              <w:pStyle w:val="Compact"/>
            </w:pPr>
            <w:r>
              <w:t xml:space="preserve">Server-side HEIC conversion</w:t>
            </w:r>
          </w:p>
        </w:tc>
        <w:tc>
          <w:tcPr/>
          <w:p>
            <w:pPr>
              <w:pStyle w:val="Compact"/>
            </w:pPr>
            <w:r>
              <w:t xml:space="preserve">sharp’s prebuilt libvips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(§6.3 item 4); the client is not</w:t>
            </w:r>
          </w:p>
        </w:tc>
      </w:tr>
    </w:tbl>
    <w:p>
      <w:pPr>
        <w:pStyle w:val="BodyText"/>
      </w:pPr>
      <w:r>
        <w:t xml:space="preserve">The application has been driven end to end in a desktop browser via Expo’s web target, so the screens are exercised rather than merely compiled. Web is a verification convenience; the product targets iOS and Android, and that is where it remains unproven.</w:t>
      </w:r>
    </w:p>
    <w:bookmarkEnd w:id="625"/>
    <w:bookmarkStart w:id="626" w:name="defects-identified-and-resolved"/>
    <w:p>
      <w:pPr>
        <w:pStyle w:val="Heading3"/>
      </w:pPr>
      <w:r>
        <w:t xml:space="preserve">3.3.5 Defects identified and resolved</w:t>
      </w:r>
    </w:p>
    <w:p>
      <w:pPr>
        <w:pStyle w:val="FirstParagraph"/>
      </w:pPr>
      <w:r>
        <w:t xml:space="preserve">An audit enumerated 46 defects. The most serious:</w:t>
      </w:r>
    </w:p>
    <w:p>
      <w:pPr>
        <w:pStyle w:val="TableCaption"/>
      </w:pPr>
      <w:r>
        <w:t xml:space="preserve">Table 3.5 — Defects identified and** **resolved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They are recorded because a report claiming twenty-five consecutive fixes with no regressions would not be credible.</w:t>
      </w:r>
    </w:p>
    <w:p>
      <w:pPr>
        <w:pStyle w:val="BodyText"/>
      </w:pPr>
      <w:r>
        <w:t xml:space="preserve">Three later defects are worth naming, because each was invisible to every static check. All were found by driving the running application, and all were fixed on 16 August.</w:t>
      </w:r>
    </w:p>
    <w:p>
      <w:pPr>
        <w:pStyle w:val="TableCaption"/>
      </w:pPr>
      <w:r>
        <w:t xml:space="preserve">Table 3.9 — Defects only a running application could show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w:t>
            </w:r>
            <w:r>
              <w:t xml:space="preserve"> </w:t>
            </w:r>
            <w:r>
              <w:t xml:space="preserve">“No file provided”</w:t>
            </w:r>
            <w:r>
              <w:t xml:space="preserve"> </w:t>
            </w:r>
            <w:r>
              <w:t xml:space="preserve">for every photograph</w:t>
            </w:r>
          </w:p>
        </w:tc>
        <w:tc>
          <w:tcPr/>
          <w:p>
            <w:pPr>
              <w:pStyle w:val="Compact"/>
            </w:pPr>
            <w:r>
              <w:t xml:space="preserve">The body used React Native’s FormData file convention, append(</w:t>
            </w:r>
            <w:r>
              <w:t xml:space="preserve">‘file’</w:t>
            </w:r>
            <w:r>
              <w:t xml:space="preserv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6"/>
    <w:bookmarkStart w:id="627"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Plan 03 generated thumbnails, thumbnail_s3_key was always null and the client fell back to full-resolution originals, so one page could exceed 100 MB. That is a four-order-of-magnitude reduction, and it is the single clearest quantitative justification for the storage work.</w:t>
      </w:r>
    </w:p>
    <w:p>
      <w:pPr>
        <w:pStyle w:val="BodyText"/>
      </w:pPr>
      <w:r>
        <w:t xml:space="preserve">The load profile (50 VU, 5 min) crossed its thresholds, and the reason is instructive rather than damning. It recorded 69.38% http_req_failed over 4,727 requests. The failures decompose exactly: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 per-identity rate limiting and cross-school authorization — hold under concurrent load. It does not establish a capacity ceiling: at 50 virtual users the binding constraint was the project’s own rate limiter, by design, so no unconstrained throughput or latency figure exists. Obtaining one requires per-virtual-user identities or a raised ceiling, and a deployed target to make the number mean anything. No figure has been extrapolated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7"/>
    <w:bookmarkStart w:id="628"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performance characteristic has been measured. Neither is an oversight discovered late; each follows from one absent step — deployment. The error-reporting pipeline, previously listed here, has since carried a real event; §6.3 item 4 records it. Observation on the shipping platform, previously listed here, is now largely closed: the application has been driven end to end on a physical Android device, and on a physical iPhone on 16 August.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test project exhaust the shared authentication provider’s sign-in quota: each run creates roughly forty users, and beyond the quota sign-ins stall rather than fail. Three runs within half an hour produced timeouts on 9 August. Every failure observed was a timeout, never a failed assertion, and the same files passed in isolation immediately afterwards. Moving local runs onto a local Supabase stack removes that constraint for developers — the suite was run twice in succession on 20 August with no timeout and no variance worth reporting — but it does not remove it from CI, which still signs in against hive-test. A red CI run is still worth re-reading before it is believed.</w:t>
      </w:r>
    </w:p>
    <w:bookmarkEnd w:id="628"/>
    <w:bookmarkStart w:id="629"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§4.3 is a capture from that device rather than a browser.</w:t>
      </w:r>
    </w:p>
    <w:p>
      <w:pPr>
        <w:pStyle w:val="TableCaption"/>
      </w:pPr>
      <w:r>
        <w:t xml:space="preserve">Table 3.7 — Behaviour verified on the device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button that gave no reason.</w:t>
      </w:r>
    </w:p>
    <w:p>
      <w:pPr>
        <w:pStyle w:val="BodyText"/>
      </w:pPr>
      <w:r>
        <w:t xml:space="preserve">The most significant is worth stating in full,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component instance whose useRef bootstrap guard is reset. The bootstrap therefore ran again, set the loading flag again, and rendered null again. The loop ran 145 times in one session, measured,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subsequently run on a physical iPhone, through Expo Go on Expo SDK 54, against the same backend over the local network — EXPO_PUBLIC_API_URL repointed from localhost to the development machine’s LAN address, with /health answering</w:t>
      </w:r>
      <w:r>
        <w:t xml:space="preserve"> </w:t>
      </w:r>
      <w:r>
        <w:t xml:space="preserve">“database”</w:t>
      </w:r>
      <w:r>
        <w:t xml:space="preserve">:</w:t>
      </w:r>
      <w:r>
        <w:t xml:space="preserve">“ok”</w:t>
      </w:r>
      <w:r>
        <w:t xml:space="preserve"> </w:t>
      </w:r>
      <w:r>
        <w:t xml:space="preserve">and</w:t>
      </w:r>
      <w:r>
        <w:t xml:space="preserve"> </w:t>
      </w:r>
      <w:r>
        <w:t xml:space="preserve">“cache”</w:t>
      </w:r>
      <w:r>
        <w:t xml:space="preserve">:</w:t>
      </w:r>
      <w:r>
        <w:t xml:space="preserve">“ok”</w:t>
      </w:r>
      <w:r>
        <w:t xml:space="preserve"> </w:t>
      </w:r>
      <w:r>
        <w:t xml:space="preserve">from that address. All three roles were signed in — admin, teacher and parent, across both seeded schools — and the corresponding functionality was driven through each. No defect was observed.</w:t>
      </w:r>
    </w:p>
    <w:p>
      <w:pPr>
        <w:pStyle w:val="BodyText"/>
      </w:pPr>
      <w:r>
        <w:t xml:space="preserve">Two qualifications are stated deliberately, because both bear on how much the run proves. Nothing was captured: there is no recording, screenshot set or retained log, so this is an observed pass rather than an artefact, and unlike the Android run it contributes no figure to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 a fact confirmed rather than assumed: with only Expo Go installed, cmd package resolve-activity -a android.intent.action.VIEW -d</w:t>
      </w:r>
      <w:r>
        <w:t xml:space="preserve"> </w:t>
      </w:r>
      <w:r>
        <w:t xml:space="preserve">“hive://feed”</w:t>
      </w:r>
      <w:r>
        <w:t xml:space="preserve"> </w:t>
      </w:r>
      <w:r>
        <w:t xml:space="preserve">answered</w:t>
      </w:r>
      <w:r>
        <w:t xml:space="preserve"> </w:t>
      </w:r>
      <w:r>
        <w:rPr>
          <w:i/>
          <w:iCs/>
        </w:rPr>
        <w:t xml:space="preserve">No activity found</w:t>
      </w:r>
      <w:r>
        <w:t xml:space="preserve"> 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29"/>
    <w:bookmarkEnd w:id="630"/>
    <w:bookmarkEnd w:id="631"/>
    <w:bookmarkStart w:id="641" w:name="chapter-4-execution-deployment-details"/>
    <w:p>
      <w:pPr>
        <w:pStyle w:val="Heading1"/>
      </w:pPr>
      <w:r>
        <w:t xml:space="preserve">CHAPTER 4: EXECUTION / DEPLOYMENT DETAILS</w:t>
      </w:r>
    </w:p>
    <w:bookmarkStart w:id="635" w:name="execution-environment"/>
    <w:p>
      <w:pPr>
        <w:pStyle w:val="Heading2"/>
      </w:pPr>
      <w:r>
        <w:t xml:space="preserve">4.1 Execution environment</w:t>
      </w:r>
    </w:p>
    <w:p>
      <w:pPr>
        <w:pStyle w:val="FirstParagraph"/>
      </w:pPr>
      <w:r>
        <w:drawing>
          <wp:inline>
            <wp:extent cx="5577840" cy="2236206"/>
            <wp:effectExtent b="0" l="0" r="0" t="0"/>
            <wp:docPr descr="Figure 4.1 — Health endpoint, healthy and degraded" title="" id="633" name="Picture"/>
            <a:graphic>
              <a:graphicData uri="http://schemas.openxmlformats.org/drawingml/2006/picture">
                <pic:pic>
                  <pic:nvPicPr>
                    <pic:cNvPr descr="docs/capstone/screenshots/figures/fig-4.1-health.png" id="634" name="Picture"/>
                    <pic:cNvPicPr>
                      <a:picLocks noChangeArrowheads="1" noChangeAspect="1"/>
                    </pic:cNvPicPr>
                  </pic:nvPicPr>
                  <pic:blipFill>
                    <a:blip r:embed="rId632"/>
                    <a:stretch>
                      <a:fillRect/>
                    </a:stretch>
                  </pic:blipFill>
                  <pic:spPr bwMode="auto">
                    <a:xfrm>
                      <a:off x="0" y="0"/>
                      <a:ext cx="5577840" cy="2236206"/>
                    </a:xfrm>
                    <a:prstGeom prst="rect">
                      <a:avLst/>
                    </a:prstGeom>
                    <a:noFill/>
                    <a:ln w="9525">
                      <a:noFill/>
                      <a:headEnd/>
                      <a:tailEnd/>
                    </a:ln>
                  </pic:spPr>
                </pic:pic>
              </a:graphicData>
            </a:graphic>
          </wp:inline>
        </w:drawing>
      </w:r>
      <w:r>
        <w:t xml:space="preserve"> </w:t>
      </w:r>
      <w:r>
        <w:t xml:space="preserve">|</w:t>
      </w:r>
      <w:r>
        <w:t xml:space="preserve"> </w:t>
      </w:r>
      <w:r>
        <w:rPr>
          <w:b/>
          <w:bCs/>
        </w:rPr>
        <w:t xml:space="preserve">Component</w:t>
      </w:r>
      <w:r>
        <w:t xml:space="preserve"> </w:t>
      </w:r>
      <w:r>
        <w:t xml:space="preserve">|</w:t>
      </w:r>
      <w:r>
        <w:t xml:space="preserve"> </w:t>
      </w:r>
      <w:r>
        <w:rPr>
          <w:b/>
          <w:bCs/>
        </w:rPr>
        <w:t xml:space="preserve">Configuration</w:t>
      </w:r>
      <w:r>
        <w:t xml:space="preserve"> </w:t>
      </w:r>
      <w:r>
        <w:t xml:space="preserve">|</w:t>
      </w:r>
      <w:r>
        <w:t xml:space="preserve"> </w:t>
      </w:r>
      <w:r>
        <w:t xml:space="preserve">|—-|—-|</w:t>
      </w:r>
      <w:r>
        <w:t xml:space="preserve"> </w:t>
      </w:r>
      <w:r>
        <w:t xml:space="preserve">| Runtime | Node.js 20+ (verified on 22.21.1 and 26.4.0) |</w:t>
      </w:r>
      <w:r>
        <w:t xml:space="preserve"> </w:t>
      </w:r>
      <w:r>
        <w:t xml:space="preserve">| Package manager | pnpm 9.1.0 (workspaces + Turborepo) |</w:t>
      </w:r>
      <w:r>
        <w:t xml:space="preserve"> </w:t>
      </w:r>
      <w:r>
        <w:t xml:space="preserve">| API | Express on port 4000 |</w:t>
      </w:r>
      <w:r>
        <w:t xml:space="preserve"> </w:t>
      </w:r>
      <w:r>
        <w:t xml:space="preserve">| Mobile | Expo development server on port 8081 |</w:t>
      </w:r>
      <w:r>
        <w:t xml:space="preserve"> </w:t>
      </w:r>
      <w:r>
        <w:t xml:space="preserve">| Database | Supabase PostgreSQL 15 — hive-dev (development); tests run against a local Supabase stack on 127.0.0.1:54321 locally and against hive-test in CI |</w:t>
      </w:r>
      <w:r>
        <w:t xml:space="preserve"> </w:t>
      </w:r>
      <w:r>
        <w:t xml:space="preserve">| Cache | Redis 7 in Docker, port 6379 |</w:t>
      </w:r>
      <w:r>
        <w:t xml:space="preserve"> </w:t>
      </w:r>
      <w:r>
        <w:t xml:space="preserve">| Migrations | 20, applied via supabase db push –include-all |</w:t>
      </w:r>
      <w:r>
        <w:t xml:space="preserve"> </w:t>
      </w:r>
      <w:r>
        <w:t xml:space="preserve">| Container | Multi-stage Dockerfile for the API |</w:t>
      </w:r>
    </w:p>
    <w:bookmarkEnd w:id="635"/>
    <w:bookmarkStart w:id="638" w:name="deployment-steps"/>
    <w:p>
      <w:pPr>
        <w:pStyle w:val="Heading2"/>
      </w:pPr>
      <w:r>
        <w:t xml:space="preserve">4.2 Deployment steps</w:t>
      </w:r>
    </w:p>
    <w:bookmarkStart w:id="636"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w:t>
      </w:r>
      <w:r>
        <w:t xml:space="preserve">:</w:t>
      </w:r>
      <w:r>
        <w:t xml:space="preserve">“ok”</w:t>
      </w:r>
      <w:r>
        <w:t xml:space="preserve"> </w:t>
      </w:r>
      <w:r>
        <w:t xml:space="preserve">is the meaningful signal — /health round-trips to PostgreSQL, so 503 indicates bad credentials rather than a stopped process.</w:t>
      </w:r>
      <w:r>
        <w:t xml:space="preserve"> </w:t>
      </w:r>
      <w:r>
        <w:rPr>
          <w:i/>
          <w:iCs/>
        </w:rPr>
        <w:t xml:space="preserve">(Figure 4.1)</w:t>
      </w:r>
    </w:p>
    <w:p>
      <w:pPr>
        <w:pStyle w:val="BodyText"/>
      </w:pPr>
      <w:r>
        <w:t xml:space="preserve">Full instructions, including the anon versus service-role key distinction and the common failure modes, are in docs/environment-setup.md.</w:t>
      </w:r>
    </w:p>
    <w:bookmarkEnd w:id="636"/>
    <w:bookmarkStart w:id="637"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be deployed is produced and verified — what was not done is provisioning a hosting target.</w:t>
      </w:r>
    </w:p>
    <w:p>
      <w:pPr>
        <w:pStyle w:val="BodyText"/>
      </w:pPr>
      <w:r>
        <w:t xml:space="preserve">This is a scoping decision rather than an unfinished task, and it is recorded as one. The objectives in §1.3 are about a demonstrable privacy boundary and a correct ordering path; neither requires a public origin, and the system is exercised locally and on physical hardware over the local network instead (§3.3.8).</w:t>
      </w:r>
    </w:p>
    <w:p>
      <w:pPr>
        <w:pStyle w:val="BodyText"/>
      </w:pPr>
      <w:r>
        <w:t xml:space="preserve">Three consequences follow, and are stated rather than quietly dropped:</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§6.4 as future work.</w:t>
      </w:r>
    </w:p>
    <w:bookmarkEnd w:id="637"/>
    <w:bookmarkEnd w:id="638"/>
    <w:bookmarkStart w:id="639" w:name="demonstration-screenshots"/>
    <w:p>
      <w:pPr>
        <w:pStyle w:val="Heading2"/>
      </w:pPr>
      <w:r>
        <w:t xml:space="preserve">4.3 Demonstration screenshots</w:t>
      </w:r>
    </w:p>
    <w:p>
      <w:pPr>
        <w:pStyle w:val="FirstParagraph"/>
      </w:pPr>
      <w:r>
        <w:t xml:space="preserve">Capture conditions. Every application figure below was taken on a physical Android device (OnePlus CPH2487)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They are dated, and the interface has moved since. Every figure below was captured on the afternoon of 16 August. The brand and play layer described in §2.3.8 landed the same evening, and the diary on 20 August. The figures are therefore an accurate record of the application as it stood when they were taken and not of the current build: the login screen, the onboarding carousel, the tab bar, the empty states and the feed’s layout all changed afterwards, and the diary has no figure at all. Re-capturing them is the outstanding piece of evidence work, and it is listed as such in §6.3 rather than glossed here.</w:t>
      </w:r>
    </w:p>
    <w:p>
      <w:pPr>
        <w:pStyle w:val="TableCaption"/>
      </w:pPr>
      <w:r>
        <w:t xml:space="preserve">Table 4.2 — Application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 two most important figures in the submission, and they are only meaningful as a pair. Both were captured on the same device at the same resolution with the same crop, so the comparison is between the application’s behaviour and nothing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demonstrated as an observable property rather than asserted as a feature — §3.3.2 gives the same result measured at the API.</w:t>
      </w:r>
    </w:p>
    <w:p>
      <w:pPr>
        <w:pStyle w:val="BodyText"/>
      </w:pPr>
      <w:r>
        <w:rPr>
          <w:i/>
          <w:iCs/>
        </w:rPr>
        <w:t xml:space="preserve">Evidence figures 3.1, 3.2, 3.3, 3.5, 4.1, 5.1 and 5.2 are terminal and repository captures rather than application screenshots; §3.3 and Chapter 5 carry their results in full. Figures 2.1 and 2.3 are the architecture and entity-relationship diagrams in Chapter 2.</w:t>
      </w:r>
    </w:p>
    <w:bookmarkEnd w:id="639"/>
    <w:bookmarkStart w:id="640" w:name="demonstration-video"/>
    <w:p>
      <w:pPr>
        <w:pStyle w:val="Heading2"/>
      </w:pPr>
      <w:r>
        <w:t xml:space="preserve">4.4 Demonstration video</w:t>
      </w:r>
    </w:p>
    <w:p>
      <w:pPr>
        <w:pStyle w:val="FirstParagraph"/>
      </w:pPr>
      <w:r>
        <w:t xml:space="preserve">https://youtu.be/_kvid-1KXxA</w:t>
      </w:r>
    </w:p>
    <w:p>
      <w:pPr>
        <w:pStyle w:val="BodyText"/>
      </w:pPr>
      <w:r>
        <w:t xml:space="preserve">The recording follows docs/demo-script.md: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0"/>
    <w:bookmarkEnd w:id="641"/>
    <w:bookmarkStart w:id="651" w:name="chapter-5-project-execution-evidence"/>
    <w:p>
      <w:pPr>
        <w:pStyle w:val="Heading1"/>
      </w:pPr>
      <w:r>
        <w:t xml:space="preserve">CHAPTER 5: PROJECT EXECUTION EVIDENCE</w:t>
      </w:r>
    </w:p>
    <w:bookmarkStart w:id="648" w:name="version-control-evidence"/>
    <w:p>
      <w:pPr>
        <w:pStyle w:val="Heading2"/>
      </w:pPr>
      <w:r>
        <w:t xml:space="preserve">5.1 Version control evidence</w:t>
      </w:r>
    </w:p>
    <w:p>
      <w:pPr>
        <w:pStyle w:val="FirstParagraph"/>
      </w:pPr>
      <w:r>
        <w:t xml:space="preserve">Repository:</w:t>
      </w:r>
      <w:r>
        <w:t xml:space="preserve"> </w:t>
      </w:r>
      <w:r>
        <w:t xml:space="preserve">https://github.com/vexora-0/hive</w:t>
      </w:r>
    </w:p>
    <w:p>
      <w:pPr>
        <w:pStyle w:val="BodyText"/>
      </w:pPr>
      <w:r>
        <w:rPr>
          <w:i/>
          <w:iCs/>
        </w:rPr>
        <w:t xml:space="preserve">Counted at commit</w:t>
      </w:r>
      <w:r>
        <w:rPr>
          <w:i/>
          <w:iCs/>
        </w:rPr>
        <w:t xml:space="preserve"> </w:t>
      </w:r>
      <w:r>
        <w:rPr>
          <w:rStyle w:val="VerbatimChar"/>
          <w:i/>
          <w:iCs/>
        </w:rPr>
        <w:t xml:space="preserve">3b4145e</w:t>
      </w:r>
      <w:r>
        <w:rPr>
          <w:i/>
          <w:iCs/>
        </w:rPr>
        <w:t xml:space="preserve">, 20 August 2026. Figure 5.1 is a capture of an earlier head and shows the corresponding earlier totals; the figures below are a dated snapshot re-counted on 20 August, not a live count, and any commit made after that point moves them.</w:t>
      </w:r>
    </w:p>
    <w:tbl>
      <w:tblPr>
        <w:tblStyle w:val="Table"/>
        <w:tblW w:type="pct" w:w="5000"/>
        <w:tblLayout w:type="fixed"/>
        <w:tblLook w:firstRow="1" w:lastRow="0" w:firstColumn="0" w:lastColumn="0" w:noHBand="0" w:noVBand="0" w:val="0020"/>
      </w:tblPr>
      <w:tblGrid>
        <w:gridCol w:w="2712"/>
        <w:gridCol w:w="520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455</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152</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155</w:t>
            </w:r>
          </w:p>
        </w:tc>
      </w:tr>
      <w:tr>
        <w:tc>
          <w:tcPr/>
          <w:p>
            <w:pPr>
              <w:pStyle w:val="Compact"/>
            </w:pPr>
            <w:r>
              <w:t xml:space="preserve">Ruthwik</w:t>
            </w:r>
          </w:p>
        </w:tc>
        <w:tc>
          <w:tcPr/>
          <w:p>
            <w:pPr>
              <w:pStyle w:val="Compact"/>
            </w:pPr>
            <w:r>
              <w:t xml:space="preserve">110</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447, with a further 8 merge commits making 455.</w:t>
      </w:r>
    </w:p>
    <w:p>
      <w:pPr>
        <w:pStyle w:val="CaptionedFigure"/>
      </w:pPr>
      <w:r>
        <w:drawing>
          <wp:inline>
            <wp:extent cx="5577840" cy="2875122"/>
            <wp:effectExtent b="0" l="0" r="0" t="0"/>
            <wp:docPr descr="Figure 5.1 — Commit history" title="" id="643" name="Picture"/>
            <a:graphic>
              <a:graphicData uri="http://schemas.openxmlformats.org/drawingml/2006/picture">
                <pic:pic>
                  <pic:nvPicPr>
                    <pic:cNvPr descr="docs/capstone/screenshots/figures/fig-5.1-commit-history.png" id="644" name="Picture"/>
                    <pic:cNvPicPr>
                      <a:picLocks noChangeArrowheads="1" noChangeAspect="1"/>
                    </pic:cNvPicPr>
                  </pic:nvPicPr>
                  <pic:blipFill>
                    <a:blip r:embed="rId642"/>
                    <a:stretch>
                      <a:fillRect/>
                    </a:stretch>
                  </pic:blipFill>
                  <pic:spPr bwMode="auto">
                    <a:xfrm>
                      <a:off x="0" y="0"/>
                      <a:ext cx="5577840" cy="2875122"/>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158026"/>
            <wp:effectExtent b="0" l="0" r="0" t="0"/>
            <wp:docPr descr="Figure 5.2 — Continuous integration run — lint, typecheck, build and 218 tests, all blocking" title="" id="646" name="Picture"/>
            <a:graphic>
              <a:graphicData uri="http://schemas.openxmlformats.org/drawingml/2006/picture">
                <pic:pic>
                  <pic:nvPicPr>
                    <pic:cNvPr descr="docs/capstone/screenshots/figures/fig-5.2-ci-run.png" id="647" name="Picture"/>
                    <pic:cNvPicPr>
                      <a:picLocks noChangeArrowheads="1" noChangeAspect="1"/>
                    </pic:cNvPicPr>
                  </pic:nvPicPr>
                  <pic:blipFill>
                    <a:blip r:embed="rId645"/>
                    <a:stretch>
                      <a:fillRect/>
                    </a:stretch>
                  </pic:blipFill>
                  <pic:spPr bwMode="auto">
                    <a:xfrm>
                      <a:off x="0" y="0"/>
                      <a:ext cx="5577840" cy="4158026"/>
                    </a:xfrm>
                    <a:prstGeom prst="rect">
                      <a:avLst/>
                    </a:prstGeom>
                    <a:noFill/>
                    <a:ln w="9525">
                      <a:noFill/>
                      <a:headEnd/>
                      <a:tailEnd/>
                    </a:ln>
                  </pic:spPr>
                </pic:pic>
              </a:graphicData>
            </a:graphic>
          </wp:inline>
        </w:drawing>
      </w:r>
    </w:p>
    <w:p>
      <w:pPr>
        <w:pStyle w:val="ImageCaption"/>
      </w:pPr>
      <w:r>
        <w:t xml:space="preserve">Figure 5.2 — Continuous integration run — lint, typecheck, build and 218 tests, all blocking</w:t>
      </w:r>
    </w:p>
    <w:p>
      <w:pPr>
        <w:pStyle w:val="BodyText"/>
      </w:pPr>
      <w:r>
        <w:t xml:space="preserve">Conventional commit messages are used throughout, with security: reserved for remediation so the audit trail is visible in the log.</w:t>
      </w:r>
    </w:p>
    <w:bookmarkEnd w:id="648"/>
    <w:bookmarkStart w:id="649" w:name="weekly-progress-summary"/>
    <w:p>
      <w:pPr>
        <w:pStyle w:val="Heading2"/>
      </w:pPr>
      <w:r>
        <w:t xml:space="preserve">5.2 Weekly progress summary</w:t>
      </w:r>
    </w:p>
    <w:p>
      <w:pPr>
        <w:pStyle w:val="TableCaption"/>
      </w:pPr>
      <w:r>
        <w:t xml:space="preserve">Table 5.1 — Weekly progress</w:t>
      </w:r>
    </w:p>
    <w:p>
      <w:pPr>
        <w:pStyle w:val="BodyText"/>
      </w:pPr>
      <w:r>
        <w:rPr>
          <w:i/>
          <w:iCs/>
        </w:rPr>
        <w:t xml:space="preserve">Condensed from</w:t>
      </w:r>
      <w:r>
        <w:rPr>
          <w:i/>
          <w:iCs/>
        </w:rPr>
        <w:t xml:space="preserve"> </w:t>
      </w:r>
      <w:r>
        <w:rPr>
          <w:rStyle w:val="VerbatimChar"/>
          <w:i/>
          <w:iCs/>
        </w:rPr>
        <w:t xml:space="preserve">docs/PROGRESS-REPORT.md</w:t>
      </w:r>
      <w:r>
        <w:rPr>
          <w:i/>
          <w:iCs/>
        </w:rPr>
        <w:t xml:space="preserve">, which holds the full record.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p>
        </w:tc>
      </w:tr>
    </w:tbl>
    <w:bookmarkEnd w:id="649"/>
    <w:bookmarkStart w:id="650" w:name="supervisor-interaction-summary"/>
    <w:p>
      <w:pPr>
        <w:pStyle w:val="Heading2"/>
      </w:pPr>
      <w:r>
        <w:t xml:space="preserve">5.3 Supervisor interaction summary</w:t>
      </w:r>
    </w:p>
    <w:p>
      <w:pPr>
        <w:pStyle w:val="FirstParagraph"/>
      </w:pPr>
      <w:r>
        <w:t xml:space="preserve">Reviews were held through the project period from February to August 2026. One</w:t>
      </w:r>
      <w:r>
        <w:t xml:space="preserve"> </w:t>
      </w:r>
      <w:r>
        <w:t xml:space="preserve">row per review below; the schedule is laid out by month so the cadence across</w:t>
      </w:r>
      <w:r>
        <w:t xml:space="preserve"> </w:t>
      </w:r>
      <w:r>
        <w:t xml:space="preserve">the semester is visible.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p>
        </w:tc>
        <w:tc>
          <w:tcPr/>
          <w:p>
            <w:pPr>
              <w:pStyle w:val="Compact"/>
            </w:pPr>
          </w:p>
        </w:tc>
      </w:tr>
      <w:tr>
        <w:tc>
          <w:tcPr/>
          <w:p>
            <w:pPr>
              <w:pStyle w:val="Compact"/>
            </w:pPr>
            <w:r>
              <w:t xml:space="preserve">March 2026</w:t>
            </w:r>
          </w:p>
        </w:tc>
        <w:tc>
          <w:tcPr/>
          <w:p>
            <w:pPr>
              <w:pStyle w:val="Compact"/>
            </w:pPr>
          </w:p>
        </w:tc>
        <w:tc>
          <w:tcPr/>
          <w:p>
            <w:pPr>
              <w:pStyle w:val="Compact"/>
            </w:pPr>
          </w:p>
        </w:tc>
      </w:tr>
      <w:tr>
        <w:tc>
          <w:tcPr/>
          <w:p>
            <w:pPr>
              <w:pStyle w:val="Compact"/>
            </w:pPr>
            <w:r>
              <w:t xml:space="preserve">April 2026</w:t>
            </w:r>
          </w:p>
        </w:tc>
        <w:tc>
          <w:tcPr/>
          <w:p>
            <w:pPr>
              <w:pStyle w:val="Compact"/>
            </w:pPr>
          </w:p>
        </w:tc>
        <w:tc>
          <w:tcPr/>
          <w:p>
            <w:pPr>
              <w:pStyle w:val="Compact"/>
            </w:pPr>
          </w:p>
        </w:tc>
      </w:tr>
      <w:tr>
        <w:tc>
          <w:tcPr/>
          <w:p>
            <w:pPr>
              <w:pStyle w:val="Compact"/>
            </w:pPr>
            <w:r>
              <w:t xml:space="preserve">May 2026</w:t>
            </w:r>
          </w:p>
        </w:tc>
        <w:tc>
          <w:tcPr/>
          <w:p>
            <w:pPr>
              <w:pStyle w:val="Compact"/>
            </w:pPr>
          </w:p>
        </w:tc>
        <w:tc>
          <w:tcPr/>
          <w:p>
            <w:pPr>
              <w:pStyle w:val="Compact"/>
            </w:pPr>
          </w:p>
        </w:tc>
      </w:tr>
      <w:tr>
        <w:tc>
          <w:tcPr/>
          <w:p>
            <w:pPr>
              <w:pStyle w:val="Compact"/>
            </w:pPr>
            <w:r>
              <w:t xml:space="preserve">June 2026</w:t>
            </w:r>
          </w:p>
        </w:tc>
        <w:tc>
          <w:tcPr/>
          <w:p>
            <w:pPr>
              <w:pStyle w:val="Compact"/>
            </w:pPr>
          </w:p>
        </w:tc>
        <w:tc>
          <w:tcPr/>
          <w:p>
            <w:pPr>
              <w:pStyle w:val="Compact"/>
            </w:pPr>
          </w:p>
        </w:tc>
      </w:tr>
      <w:tr>
        <w:tc>
          <w:tcPr/>
          <w:p>
            <w:pPr>
              <w:pStyle w:val="Compact"/>
            </w:pPr>
            <w:r>
              <w:t xml:space="preserve">July 2026</w:t>
            </w:r>
          </w:p>
        </w:tc>
        <w:tc>
          <w:tcPr/>
          <w:p>
            <w:pPr>
              <w:pStyle w:val="Compact"/>
            </w:pPr>
          </w:p>
        </w:tc>
        <w:tc>
          <w:tcPr/>
          <w:p>
            <w:pPr>
              <w:pStyle w:val="Compact"/>
            </w:pPr>
          </w:p>
        </w:tc>
      </w:tr>
      <w:tr>
        <w:tc>
          <w:tcPr/>
          <w:p>
            <w:pPr>
              <w:pStyle w:val="Compact"/>
            </w:pPr>
            <w:r>
              <w:t xml:space="preserve">August 2026</w:t>
            </w:r>
          </w:p>
        </w:tc>
        <w:tc>
          <w:tcPr/>
          <w:p>
            <w:pPr>
              <w:pStyle w:val="Compact"/>
            </w:pPr>
          </w:p>
        </w:tc>
        <w:tc>
          <w:tcPr/>
          <w:p>
            <w:pPr>
              <w:pStyle w:val="Compact"/>
            </w:pPr>
          </w:p>
        </w:tc>
      </w:tr>
    </w:tbl>
    <w:p>
      <w:r>
        <w:pict>
          <v:rect style="width:0;height:1.5pt" o:hralign="center" o:hrstd="t" o:hr="t"/>
        </w:pict>
      </w:r>
    </w:p>
    <w:bookmarkEnd w:id="650"/>
    <w:bookmarkEnd w:id="651"/>
    <w:bookmarkStart w:id="656" w:name="chapter-6-conclusion-future-work"/>
    <w:p>
      <w:pPr>
        <w:pStyle w:val="Heading1"/>
      </w:pPr>
      <w:r>
        <w:t xml:space="preserve">CHAPTER 6: CONCLUSION &amp; FUTURE WORK</w:t>
      </w:r>
    </w:p>
    <w:bookmarkStart w:id="652"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The defining constraint — that the API bypasses row-level security by design — was addressed by enforcing authorization explicitly in the service layer, with every resource accessed by identifier checked against the caller.</w:t>
      </w:r>
    </w:p>
    <w:bookmarkEnd w:id="652"/>
    <w:bookmarkStart w:id="653"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 reproduced cold. One skip needs a deployment (HTTPS); the other needs FORCE_500_PATH set alongside NODE_ENV=production.</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never-executed infrastructure removed — the asynchronous queue and object-store client neither of which had ever run.</w:t>
      </w:r>
    </w:p>
    <w:p>
      <w:pPr>
        <w:pStyle w:val="Compact"/>
        <w:numPr>
          <w:ilvl w:val="0"/>
          <w:numId w:val="1007"/>
        </w:numPr>
      </w:pPr>
      <w:r>
        <w:t xml:space="preserve">A second parent surface that a feed cannot be. The diary renders one child’s whole time at the school, read forwards, bucketed in the</w:t>
      </w:r>
      <w:r>
        <w:t xml:space="preserve"> </w:t>
      </w:r>
      <w:r>
        <w:rPr>
          <w:i/>
          <w:iCs/>
        </w:rPr>
        <w:t xml:space="preserve">viewer’s</w:t>
      </w:r>
      <w:r>
        <w:t xml:space="preserve"> calendar rather than the server’s, signing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stopped being able to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order submission answered in 485 ms with Redis stopped.</w:t>
      </w:r>
    </w:p>
    <w:bookmarkEnd w:id="653"/>
    <w:bookmarkStart w:id="654" w:name="limitations"/>
    <w:p>
      <w:pPr>
        <w:pStyle w:val="Heading2"/>
      </w:pPr>
      <w:r>
        <w:t xml:space="preserve">6.3 Limitations</w:t>
      </w:r>
    </w:p>
    <w:p>
      <w:pPr>
        <w:pStyle w:val="FirstParagraph"/>
      </w:pPr>
      <w:r>
        <w:t xml:space="preserve">Stated explicitly; each is evidenced in Table 3.6.</w:t>
      </w:r>
    </w:p>
    <w:p>
      <w:pPr>
        <w:pStyle w:val="Compact"/>
        <w:numPr>
          <w:ilvl w:val="0"/>
          <w:numId w:val="1008"/>
        </w:numPr>
      </w:pPr>
      <w:r>
        <w:t xml:space="preserve">The system is not deployed, by decision rather than by omission. No hosted URL and no application binary, and none planned — see §4.2.2, which states the three consequences that follow rather than leaving them implied. The container image builds and is tested on every push; only the hosting target is absent.</w:t>
      </w:r>
    </w:p>
    <w:p>
      <w:pPr>
        <w:pStyle w:val="Compact"/>
        <w:numPr>
          <w:ilvl w:val="0"/>
          <w:numId w:val="1008"/>
        </w:numPr>
      </w:pPr>
      <w:r>
        <w:t xml:space="preserve">No performance measurement against a deployment exists. The k6 suite has now run — locally, on 16 August — and the smoke profile passes every threshold with a 3,908-byte feed page (§3.3.6). What is missing is a</w:t>
      </w:r>
      <w:r>
        <w:t xml:space="preserve"> </w:t>
      </w:r>
      <w:r>
        <w:rPr>
          <w:i/>
          <w:iCs/>
        </w:rPr>
        <w:t xml:space="preserve">capacity</w:t>
      </w:r>
      <w:r>
        <w:t xml:space="preserve"> figure: at 50 virtual users the binding constraint was the project’s own per-identity rate limiter rather than the application, so no unconstrained throughput or latency number has been obtained, and none has been estimated.</w:t>
      </w:r>
    </w:p>
    <w:p>
      <w:pPr>
        <w:pStyle w:val="Compact"/>
        <w:numPr>
          <w:ilvl w:val="0"/>
          <w:numId w:val="1008"/>
        </w:numPr>
      </w:pPr>
      <w:r>
        <w:t xml:space="preserve">Native deep links are unverified, and the iOS evidence is weaker than the Android evidence. This limitation formerly read</w:t>
      </w:r>
      <w:r>
        <w:t xml:space="preserve"> </w:t>
      </w:r>
      <w:r>
        <w:t xml:space="preserve">“iOS is unverified”</w:t>
      </w:r>
      <w:r>
        <w:t xml:space="preserve">; both platforms have now run on hardware. The Android run was the substantial one — the keychain-backed session, the image picker, upload progress, role routing and privacy scoping are all proven there, seven defects were found that no other method surfaced, and it supplies the application figures in §4.3 (§3.3.8). The iOS run, on 16 August, exercised all three roles on a physical iPhone but through Expo Go rather than a standalone build, and nothing was captured — so it is an observed pass, and the native paths ran under Expo Go’s container rather than the application’s own bundle identifier. What remains unproven is narrower than it was. hive:// deep linking was closed on Android on 16 August: a standalone build was produced with expo run:android and installed, after which the operating system resolves the scheme to com.hive.app.MainActivity and routes it both cold and warm, with an unauthenticated link correctly redirected to login (§3.3.8). Two things are still outstanding — that an</w:t>
      </w:r>
      <w:r>
        <w:t xml:space="preserve"> </w:t>
      </w:r>
      <w:r>
        <w:rPr>
          <w:i/>
          <w:iCs/>
        </w:rPr>
        <w:t xml:space="preserve">authenticated</w:t>
      </w:r>
      <w:r>
        <w:t xml:space="preserve"> link resolves to its target screen, which the automation harness could not type a clean sign-in to reach, and iOS, where no standalone build was produced and Expo Go serves under exp://.</w:t>
      </w:r>
    </w:p>
    <w:p>
      <w:pPr>
        <w:pStyle w:val="Compact"/>
        <w:numPr>
          <w:ilvl w:val="0"/>
          <w:numId w:val="1008"/>
        </w:numPr>
      </w:pPr>
      <w:r>
        <w:t xml:space="preserve">The error-reporting pipeline has never carried an error. Closed on 16 August. A Sentry project was created, SENTRY_DSN supplied, and the backend now logs</w:t>
      </w:r>
      <w:r>
        <w:t xml:space="preserve"> </w:t>
      </w:r>
      <w:r>
        <w:rPr>
          <w:i/>
          <w:iCs/>
        </w:rPr>
        <w:t xml:space="preserve">“Sentry initialised”</w:t>
      </w:r>
      <w:r>
        <w:t xml:space="preserve"> where it previously took its no-op path. A deliberate exception was captured and delivered — issue HIVE-BACKEND-1, event 8a5130bf. The beforeSend scrubber therefore ran against a real transported event rather than only the synthetic one it was unit-tested with. The mobile application is not wired to Sentry: it reads EXPO_PUBLIC_SENTRY_DSN, which is unset, so client-side reporting remains unproven.</w:t>
      </w:r>
    </w:p>
    <w:p>
      <w:pPr>
        <w:pStyle w:val="Compact"/>
        <w:numPr>
          <w:ilvl w:val="0"/>
          <w:numId w:val="1008"/>
        </w:numPr>
      </w:pPr>
      <w:r>
        <w:t xml:space="preserve">The continuous-integration test step is advisory. Closed on 16 August, and worth recording because of what it turned out to be. The step had been marked continue-on-error: true and was not merely failing to gate — it was</w:t>
      </w:r>
      <w:r>
        <w:t xml:space="preserve"> </w:t>
      </w:r>
      <w:r>
        <w:rPr>
          <w:i/>
          <w:iCs/>
        </w:rPr>
        <w:t xml:space="preserve">failing</w:t>
      </w:r>
      <w:r>
        <w:t xml:space="preserve">, on every push, with the failure masked. The harness refused to start (</w:t>
      </w:r>
      <w:r>
        <w:rPr>
          <w:i/>
          <w:iCs/>
        </w:rPr>
        <w:t xml:space="preserve">“SUPABASE_URL and SUPABASE_SERVICE_KEY must be set in packages/backend/.env.test”</w:t>
      </w:r>
      <w:r>
        <w:t xml:space="preserve">), the step exited 1, and the job still reported green. A green tick beside Test backend implied a guard that did not exist, and the only place the truth appeared was the run’s annotations. Adding TEST_SUPABASE_URL, TEST_SUPABASE_SERVICE_KEY and TEST_SUPABASE_ANON_KEY as repository secrets, pointing at the separate hive-test project, let the suite run: 218 tests passed across 8 files in 373.86 s in CI. The escape hatch was then removed, and Figure 5.2 is the first run in which the tick beside Test backend means the suite passed. All four checks — lint, typecheck, build and the test suite — now block a merge, and the suite has since grown to 247.</w:t>
      </w:r>
    </w:p>
    <w:p>
      <w:pPr>
        <w:pStyle w:val="Compact"/>
        <w:numPr>
          <w:ilvl w:val="0"/>
          <w:numId w:val="1008"/>
        </w:numPr>
      </w:pPr>
      <w:r>
        <w:t xml:space="preserve">Server-side HEIC conversion does not work. sharp’s prebuilt libvips ships libheif without an HEVC decoder, and an iPhone HEIC is HEVC-coded, so the container parses and the pixel decode fails. Established by testing a real HEVC HEIC on 24 July 2026. The mobile client transcodes on the device instead, and the server refuses HEVC with an actionable 400. Magic-byte rejection, previously listed here alongside it, is covered — by photos.test.ts T-20.</w:t>
      </w:r>
    </w:p>
    <w:p>
      <w:pPr>
        <w:pStyle w:val="Compact"/>
        <w:numPr>
          <w:ilvl w:val="0"/>
          <w:numId w:val="1008"/>
        </w:numPr>
      </w:pPr>
      <w:r>
        <w:t xml:space="preserve">The diary has not been seen on hardware, and has no figure. It landed on 20 August, after the device runs of 16 August. Its two endpoints and its calendar arithmetic are covered by 29 automated tests, 13 of them pure cases that need no database, and the screen compiles and typechecks — but nobody has opened it on a phone, and §4.3 contains no capture of it. The same applies to the brand and play layer landed the same week: it is the largest visual change since the design system was written, and every application figure in §4.3 still shows the interface as it was before it.</w:t>
      </w:r>
    </w:p>
    <w:p>
      <w:pPr>
        <w:pStyle w:val="Compact"/>
        <w:numPr>
          <w:ilvl w:val="0"/>
          <w:numId w:val="1008"/>
        </w:numPr>
      </w:pPr>
      <w:r>
        <w:t xml:space="preserve">A Redis outage is reported but does not change the health status code. /health surfaces</w:t>
      </w:r>
      <w:r>
        <w:t xml:space="preserve"> </w:t>
      </w:r>
      <w:r>
        <w:t xml:space="preserve">“cache”</w:t>
      </w:r>
      <w:r>
        <w:t xml:space="preserve"> </w:t>
      </w:r>
      <w:r>
        <w:t xml:space="preserve">alongside</w:t>
      </w:r>
      <w:r>
        <w:t xml:space="preserve"> </w:t>
      </w:r>
      <w:r>
        <w:t xml:space="preserve">“database”</w:t>
      </w:r>
      <w:r>
        <w:t xml:space="preserve">, but only the database determines 200 against 503. This is deliberate — losing the idempotency cache degrades deduplication rather than availability, so the instance should stay in rotation — with the consequence that an orchestrator probing only the status code will not restart or drain an instance whose Redis is unreachable.</w:t>
      </w:r>
    </w:p>
    <w:bookmarkEnd w:id="654"/>
    <w:bookmarkStart w:id="655" w:name="future-enhancements"/>
    <w:p>
      <w:pPr>
        <w:pStyle w:val="Heading2"/>
      </w:pPr>
      <w:r>
        <w:t xml:space="preserve">6.4 Future enhancements</w:t>
      </w:r>
    </w:p>
    <w:p>
      <w:pPr>
        <w:pStyle w:val="FirstParagraph"/>
      </w:pPr>
      <w:r>
        <w:t xml:space="preserve">Immediate, in dependency order:</w:t>
      </w:r>
    </w:p>
    <w:p>
      <w:pPr>
        <w:pStyle w:val="Compact"/>
        <w:numPr>
          <w:ilvl w:val="0"/>
          <w:numId w:val="1009"/>
        </w:numPr>
      </w:pPr>
      <w:r>
        <w:t xml:space="preserve">Deploy. One step that simultaneously unblocks the HTTPS and CORS checks, the load tests, and device testing against a real origin.</w:t>
      </w:r>
    </w:p>
    <w:p>
      <w:pPr>
        <w:pStyle w:val="Compact"/>
        <w:numPr>
          <w:ilvl w:val="0"/>
          <w:numId w:val="1009"/>
        </w:numPr>
      </w:pPr>
      <w:r>
        <w:t xml:space="preserve">Execute the k6 suite against that deployment and record the results.</w:t>
      </w:r>
    </w:p>
    <w:p>
      <w:pPr>
        <w:pStyle w:val="Compact"/>
        <w:numPr>
          <w:ilvl w:val="0"/>
          <w:numId w:val="1009"/>
        </w:numPr>
      </w:pPr>
      <w:r>
        <w:t xml:space="preserve">Produce iOS and Android builds and verify the platform-specific paths.</w:t>
      </w:r>
    </w:p>
    <w:p>
      <w:pPr>
        <w:pStyle w:val="Compact"/>
        <w:numPr>
          <w:ilvl w:val="0"/>
          <w:numId w:val="1009"/>
        </w:numPr>
      </w:pPr>
      <w:r>
        <w:t xml:space="preserve">Make the test step blocking. Done 16 August — see §6.3 item 5.</w:t>
      </w:r>
    </w:p>
    <w:p>
      <w:pPr>
        <w:pStyle w:val="Compact"/>
        <w:numPr>
          <w:ilvl w:val="0"/>
          <w:numId w:val="1009"/>
        </w:numPr>
      </w:pPr>
      <w:r>
        <w:t xml:space="preserve">Re-capture the application figures. Every figure in §4.3 predates the brand and play layer and the diary, so the submission’s pictures and its current build no longer agree. This is the cheapest outstanding item and the most visible.</w:t>
      </w:r>
    </w:p>
    <w:p>
      <w:pPr>
        <w:pStyle w:val="Compact"/>
        <w:numPr>
          <w:ilvl w:val="0"/>
          <w:numId w:val="1009"/>
        </w:numPr>
      </w:pPr>
      <w:r>
        <w:t xml:space="preserve">Open the diary on a device and capture it, so the newest feature has the same standard of evidence as the rest.</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p>
      <w:r>
        <w:pict>
          <v:rect style="width:0;height:1.5pt" o:hralign="center" o:hrstd="t" o:hr="t"/>
        </w:pict>
      </w:r>
    </w:p>
    <w:bookmarkEnd w:id="655"/>
    <w:bookmarkEnd w:id="656"/>
    <w:bookmarkStart w:id="657" w:name="references"/>
    <w:p>
      <w:pPr>
        <w:pStyle w:val="Heading1"/>
      </w:pPr>
      <w:r>
        <w:t xml:space="preserve">REFERENCES</w:t>
      </w:r>
    </w:p>
    <w:p>
      <w:pPr>
        <w:pStyle w:val="FirstParagraph"/>
      </w:pPr>
      <w:r>
        <w:rPr>
          <w:i/>
          <w:iCs/>
        </w:rPr>
        <w:t xml:space="preserve">(IEEE style)</w:t>
      </w:r>
    </w:p>
    <w:p>
      <w:pPr>
        <w:pStyle w:val="BodyText"/>
      </w:pPr>
      <w:r>
        <w:t xml:space="preserve">[1] Supabase,</w:t>
      </w:r>
      <w:r>
        <w:t xml:space="preserve"> </w:t>
      </w:r>
      <w:r>
        <w:t xml:space="preserve">“Row Level Security,”</w:t>
      </w:r>
      <w:r>
        <w:t xml:space="preserve"> </w:t>
      </w:r>
      <w:r>
        <w:t xml:space="preserve">Supabase Documentation. [Online]. Available:</w:t>
      </w:r>
      <w:r>
        <w:t xml:space="preserve"> </w:t>
      </w:r>
      <w:r>
        <w:t xml:space="preserve">https://supabase.com/docs/guides/database/postgres/row-level-security</w:t>
      </w:r>
    </w:p>
    <w:p>
      <w:pPr>
        <w:pStyle w:val="BodyText"/>
      </w:pPr>
      <w:r>
        <w:t xml:space="preserve">[2] Supabase,</w:t>
      </w:r>
      <w:r>
        <w:t xml:space="preserve"> </w:t>
      </w:r>
      <w:r>
        <w:t xml:space="preserve">“Storage: Access Control,”</w:t>
      </w:r>
      <w:r>
        <w:t xml:space="preserve"> </w:t>
      </w:r>
      <w:r>
        <w:t xml:space="preserve">Supabase Documentation. [Online]. Available:</w:t>
      </w:r>
      <w:r>
        <w:t xml:space="preserve"> </w:t>
      </w:r>
      <w:r>
        <w:t xml:space="preserve">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w:t>
      </w:r>
      <w:r>
        <w:t xml:space="preserve"> </w:t>
      </w:r>
      <w:r>
        <w:t xml:space="preserve">https://www.postgresql.org/docs/15/</w:t>
      </w:r>
    </w:p>
    <w:p>
      <w:pPr>
        <w:pStyle w:val="BodyText"/>
      </w:pPr>
      <w:r>
        <w:t xml:space="preserve">[4] OWASP Foundation,</w:t>
      </w:r>
      <w:r>
        <w:t xml:space="preserve"> </w:t>
      </w:r>
      <w:r>
        <w:t xml:space="preserve">“OWASP API Security Top 10 — 2023,”</w:t>
      </w:r>
      <w:r>
        <w:t xml:space="preserve"> </w:t>
      </w:r>
      <w:r>
        <w:t xml:space="preserve">2023. [Online]. Available:</w:t>
      </w:r>
      <w:r>
        <w:t xml:space="preserve"> </w:t>
      </w:r>
      <w:r>
        <w:t xml:space="preserve">https://owasp.org/API-Security/editions/2023/en/0x00-header/</w:t>
      </w:r>
    </w:p>
    <w:p>
      <w:pPr>
        <w:pStyle w:val="BodyText"/>
      </w:pPr>
      <w:r>
        <w:t xml:space="preserve">[5] OWASP Foundation,</w:t>
      </w:r>
      <w:r>
        <w:t xml:space="preserve"> </w:t>
      </w:r>
      <w:r>
        <w:t xml:space="preserve">“API1:2023 Broken Object Level Authorization,”</w:t>
      </w:r>
      <w:r>
        <w:t xml:space="preserve"> </w:t>
      </w:r>
      <w:r>
        <w:t xml:space="preserve">2023. [Online]. Available:</w:t>
      </w:r>
      <w:r>
        <w:t xml:space="preserve"> </w:t>
      </w:r>
      <w:r>
        <w:t xml:space="preserve">https://owasp.org/API-Security/editions/2023/en/0xa1-broken-object-level-authorization/</w:t>
      </w:r>
    </w:p>
    <w:p>
      <w:pPr>
        <w:pStyle w:val="BodyText"/>
      </w:pPr>
      <w:r>
        <w:t xml:space="preserve">[6] Expo,</w:t>
      </w:r>
      <w:r>
        <w:t xml:space="preserve"> </w:t>
      </w:r>
      <w:r>
        <w:t xml:space="preserve">“Expo Router,”</w:t>
      </w:r>
      <w:r>
        <w:t xml:space="preserve"> </w:t>
      </w:r>
      <w:r>
        <w:t xml:space="preserve">Expo Documentation. [Online]. Available:</w:t>
      </w:r>
      <w:r>
        <w:t xml:space="preserve"> </w:t>
      </w:r>
      <w:r>
        <w:t xml:space="preserve">https://docs.expo.dev/router/introduction/</w:t>
      </w:r>
    </w:p>
    <w:p>
      <w:pPr>
        <w:pStyle w:val="BodyText"/>
      </w:pPr>
      <w:r>
        <w:t xml:space="preserve">[7] Meta Platforms,</w:t>
      </w:r>
      <w:r>
        <w:t xml:space="preserve"> </w:t>
      </w:r>
      <w:r>
        <w:t xml:space="preserve">“React Native Documentation,”</w:t>
      </w:r>
      <w:r>
        <w:t xml:space="preserve"> </w:t>
      </w:r>
      <w:r>
        <w:t xml:space="preserve">2024. [Online]. Available:</w:t>
      </w:r>
      <w:r>
        <w:t xml:space="preserve"> </w:t>
      </w:r>
      <w:r>
        <w:t xml:space="preserve">https://reactnative.dev/docs/getting-started</w:t>
      </w:r>
    </w:p>
    <w:p>
      <w:pPr>
        <w:pStyle w:val="BodyText"/>
      </w:pPr>
      <w:r>
        <w:t xml:space="preserve">[8] C. McDonnell,</w:t>
      </w:r>
      <w:r>
        <w:t xml:space="preserve"> </w:t>
      </w:r>
      <w:r>
        <w:t xml:space="preserve">“Zod: TypeScript-first schema validation,”</w:t>
      </w:r>
      <w:r>
        <w:t xml:space="preserve"> </w:t>
      </w:r>
      <w:r>
        <w:t xml:space="preserve">2024. [Online]. Available:</w:t>
      </w:r>
      <w:r>
        <w:t xml:space="preserve"> </w:t>
      </w:r>
      <w:r>
        <w:t xml:space="preserve">https://zod.dev</w:t>
      </w:r>
    </w:p>
    <w:p>
      <w:pPr>
        <w:pStyle w:val="BodyText"/>
      </w:pPr>
      <w:r>
        <w:t xml:space="preserve">[9] TanStack,</w:t>
      </w:r>
      <w:r>
        <w:t xml:space="preserve"> </w:t>
      </w:r>
      <w:r>
        <w:t xml:space="preserve">“TanStack Query v5 Documentation,”</w:t>
      </w:r>
      <w:r>
        <w:t xml:space="preserve"> </w:t>
      </w:r>
      <w:r>
        <w:t xml:space="preserve">2024. [Online]. Available:</w:t>
      </w:r>
      <w:r>
        <w:t xml:space="preserve"> </w:t>
      </w:r>
      <w:r>
        <w:t xml:space="preserve">https://tanstack.com/query/latest</w:t>
      </w:r>
    </w:p>
    <w:p>
      <w:pPr>
        <w:pStyle w:val="BodyText"/>
      </w:pPr>
      <w:r>
        <w:t xml:space="preserve">[10] L. Segers,</w:t>
      </w:r>
      <w:r>
        <w:t xml:space="preserve"> </w:t>
      </w:r>
      <w:r>
        <w:t xml:space="preserve">“sharp — High performance Node.js image processing,”</w:t>
      </w:r>
      <w:r>
        <w:t xml:space="preserve"> </w:t>
      </w:r>
      <w:r>
        <w:t xml:space="preserve">2024. [Online]. Available:</w:t>
      </w:r>
      <w:r>
        <w:t xml:space="preserve"> </w:t>
      </w:r>
      <w:r>
        <w:t xml:space="preserve">https://sharp.pixelplumbing.com</w:t>
      </w:r>
    </w:p>
    <w:p>
      <w:pPr>
        <w:pStyle w:val="BodyText"/>
      </w:pPr>
      <w:r>
        <w:t xml:space="preserve">[11] Vitest,</w:t>
      </w:r>
      <w:r>
        <w:t xml:space="preserve"> </w:t>
      </w:r>
      <w:r>
        <w:t xml:space="preserve">“Vitest — Next generation testing framework,”</w:t>
      </w:r>
      <w:r>
        <w:t xml:space="preserve"> </w:t>
      </w:r>
      <w:r>
        <w:t xml:space="preserve">2024. [Online]. Available:</w:t>
      </w:r>
      <w:r>
        <w:t xml:space="preserve"> </w:t>
      </w:r>
      <w:r>
        <w:t xml:space="preserve">https://vitest.dev</w:t>
      </w:r>
    </w:p>
    <w:p>
      <w:pPr>
        <w:pStyle w:val="BodyText"/>
      </w:pPr>
      <w:r>
        <w:t xml:space="preserve">[12] Grafana Labs,</w:t>
      </w:r>
      <w:r>
        <w:t xml:space="preserve"> </w:t>
      </w:r>
      <w:r>
        <w:t xml:space="preserve">“k6 Documentation,”</w:t>
      </w:r>
      <w:r>
        <w:t xml:space="preserve"> </w:t>
      </w:r>
      <w:r>
        <w:t xml:space="preserve">2024. [Online]. Available:</w:t>
      </w:r>
      <w:r>
        <w:t xml:space="preserve"> </w:t>
      </w:r>
      <w:r>
        <w:t xml:space="preserve">https://k6.io/docs/</w:t>
      </w:r>
    </w:p>
    <w:p>
      <w:pPr>
        <w:pStyle w:val="BodyText"/>
      </w:pPr>
      <w:r>
        <w:t xml:space="preserve">[13] M. Jones, J. Bradley, and N. Sakimura,</w:t>
      </w:r>
      <w:r>
        <w:t xml:space="preserve"> </w:t>
      </w:r>
      <w:r>
        <w:t xml:space="preserve">“JSON Web Token (JWT),”</w:t>
      </w:r>
      <w:r>
        <w:t xml:space="preserve"> </w:t>
      </w:r>
      <w:r>
        <w:t xml:space="preserve">RFC 7519, IETF, May 2015. [Online]. Available:</w:t>
      </w:r>
      <w:r>
        <w:t xml:space="preserve"> </w:t>
      </w:r>
      <w:r>
        <w:t xml:space="preserve">https://www.rfc-editor.org/rfc/rfc7519</w:t>
      </w:r>
    </w:p>
    <w:p>
      <w:pPr>
        <w:pStyle w:val="BodyText"/>
      </w:pPr>
      <w:r>
        <w:t xml:space="preserve">[14] R. Fielding and J. Reschke,</w:t>
      </w:r>
      <w:r>
        <w:t xml:space="preserve"> </w:t>
      </w:r>
      <w:r>
        <w:t xml:space="preserve">“Hypertext Transfer Protocol (HTTP/1.1): Semantics and Content,”</w:t>
      </w:r>
      <w:r>
        <w:t xml:space="preserve"> </w:t>
      </w:r>
      <w:r>
        <w:t xml:space="preserve">RFC 7231, IETF, June 2014. [Online]. Available:</w:t>
      </w:r>
      <w:r>
        <w:t xml:space="preserve"> </w:t>
      </w:r>
      <w:r>
        <w:t xml:space="preserve">https://www.rfc-editor.org/rfc/rfc7231</w:t>
      </w:r>
    </w:p>
    <w:p>
      <w:pPr>
        <w:pStyle w:val="BodyText"/>
      </w:pPr>
      <w:r>
        <w:t xml:space="preserve">[15] Redis Ltd.,</w:t>
      </w:r>
      <w:r>
        <w:t xml:space="preserve"> </w:t>
      </w:r>
      <w:r>
        <w:t xml:space="preserve">“Redis Documentation,”</w:t>
      </w:r>
      <w:r>
        <w:t xml:space="preserve"> </w:t>
      </w:r>
      <w:r>
        <w:t xml:space="preserve">2024. [Online]. Available:</w:t>
      </w:r>
      <w:r>
        <w:t xml:space="preserve"> </w:t>
      </w:r>
      <w:r>
        <w:t xml:space="preserve">https://redis.io/docs/</w:t>
      </w:r>
    </w:p>
    <w:p>
      <w:r>
        <w:pict>
          <v:rect style="width:0;height:1.5pt" o:hralign="center" o:hrstd="t" o:hr="t"/>
        </w:pict>
      </w:r>
    </w:p>
    <w:bookmarkEnd w:id="657"/>
    <w:bookmarkStart w:id="662" w:name="appendix"/>
    <w:p>
      <w:pPr>
        <w:pStyle w:val="Heading1"/>
      </w:pPr>
      <w:r>
        <w:t xml:space="preserve">APPENDIX</w:t>
      </w:r>
    </w:p>
    <w:bookmarkStart w:id="658"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p>
      <w:pPr>
        <w:pStyle w:val="BodyText"/>
      </w:pPr>
      <w:r>
        <w:rPr>
          <w:i/>
          <w:iCs/>
        </w:rPr>
        <w:t xml:space="preserve">(Demonstration accounts and the recommended walkthrough: docs/DEMO_USERS.md.)</w:t>
      </w:r>
    </w:p>
    <w:bookmarkEnd w:id="658"/>
    <w:bookmarkStart w:id="659"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 see docs/environment-setup.md §2 for the key distinction</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 all documented in docs/environment-setup.md:</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59"/>
    <w:bookmarkStart w:id="660" w:name="appendix-c-source-code"/>
    <w:p>
      <w:pPr>
        <w:pStyle w:val="Heading2"/>
      </w:pPr>
      <w:r>
        <w:t xml:space="preserve">Appendix C — Source code</w:t>
      </w:r>
    </w:p>
    <w:p>
      <w:pPr>
        <w:pStyle w:val="FirstParagraph"/>
      </w:pPr>
      <w:r>
        <w:t xml:space="preserve">https://github.com/vexora-0/hive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r>
        <w:tc>
          <w:tcPr/>
          <w:p>
            <w:pPr>
              <w:pStyle w:val="Compact"/>
            </w:pPr>
            <w:r>
              <w:t xml:space="preserve">docs/</w:t>
            </w:r>
          </w:p>
        </w:tc>
        <w:tc>
          <w:tcPr/>
          <w:p>
            <w:pPr>
              <w:pStyle w:val="Compact"/>
            </w:pPr>
            <w:r>
              <w:t xml:space="preserve">Architecture, security, database, API, demonstration guide</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0"/>
    <w:bookmarkStart w:id="661" w:name="appendix-d-demonstration-video"/>
    <w:p>
      <w:pPr>
        <w:pStyle w:val="Heading2"/>
      </w:pPr>
      <w:r>
        <w:t xml:space="preserve">Appendix D — Demonstration video</w:t>
      </w:r>
    </w:p>
    <w:p>
      <w:pPr>
        <w:pStyle w:val="FirstParagraph"/>
      </w:pPr>
      <w:r>
        <w:t xml:space="preserve">https://youtu.be/_kvid-1KXxA</w:t>
      </w:r>
    </w:p>
    <w:p>
      <w:r>
        <w:pict>
          <v:rect style="width:0;height:1.5pt" o:hralign="center" o:hrstd="t" o:hr="t"/>
        </w:pict>
      </w:r>
    </w:p>
    <w:p>
      <w:pPr>
        <w:pStyle w:val="FirstParagraph"/>
      </w:pPr>
      <w:r>
        <w:t xml:space="preserve">Page numbers missing</w:t>
      </w:r>
    </w:p>
    <w:p>
      <w:pPr>
        <w:pStyle w:val="BodyText"/>
      </w:pPr>
      <w:r>
        <w:t xml:space="preserve">Page numbers missing</w:t>
      </w:r>
    </w:p>
    <w:p>
      <w:pPr>
        <w:pStyle w:val="BodyText"/>
      </w:pPr>
      <w:r>
        <w:t xml:space="preserve">Make table fit, and aligned</w:t>
      </w:r>
    </w:p>
    <w:p>
      <w:pPr>
        <w:pStyle w:val="BodyText"/>
      </w:pPr>
      <w:r>
        <w:t xml:space="preserve">Who is Rajesh? Teacher?Parent?admi. Same for Vikram</w:t>
      </w:r>
    </w:p>
    <w:p>
      <w:pPr>
        <w:pStyle w:val="BodyText"/>
      </w:pPr>
      <w:r>
        <w:t xml:space="preserve">Alignment table</w:t>
      </w:r>
    </w:p>
    <w:p>
      <w:pPr>
        <w:pStyle w:val="BodyText"/>
      </w:pPr>
      <w:r>
        <w:t xml:space="preserve">Table alignment</w:t>
      </w:r>
    </w:p>
    <w:p>
      <w:pPr>
        <w:pStyle w:val="BodyText"/>
      </w:pPr>
      <w:r>
        <w:t xml:space="preserve">Is figures included here? Or did I miss seeing those in the list?</w:t>
      </w:r>
    </w:p>
    <w:p>
      <w:pPr>
        <w:pStyle w:val="BodyText"/>
      </w:pPr>
      <w:r>
        <w:t xml:space="preserve">We discussed to put col 3 appropriate logical remarks</w:t>
      </w:r>
    </w:p>
    <w:p>
      <w:pPr>
        <w:pStyle w:val="BodyText"/>
      </w:pPr>
      <w:r>
        <w:t xml:space="preserve">Missing data. This also we have discussed to spread across Sem and put appropriate data</w:t>
      </w:r>
    </w:p>
    <w:bookmarkEnd w:id="661"/>
    <w:bookmarkEnd w:id="662"/>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TableCaption">
    <w:name w:val="TableCap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604" Target="media/rId604.png" /><Relationship Type="http://schemas.openxmlformats.org/officeDocument/2006/relationships/image" Id="rId618" Target="media/rId618.png" /><Relationship Type="http://schemas.openxmlformats.org/officeDocument/2006/relationships/image" Id="rId622" Target="media/rId622.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32" Target="media/rId632.png" /><Relationship Type="http://schemas.openxmlformats.org/officeDocument/2006/relationships/image" Id="rId642" Target="media/rId642.png" /><Relationship Type="http://schemas.openxmlformats.org/officeDocument/2006/relationships/image" Id="rId645" Target="media/rId6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2026-08-24T15:59:59Z</dcterms:created>
  <dcterms:modified xsi:type="dcterms:W3CDTF">2026-08-24T15:59:59Z</dcterms:modified>
</cp:coreProperties>
</file>

<file path=docProps/custom.xml><?xml version="1.0" encoding="utf-8"?>
<Properties xmlns="http://schemas.openxmlformats.org/officeDocument/2006/custom-properties" xmlns:vt="http://schemas.openxmlformats.org/officeDocument/2006/docPropsVTypes"/>
</file>