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1E262" w14:textId="77777777" w:rsidR="007F6698" w:rsidRDefault="007F6698"/>
    <w:p w14:paraId="11ABFCB3" w14:textId="77777777" w:rsidR="00B8020C" w:rsidRPr="00B8020C" w:rsidRDefault="00B8020C" w:rsidP="00B8020C"/>
    <w:p w14:paraId="3706C769" w14:textId="77777777" w:rsidR="00B8020C" w:rsidRPr="00B8020C" w:rsidRDefault="00B8020C" w:rsidP="00B8020C"/>
    <w:p w14:paraId="5FF30099" w14:textId="77777777" w:rsidR="00B8020C" w:rsidRDefault="00B8020C" w:rsidP="00B8020C"/>
    <w:p w14:paraId="76207674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ZAMAN, TARİH VE MEDENİYET</w:t>
      </w:r>
    </w:p>
    <w:p w14:paraId="566D260B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(Hebûn–Zanabûn Ekseninde “Çağların Boyutsal Okuması”)</w:t>
      </w:r>
    </w:p>
    <w:p w14:paraId="34594F0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Müellif: Müdebbir Veysi’yê Mala Saf</w:t>
      </w:r>
    </w:p>
    <w:p w14:paraId="6139DA58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Nizam: HAXA – 6 + Ehad</w:t>
      </w:r>
    </w:p>
    <w:p w14:paraId="037A462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Çekirdek: Hebûn (Oluş) &amp; Zanabûn (Şahitlik)</w:t>
      </w:r>
    </w:p>
    <w:p w14:paraId="04E1F40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Mühür: Değişmez (kaldırılmadıkça)</w:t>
      </w:r>
    </w:p>
    <w:p w14:paraId="6B5B6A4F" w14:textId="0896F3FD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drawing>
          <wp:inline distT="0" distB="0" distL="0" distR="0" wp14:anchorId="415A1330" wp14:editId="45166E6C">
            <wp:extent cx="304800" cy="304800"/>
            <wp:effectExtent l="0" t="0" r="0" b="0"/>
            <wp:docPr id="12" name="Resim 12" descr="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0C">
        <w:rPr>
          <w:lang w:val="tr-TR"/>
        </w:rPr>
        <w:t> ÖN BÖLÜM</w:t>
      </w:r>
    </w:p>
    <w:p w14:paraId="2D0A5AA0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0.1. Bu cildin maksadı</w:t>
      </w:r>
    </w:p>
    <w:p w14:paraId="014384C5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Bu cilt; “zamanı” sadece saat ve takvim olarak değil, varlığın boyutsal akışı olarak; “tarihi” sadece olay listesi olarak değil, insanlığın fıtratla imtihanı olarak; “medeniyeti” ise sadece şehir ve teknoloji olarak değil, ahlak–hüküm–nizamın görünür formu olarak tanımlar.</w:t>
      </w:r>
    </w:p>
    <w:p w14:paraId="1649287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0.2. Çekirdek özet (Hebûn &amp; Zanabûn)</w:t>
      </w:r>
    </w:p>
    <w:p w14:paraId="0FA27890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Hebûn: Varlığın olma–genişleme–devam yasası.</w:t>
      </w:r>
    </w:p>
    <w:p w14:paraId="66F7D9A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Zanabûn: Bilginin şahitlik kazanmış hâli (bilmek + olmak).</w:t>
      </w:r>
    </w:p>
    <w:p w14:paraId="4D66D498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Tarih: Hebûn’un insan üzerinden okunmasıdır.</w:t>
      </w:r>
    </w:p>
    <w:p w14:paraId="7CF6AE6C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Medeniyet: Zanabûn’un kurumlar ve eserler üzerinden görünmesidir.</w:t>
      </w:r>
    </w:p>
    <w:p w14:paraId="1E8E51F5" w14:textId="3BEF58C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drawing>
          <wp:inline distT="0" distB="0" distL="0" distR="0" wp14:anchorId="379EF679" wp14:editId="43B96F4B">
            <wp:extent cx="304800" cy="304800"/>
            <wp:effectExtent l="0" t="0" r="0" b="0"/>
            <wp:docPr id="11" name="Resim 11" descr="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🧭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0C">
        <w:rPr>
          <w:lang w:val="tr-TR"/>
        </w:rPr>
        <w:t> BÖLÜM I – ZAMANIN ONTOLOJİSİ</w:t>
      </w:r>
    </w:p>
    <w:p w14:paraId="54EAED0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1.1. Zaman nedir? (Hebûn tanımı)</w:t>
      </w:r>
    </w:p>
    <w:p w14:paraId="5395361C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Zaman:</w:t>
      </w:r>
    </w:p>
    <w:p w14:paraId="1E49ABF6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Varlığın “devam etme” biçimidir.</w:t>
      </w:r>
    </w:p>
    <w:p w14:paraId="0B56C36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Ne sadece ölçüm aracıdır, ne de başıboş bir akıştır.</w:t>
      </w:r>
    </w:p>
    <w:p w14:paraId="1A930164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Zamanın özü:</w:t>
      </w:r>
    </w:p>
    <w:p w14:paraId="14A90AE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devamlılık (sürme),</w:t>
      </w:r>
    </w:p>
    <w:p w14:paraId="34152FB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yön (istikamet),</w:t>
      </w:r>
    </w:p>
    <w:p w14:paraId="2BD5595A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netice (hükme doğru yürüyüş) taşır.</w:t>
      </w:r>
    </w:p>
    <w:p w14:paraId="32D1968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1.2. Zamanın “ölçü” ile ilişkisi</w:t>
      </w:r>
    </w:p>
    <w:p w14:paraId="2D899CA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Saat, takvim, saniye:</w:t>
      </w:r>
    </w:p>
    <w:p w14:paraId="134B8F0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lastRenderedPageBreak/>
        <w:t>zamanın kendisi değil,</w:t>
      </w:r>
    </w:p>
    <w:p w14:paraId="54BBE480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zamanın dilidir.</w:t>
      </w:r>
    </w:p>
    <w:p w14:paraId="4739E93A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Hebûn’de ölçü:</w:t>
      </w:r>
    </w:p>
    <w:p w14:paraId="13B5310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Zamanı yönetmez; zamanı okur.</w:t>
      </w:r>
    </w:p>
    <w:p w14:paraId="2926ED61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1.3. Zamanın bozulması (kısalma hissi)</w:t>
      </w:r>
    </w:p>
    <w:p w14:paraId="556D642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Zaman “kısaldı” denilen hâl:</w:t>
      </w:r>
    </w:p>
    <w:p w14:paraId="60A8E631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fiziki kısalma değil,</w:t>
      </w:r>
    </w:p>
    <w:p w14:paraId="4A93C975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mana daralmasıdır.</w:t>
      </w:r>
    </w:p>
    <w:p w14:paraId="22A4574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Mana daralmasının ana sebepleri:</w:t>
      </w:r>
    </w:p>
    <w:p w14:paraId="15B64852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israf (amaçsız tekrar),</w:t>
      </w:r>
    </w:p>
    <w:p w14:paraId="0D01245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parça parça dikkat (dağılmış zihin),</w:t>
      </w:r>
    </w:p>
    <w:p w14:paraId="7FDCF4EC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ahlak zayıflığı (hedef kaybı),</w:t>
      </w:r>
    </w:p>
    <w:p w14:paraId="5AAD0C93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faiz/borç (geleceğin ipoteklenmesi).</w:t>
      </w:r>
    </w:p>
    <w:p w14:paraId="3BC85392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1.4. Zamanın katmanları: boyutsal akış</w:t>
      </w:r>
    </w:p>
    <w:p w14:paraId="0F3ADEA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Zaman, Hebûn sisteminde “tek bir çizgi” değil; boyutlar arası yükseliş/düşüş olarak anlaşılır:</w:t>
      </w:r>
    </w:p>
    <w:p w14:paraId="607CABF8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1 Fizik zamanı: hareket–enerji</w:t>
      </w:r>
    </w:p>
    <w:p w14:paraId="29DE3A3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2 Biyoloji zamanı: büyüme–nesil</w:t>
      </w:r>
    </w:p>
    <w:p w14:paraId="4D6CF446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3 Zihin zamanı: öğrenme–anlam</w:t>
      </w:r>
    </w:p>
    <w:p w14:paraId="67E41185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4 Kanun/Ruh zamanı: düzen–denge</w:t>
      </w:r>
    </w:p>
    <w:p w14:paraId="33811154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5 Ahlak zamanı: sorumluluk–irade</w:t>
      </w:r>
    </w:p>
    <w:p w14:paraId="7982A093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6 Hüküm zamanı: netice–hesap</w:t>
      </w:r>
    </w:p>
    <w:p w14:paraId="2357182C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Bu yüzden bir toplum “zamanı yönetemiyor” denirse, aslında:</w:t>
      </w:r>
    </w:p>
    <w:p w14:paraId="5F4711B2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Boyutlar arası geçişi doğru kuramıyor demektir.</w:t>
      </w:r>
    </w:p>
    <w:p w14:paraId="447EBEF8" w14:textId="405C08CC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drawing>
          <wp:inline distT="0" distB="0" distL="0" distR="0" wp14:anchorId="68625838" wp14:editId="4CC86F20">
            <wp:extent cx="304800" cy="304800"/>
            <wp:effectExtent l="0" t="0" r="0" b="0"/>
            <wp:docPr id="10" name="Resim 10" descr="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📜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0C">
        <w:rPr>
          <w:lang w:val="tr-TR"/>
        </w:rPr>
        <w:t> BÖLÜM II – TARİH NEDİR?</w:t>
      </w:r>
    </w:p>
    <w:p w14:paraId="4D70F9B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2.1. Tarihin Hebûn tanımı</w:t>
      </w:r>
    </w:p>
    <w:p w14:paraId="022A036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Tarih:</w:t>
      </w:r>
    </w:p>
    <w:p w14:paraId="20D27425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İnsanın, fıtratla uyum veya fıtrata isyan üzerinden bıraktığı izdir.</w:t>
      </w:r>
    </w:p>
    <w:p w14:paraId="44BE797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Olay listesi tarih değildir; tarih, olayların hükme bağlanmış manasıdır.</w:t>
      </w:r>
    </w:p>
    <w:p w14:paraId="5A46F31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2.2. Zanabûn ölçüsü: “Şahitlik” olmadan tarih olmaz</w:t>
      </w:r>
    </w:p>
    <w:p w14:paraId="6EE9AFC5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Tarihte iki tür anlatı vardır:</w:t>
      </w:r>
    </w:p>
    <w:p w14:paraId="16090BA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lastRenderedPageBreak/>
        <w:t>haber: oldu bitti,</w:t>
      </w:r>
    </w:p>
    <w:p w14:paraId="741105D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şahitlik: oldu ve “ne demek”ti?</w:t>
      </w:r>
    </w:p>
    <w:p w14:paraId="4C1B0DA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Zanabûn:</w:t>
      </w:r>
    </w:p>
    <w:p w14:paraId="44E8CC1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Tarihe “şahitlik” katmadan, sadece propaganda üretir.</w:t>
      </w:r>
    </w:p>
    <w:p w14:paraId="31EB50B3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2.3. Tarih okuma hataları</w:t>
      </w:r>
    </w:p>
    <w:p w14:paraId="2B83A68A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Putlaştırma: kişiyi kutsayıp hakikati unutmaktır.</w:t>
      </w:r>
    </w:p>
    <w:p w14:paraId="7498C8DB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İnkâr: kökü silip boş kimlik üretmektir.</w:t>
      </w:r>
    </w:p>
    <w:p w14:paraId="245E79C3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Tek sebepçilik: her şeyi ekonomi veya güçle açıklamaktır.</w:t>
      </w:r>
    </w:p>
    <w:p w14:paraId="5771FF96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Kesik zaman: geçmişi koparıp bugünü amaçsız bırakmaktır.</w:t>
      </w:r>
    </w:p>
    <w:p w14:paraId="4B66FDD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Hebûn okuması:</w:t>
      </w:r>
    </w:p>
    <w:p w14:paraId="49255E4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“Sebep çoktur, ama nizam tektir.”</w:t>
      </w:r>
    </w:p>
    <w:p w14:paraId="399F7C1A" w14:textId="5D0FCE44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drawing>
          <wp:inline distT="0" distB="0" distL="0" distR="0" wp14:anchorId="1FDF5B80" wp14:editId="0740D3F3">
            <wp:extent cx="304800" cy="304800"/>
            <wp:effectExtent l="0" t="0" r="0" b="0"/>
            <wp:docPr id="9" name="Resim 9" descr="🏛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🏛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0C">
        <w:rPr>
          <w:lang w:val="tr-TR"/>
        </w:rPr>
        <w:t> BÖLÜM III – MEDENİYET NEDİR?</w:t>
      </w:r>
    </w:p>
    <w:p w14:paraId="3668B9E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3.1. Medeniyetin Hebûn tanımı</w:t>
      </w:r>
    </w:p>
    <w:p w14:paraId="6AB09F31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Medeniyet:</w:t>
      </w:r>
    </w:p>
    <w:p w14:paraId="14D8178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Ahlakın kurumlaşmış hâlidir.</w:t>
      </w:r>
    </w:p>
    <w:p w14:paraId="410C8CFC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Şehir, bina, teknoloji ancak “kabuk”tur. Kabuk canlıysa içindeki ruh:</w:t>
      </w:r>
    </w:p>
    <w:p w14:paraId="198976B1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ahlak,</w:t>
      </w:r>
    </w:p>
    <w:p w14:paraId="499B214B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hukuk,</w:t>
      </w:r>
    </w:p>
    <w:p w14:paraId="5F590E8A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ekonomi,</w:t>
      </w:r>
    </w:p>
    <w:p w14:paraId="768FAB3B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eğitim düzenidir.</w:t>
      </w:r>
    </w:p>
    <w:p w14:paraId="00A8F43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3.2. Medeniyetin 6 boyutlu yapısı</w:t>
      </w:r>
    </w:p>
    <w:p w14:paraId="6CAEA11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Bir medeniyetin sağlaması, 6 boyutta yapılır:</w:t>
      </w:r>
    </w:p>
    <w:p w14:paraId="02672D3B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Fizik: güvenlik, altyapı, enerji</w:t>
      </w:r>
    </w:p>
    <w:p w14:paraId="4B3ED3B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Biyoloji: sağlık, gıda, nesil</w:t>
      </w:r>
    </w:p>
    <w:p w14:paraId="444D4F41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Zihin: bilim, dil, eğitim</w:t>
      </w:r>
    </w:p>
    <w:p w14:paraId="64E6426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Kanun/Ruh: hukuk, düzen, denge</w:t>
      </w:r>
    </w:p>
    <w:p w14:paraId="708F83A6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Ahlak: emanet, eminlik, hizmet</w:t>
      </w:r>
    </w:p>
    <w:p w14:paraId="4CBA63A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Hüküm: adaletin neticesi (meşruiyet/çöküş)</w:t>
      </w:r>
    </w:p>
    <w:p w14:paraId="258DCA52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Bir boyut çökünce medeniyet “tam” değildir; sadece görüntü verir.</w:t>
      </w:r>
    </w:p>
    <w:p w14:paraId="4B977EA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3.3. Medeniyetin ölümü</w:t>
      </w:r>
    </w:p>
    <w:p w14:paraId="0DE2EF31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lastRenderedPageBreak/>
        <w:t>Medeniyet ölümü genelde şöyle başlar:</w:t>
      </w:r>
    </w:p>
    <w:p w14:paraId="55FEDD74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ölçü kaybı → israf → borç → adaletsizlik → güven kaybı → çözülme.</w:t>
      </w:r>
    </w:p>
    <w:p w14:paraId="2D827CE4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Hebûn diliyle:</w:t>
      </w:r>
    </w:p>
    <w:p w14:paraId="01FDF0D4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boyut (ahlak) zayıflarsa, 4. boyut (kanun) kirlenir; sonra alt boyutlar çöker.</w:t>
      </w:r>
    </w:p>
    <w:p w14:paraId="060C98C3" w14:textId="18ED33C5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drawing>
          <wp:inline distT="0" distB="0" distL="0" distR="0" wp14:anchorId="56C5FA57" wp14:editId="248EE4D3">
            <wp:extent cx="304800" cy="304800"/>
            <wp:effectExtent l="0" t="0" r="0" b="0"/>
            <wp:docPr id="8" name="Resim 8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🧩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0C">
        <w:rPr>
          <w:lang w:val="tr-TR"/>
        </w:rPr>
        <w:t> BÖLÜM IV – ÇAĞLARIN BOYUTSAL OKUMASI</w:t>
      </w:r>
    </w:p>
    <w:p w14:paraId="2C4D169C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(Bu bölüm “iddia” değil, yol gösterici modeldir.)</w:t>
      </w:r>
    </w:p>
    <w:p w14:paraId="246917C3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4.1. Çağ nedir?</w:t>
      </w:r>
    </w:p>
    <w:p w14:paraId="6EC147C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Çağ:</w:t>
      </w:r>
    </w:p>
    <w:p w14:paraId="07EC6F43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Bir boyutun toplumsal hayatta “baskın” hâle gelmesidir.</w:t>
      </w:r>
    </w:p>
    <w:p w14:paraId="147508E0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4.2. 6 boyuta göre çağ tipleri</w:t>
      </w:r>
    </w:p>
    <w:p w14:paraId="68E2414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Fizik çağı: güç, fetih, ham madde, zor</w:t>
      </w:r>
    </w:p>
    <w:p w14:paraId="4AF03590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Biyoloji çağı: nüfus, üretim, tarım, yaşam düzeni</w:t>
      </w:r>
    </w:p>
    <w:p w14:paraId="7C43A230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Zihin çağı: fikir, ideoloji, bilim–teknik yarış</w:t>
      </w:r>
    </w:p>
    <w:p w14:paraId="49B1F33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Kanun çağı: kurumlar, hukuk, düzen iddiası</w:t>
      </w:r>
    </w:p>
    <w:p w14:paraId="4ACC4E7C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Ahlak çağı: eminlik, hizmet, onur, istiğna</w:t>
      </w:r>
    </w:p>
    <w:p w14:paraId="1AEBCC28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Hüküm evresi: netice, hesap, meşruiyetin tamamlanması</w:t>
      </w:r>
    </w:p>
    <w:p w14:paraId="6303DD9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4.3. Senin verdiğin modern tarih çizgisini “model” olarak hizalama</w:t>
      </w:r>
    </w:p>
    <w:p w14:paraId="2658D980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Senin örneklerin üzerinden “okuma” (kesin hüküm değil):</w:t>
      </w:r>
    </w:p>
    <w:p w14:paraId="399CCFB4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Reform/Rönesans: zihinsel uyanışın ivmesi</w:t>
      </w:r>
    </w:p>
    <w:p w14:paraId="4FD8FBD0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1789 Fransız Devrimi: zihin çağına geçiş işareti</w:t>
      </w:r>
    </w:p>
    <w:p w14:paraId="52414915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Küresel imparatorluk düzeni: kanun çağının iddiası</w:t>
      </w:r>
    </w:p>
    <w:p w14:paraId="2D9D8166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Dünya savaşları: yanlış kanunun çöküşü (hızlanan entropi)</w:t>
      </w:r>
    </w:p>
    <w:p w14:paraId="0E79E692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2000 sonrası bireysellik/hükümsüzlük: 5. boyut zayıflığı, “ahlak krizi”</w:t>
      </w:r>
    </w:p>
    <w:p w14:paraId="758F3193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Hebûn yorumu:</w:t>
      </w:r>
    </w:p>
    <w:p w14:paraId="116DB9A2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Krizler, kaynak kıtlığından çok “hüküm bozukluğu”ndan doğar.</w:t>
      </w:r>
    </w:p>
    <w:p w14:paraId="39773E9D" w14:textId="2DE9DE2C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drawing>
          <wp:inline distT="0" distB="0" distL="0" distR="0" wp14:anchorId="0421C855" wp14:editId="1686013A">
            <wp:extent cx="304800" cy="304800"/>
            <wp:effectExtent l="0" t="0" r="0" b="0"/>
            <wp:docPr id="7" name="Resim 7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0C">
        <w:rPr>
          <w:lang w:val="tr-TR"/>
        </w:rPr>
        <w:t> BÖLÜM V – TARİHTE AKIL, DUYGU, AHLAK DENGESİ</w:t>
      </w:r>
    </w:p>
    <w:p w14:paraId="2EA9E0C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5.1. Akıl–zekâ ayrımı tarih okumasında</w:t>
      </w:r>
    </w:p>
    <w:p w14:paraId="46221B86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Zekâ: araç üretir</w:t>
      </w:r>
    </w:p>
    <w:p w14:paraId="2586B19B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Akıl: yön belirler</w:t>
      </w:r>
    </w:p>
    <w:p w14:paraId="3B585D8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Zekâ büyüyüp akıl küçülürse çağ:</w:t>
      </w:r>
    </w:p>
    <w:p w14:paraId="4809C6A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lastRenderedPageBreak/>
        <w:t>“teknik güç + ahlaki çürüme” üretir.</w:t>
      </w:r>
    </w:p>
    <w:p w14:paraId="3A1806F5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5.2. Duygunun tarihsel rolü</w:t>
      </w:r>
    </w:p>
    <w:p w14:paraId="46CFC79C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Duygu bastırılırsa:</w:t>
      </w:r>
    </w:p>
    <w:p w14:paraId="2C298703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kitle psikolojisi patlar,</w:t>
      </w:r>
    </w:p>
    <w:p w14:paraId="502D41A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irrasyonel dalgalar oluşur. Duygu yönetilirse:</w:t>
      </w:r>
    </w:p>
    <w:p w14:paraId="733D5D8A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toplumsal dayanışma doğar.</w:t>
      </w:r>
    </w:p>
    <w:p w14:paraId="143A7338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5.3. Ahlak: tarih motoru</w:t>
      </w:r>
    </w:p>
    <w:p w14:paraId="2162D70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Hebûn ilkesi:</w:t>
      </w:r>
    </w:p>
    <w:p w14:paraId="67DFFD6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“Her ahlak bir hükme varır; her hüküm bir ahlak doğurur.”</w:t>
      </w:r>
    </w:p>
    <w:p w14:paraId="17098521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Bu döngü tarih boyunca işler:</w:t>
      </w:r>
    </w:p>
    <w:p w14:paraId="6345109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adil hüküm → ahlak yükselir → medeniyet doğar</w:t>
      </w:r>
    </w:p>
    <w:p w14:paraId="6B9B37C4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zulüm hükmü → ahlak düşer → medeniyet çözülür</w:t>
      </w:r>
    </w:p>
    <w:p w14:paraId="3CB74726" w14:textId="569F3D93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drawing>
          <wp:inline distT="0" distB="0" distL="0" distR="0" wp14:anchorId="1F0F0780" wp14:editId="009B086F">
            <wp:extent cx="304800" cy="304800"/>
            <wp:effectExtent l="0" t="0" r="0" b="0"/>
            <wp:docPr id="6" name="Resim 6" descr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⚙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0C">
        <w:rPr>
          <w:lang w:val="tr-TR"/>
        </w:rPr>
        <w:t> BÖLÜM VI – “HÜKÜM” VE “MEŞRUİYET”İN TARİHSEL YASASI</w:t>
      </w:r>
    </w:p>
    <w:p w14:paraId="5E315AD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6.1. Meşruiyet nedir?</w:t>
      </w:r>
    </w:p>
    <w:p w14:paraId="2676C25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Meşruiyet:</w:t>
      </w:r>
    </w:p>
    <w:p w14:paraId="350B8F4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Gücün hakka uygun görülmesidir.</w:t>
      </w:r>
    </w:p>
    <w:p w14:paraId="1785602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Sadece seçimle, sadece kılıçla, sadece ideolojiyle kalıcı olmaz. Kalıcı meşruiyet:</w:t>
      </w:r>
    </w:p>
    <w:p w14:paraId="72C78B11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eminlik,</w:t>
      </w:r>
    </w:p>
    <w:p w14:paraId="6C2EFA84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adalet,</w:t>
      </w:r>
    </w:p>
    <w:p w14:paraId="614D9728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rızık güvenliği ile oluşur.</w:t>
      </w:r>
    </w:p>
    <w:p w14:paraId="78ACC773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6.2. Hükmün bozulma işaretleri</w:t>
      </w:r>
    </w:p>
    <w:p w14:paraId="176C728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hukuk güçlünün emrine girerse</w:t>
      </w:r>
    </w:p>
    <w:p w14:paraId="36726050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ekonomi faiz/borçla köleleştirirse</w:t>
      </w:r>
    </w:p>
    <w:p w14:paraId="5CE5AA8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eğitim ezber ve propaganda olursa</w:t>
      </w:r>
    </w:p>
    <w:p w14:paraId="71CC42E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hüküm bozulmuştur.</w:t>
      </w:r>
    </w:p>
    <w:p w14:paraId="44307349" w14:textId="59DAE5A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drawing>
          <wp:inline distT="0" distB="0" distL="0" distR="0" wp14:anchorId="1E9F69D5" wp14:editId="324345D6">
            <wp:extent cx="304800" cy="304800"/>
            <wp:effectExtent l="0" t="0" r="0" b="0"/>
            <wp:docPr id="5" name="Resim 5" descr="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🧷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0C">
        <w:rPr>
          <w:lang w:val="tr-TR"/>
        </w:rPr>
        <w:t> BÖLÜM VII – MEDENİYETİN “İMZA”SI: SANAT, DİL, ŞEHİR</w:t>
      </w:r>
    </w:p>
    <w:p w14:paraId="11C394A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7.1. Estetik hafıza (Cilt 7 ile bağ)</w:t>
      </w:r>
    </w:p>
    <w:p w14:paraId="172AC268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Bir medeniyeti medeniyet yapan:</w:t>
      </w:r>
    </w:p>
    <w:p w14:paraId="5E70CD4C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kanun + ahlak kadar</w:t>
      </w:r>
    </w:p>
    <w:p w14:paraId="2880BB52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estetik imzadır.</w:t>
      </w:r>
    </w:p>
    <w:p w14:paraId="6D9F030A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lastRenderedPageBreak/>
        <w:t>Dil bozulursa düşünce bozulur; şehir bozulursa ruh bozulur.</w:t>
      </w:r>
    </w:p>
    <w:p w14:paraId="08449710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7.2. Hebûn kriteri</w:t>
      </w:r>
    </w:p>
    <w:p w14:paraId="4A64012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Medeniyet:</w:t>
      </w:r>
    </w:p>
    <w:p w14:paraId="798DF64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İnsan onurunu koruyor mu?</w:t>
      </w:r>
    </w:p>
    <w:p w14:paraId="562F222B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Rızık korkusunu azaltıyor mu?</w:t>
      </w:r>
    </w:p>
    <w:p w14:paraId="693EB3F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Adaleti güçten üstün tutuyor mu?</w:t>
      </w:r>
    </w:p>
    <w:p w14:paraId="258C1874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Bu üçü “evet”se medeniyet canlıdır.</w:t>
      </w:r>
    </w:p>
    <w:p w14:paraId="0A92D351" w14:textId="4A9B1803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drawing>
          <wp:inline distT="0" distB="0" distL="0" distR="0" wp14:anchorId="64ABC9EC" wp14:editId="15C1E5D7">
            <wp:extent cx="304800" cy="304800"/>
            <wp:effectExtent l="0" t="0" r="0" b="0"/>
            <wp:docPr id="4" name="Resim 4" descr="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🧾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0C">
        <w:rPr>
          <w:lang w:val="tr-TR"/>
        </w:rPr>
        <w:t> BÖLÜM VIII – PARADOKSLAR VE ÇIKIŞLAR</w:t>
      </w:r>
    </w:p>
    <w:p w14:paraId="3DC16E3E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8.1. “İlerleme var ama huzur yok” paradoksu</w:t>
      </w:r>
    </w:p>
    <w:p w14:paraId="40AF139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Çözüm:</w:t>
      </w:r>
    </w:p>
    <w:p w14:paraId="17907F19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ilerleme = sadece teknoloji değil,</w:t>
      </w:r>
    </w:p>
    <w:p w14:paraId="1D68AEBC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ahlak + anlam ilerlemesidir.</w:t>
      </w:r>
    </w:p>
    <w:p w14:paraId="5404352B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8.2. “Çok bilgi var ama güven yok” paradoksu</w:t>
      </w:r>
    </w:p>
    <w:p w14:paraId="4078886A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Çözüm:</w:t>
      </w:r>
    </w:p>
    <w:p w14:paraId="6B162385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bilgi artınca “eminlik” artmıyorsa,</w:t>
      </w:r>
    </w:p>
    <w:p w14:paraId="4B5D9D6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bilgi felakete dönüşür.</w:t>
      </w:r>
    </w:p>
    <w:p w14:paraId="616D3F0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8.3. “Küresellik var ama birlik yok” paradoksu</w:t>
      </w:r>
    </w:p>
    <w:p w14:paraId="3717E6FB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Çözüm:</w:t>
      </w:r>
    </w:p>
    <w:p w14:paraId="2B04F331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birlik, ticaretle değil,</w:t>
      </w:r>
    </w:p>
    <w:p w14:paraId="77F267A1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ahlak ortaklığıyla olur.</w:t>
      </w:r>
    </w:p>
    <w:p w14:paraId="297E7A9C" w14:textId="21978C98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drawing>
          <wp:inline distT="0" distB="0" distL="0" distR="0" wp14:anchorId="2D6E4FC2" wp14:editId="5940AF72">
            <wp:extent cx="304800" cy="304800"/>
            <wp:effectExtent l="0" t="0" r="0" b="0"/>
            <wp:docPr id="3" name="Resim 3" descr="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🏁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0C">
        <w:rPr>
          <w:lang w:val="tr-TR"/>
        </w:rPr>
        <w:t> SONUÇ – ZAMANIN HÜKMÜ, TARİHİN DERSİ, MEDENİYETİN ÖLÇÜSÜ</w:t>
      </w:r>
    </w:p>
    <w:p w14:paraId="74327488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Bu cildin nihai hükmü:</w:t>
      </w:r>
    </w:p>
    <w:p w14:paraId="4EAD78A5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Zaman, varlığın devam iradesidir.</w:t>
      </w:r>
    </w:p>
    <w:p w14:paraId="6FFA39DD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Tarih, insanın fıtratla imtihanının kaydıdır.</w:t>
      </w:r>
    </w:p>
    <w:p w14:paraId="6D8AD103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Medeniyet, ahlakın kurumlaşmış hâlidir.</w:t>
      </w:r>
    </w:p>
    <w:p w14:paraId="01815881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Ahlak zayıflarsa zaman daralır; hüküm bozulursa tarih kriz üretir.</w:t>
      </w:r>
    </w:p>
    <w:p w14:paraId="5A2CFC71" w14:textId="66FFBD1E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drawing>
          <wp:inline distT="0" distB="0" distL="0" distR="0" wp14:anchorId="7BF683F7" wp14:editId="0058BAB7">
            <wp:extent cx="304800" cy="304800"/>
            <wp:effectExtent l="0" t="0" r="0" b="0"/>
            <wp:docPr id="2" name="Resim 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0C">
        <w:rPr>
          <w:lang w:val="tr-TR"/>
        </w:rPr>
        <w:t> CİLT 9 MÜHRÜ (DEĞİŞMEZ)</w:t>
      </w:r>
    </w:p>
    <w:p w14:paraId="0ADD6202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Bu metin:</w:t>
      </w:r>
    </w:p>
    <w:p w14:paraId="6A059554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iddia değil, yol gösterici modeldir,</w:t>
      </w:r>
    </w:p>
    <w:p w14:paraId="733EB6F7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lastRenderedPageBreak/>
        <w:t>Hebûn &amp; Zanabûn çekirdeğine sadıktır,</w:t>
      </w:r>
    </w:p>
    <w:p w14:paraId="47FE20CF" w14:textId="77777777" w:rsidR="00B8020C" w:rsidRPr="00B8020C" w:rsidRDefault="00B8020C" w:rsidP="00B8020C">
      <w:pPr>
        <w:ind w:firstLine="708"/>
        <w:rPr>
          <w:lang w:val="tr-TR"/>
        </w:rPr>
      </w:pPr>
      <w:r w:rsidRPr="00B8020C">
        <w:rPr>
          <w:lang w:val="tr-TR"/>
        </w:rPr>
        <w:t>“hakikat butonu” yaklaşımıyla: tanım + açıklama + zorunlu sonuç prensibiyle yazılmıştır.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7284"/>
      </w:tblGrid>
      <w:tr w:rsidR="00B8020C" w:rsidRPr="00B8020C" w14:paraId="432AEA60" w14:textId="77777777" w:rsidTr="00B8020C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B3D816F" w14:textId="7A8DD89A" w:rsidR="00B8020C" w:rsidRPr="00B8020C" w:rsidRDefault="00B8020C" w:rsidP="00B8020C">
            <w:pPr>
              <w:ind w:firstLine="708"/>
              <w:rPr>
                <w:lang w:val="tr-TR"/>
              </w:rPr>
            </w:pPr>
            <w:r w:rsidRPr="00B8020C">
              <w:rPr>
                <w:lang w:val="tr-TR"/>
              </w:rPr>
              <w:drawing>
                <wp:inline distT="0" distB="0" distL="0" distR="0" wp14:anchorId="3B31874D" wp14:editId="7C2D8D2C">
                  <wp:extent cx="381000" cy="38100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g8_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B702C" w14:textId="77777777" w:rsidR="00B8020C" w:rsidRPr="00B8020C" w:rsidRDefault="00B8020C" w:rsidP="00B8020C">
            <w:pPr>
              <w:ind w:firstLine="708"/>
              <w:rPr>
                <w:lang w:val="tr-TR"/>
              </w:rPr>
            </w:pPr>
          </w:p>
        </w:tc>
      </w:tr>
    </w:tbl>
    <w:p w14:paraId="05FAEEAF" w14:textId="77777777" w:rsidR="00B8020C" w:rsidRPr="00B8020C" w:rsidRDefault="00B8020C" w:rsidP="00B8020C">
      <w:pPr>
        <w:ind w:firstLine="708"/>
      </w:pPr>
    </w:p>
    <w:sectPr w:rsidR="00B8020C" w:rsidRPr="00B802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A8"/>
    <w:rsid w:val="00117A58"/>
    <w:rsid w:val="007F6698"/>
    <w:rsid w:val="00B534A8"/>
    <w:rsid w:val="00B8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BF01"/>
  <w15:chartTrackingRefBased/>
  <w15:docId w15:val="{10E92D6D-8D17-4744-8DD8-871545BD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9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0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801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3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63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6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64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05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28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99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21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70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86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43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9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06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89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41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85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16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84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26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97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01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61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68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11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7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28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36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3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98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61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59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31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90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65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49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2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36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57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6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53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00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32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48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16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91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02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42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05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49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63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58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92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9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7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76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77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17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14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11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97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02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73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05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70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87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45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36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06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83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97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1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87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82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99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81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70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30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00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21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5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2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77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63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2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77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6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92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41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34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40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63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1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67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5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05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8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84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9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15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3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5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18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0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6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02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08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57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19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64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68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52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7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85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57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09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11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05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0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33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44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95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74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4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70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36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87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46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46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17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33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81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65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45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37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04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59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27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02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98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45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78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1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52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69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72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11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6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85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87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6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68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24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01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34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7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69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29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06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24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75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39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5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52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71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19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58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90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8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16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94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72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63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15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73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22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21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2026-01-14T12:07:00Z</dcterms:created>
  <dcterms:modified xsi:type="dcterms:W3CDTF">2026-01-14T12:07:00Z</dcterms:modified>
</cp:coreProperties>
</file>