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2689" w14:textId="780BE157" w:rsidR="001A5077" w:rsidRPr="00367BBB" w:rsidRDefault="00367BBB" w:rsidP="00367BBB">
      <w:pPr>
        <w:jc w:val="center"/>
        <w:rPr>
          <w:b/>
          <w:bCs/>
          <w:sz w:val="52"/>
          <w:szCs w:val="48"/>
        </w:rPr>
      </w:pPr>
      <w:r w:rsidRPr="00367BBB">
        <w:rPr>
          <w:b/>
          <w:bCs/>
          <w:sz w:val="52"/>
          <w:szCs w:val="48"/>
        </w:rPr>
        <w:t>Venture Forward by GoDaddy</w:t>
      </w:r>
    </w:p>
    <w:p w14:paraId="7AD0B233" w14:textId="716DED35" w:rsidR="00367BBB" w:rsidRPr="00367BBB" w:rsidRDefault="00367BBB" w:rsidP="00367BBB">
      <w:pPr>
        <w:jc w:val="center"/>
        <w:rPr>
          <w:i/>
          <w:iCs/>
          <w:sz w:val="28"/>
          <w:szCs w:val="24"/>
        </w:rPr>
      </w:pPr>
      <w:r w:rsidRPr="00367BBB">
        <w:rPr>
          <w:i/>
          <w:iCs/>
          <w:sz w:val="28"/>
          <w:szCs w:val="24"/>
        </w:rPr>
        <w:t>Data Dictionary</w:t>
      </w:r>
    </w:p>
    <w:p w14:paraId="2131FFBE" w14:textId="3CDF14D3" w:rsidR="00367BBB" w:rsidRDefault="00367BBB" w:rsidP="00367BBB">
      <w:pPr>
        <w:jc w:val="center"/>
        <w:rPr>
          <w:sz w:val="18"/>
          <w:szCs w:val="16"/>
        </w:rPr>
      </w:pPr>
      <w:r w:rsidRPr="00367BBB">
        <w:rPr>
          <w:sz w:val="18"/>
          <w:szCs w:val="16"/>
        </w:rPr>
        <w:t>Updated Spring 2021</w:t>
      </w:r>
    </w:p>
    <w:p w14:paraId="71014CDE" w14:textId="3F4C55C2" w:rsidR="000366A0" w:rsidRDefault="000366A0" w:rsidP="00367BBB">
      <w:r>
        <w:t xml:space="preserve">Each level of analysis is contained in its own .csv file. These files are in </w:t>
      </w:r>
      <w:r w:rsidR="00D724F4">
        <w:t>wide</w:t>
      </w:r>
      <w:r>
        <w:t xml:space="preserve"> format</w:t>
      </w:r>
      <w:r w:rsidR="00137427">
        <w:t>.</w:t>
      </w:r>
      <w:r w:rsidR="00297773">
        <w:t xml:space="preserve"> </w:t>
      </w:r>
    </w:p>
    <w:p w14:paraId="5C48562C" w14:textId="2ABD34FA" w:rsidR="00297773" w:rsidRPr="00297773" w:rsidRDefault="00297773" w:rsidP="00367BBB">
      <w:r w:rsidRPr="00637504">
        <w:rPr>
          <w:b/>
          <w:bCs/>
          <w:i/>
          <w:iCs/>
          <w:u w:val="single"/>
        </w:rPr>
        <w:t>Important</w:t>
      </w:r>
      <w:r w:rsidR="00637504" w:rsidRPr="00637504">
        <w:rPr>
          <w:b/>
          <w:bCs/>
          <w:i/>
          <w:iCs/>
          <w:u w:val="single"/>
        </w:rPr>
        <w:t xml:space="preserve"> methodological note</w:t>
      </w:r>
      <w:r>
        <w:t xml:space="preserve">: our research team and academic partners treat outliers in different ways when conducting research. These outlier treatments have </w:t>
      </w:r>
      <w:r>
        <w:rPr>
          <w:b/>
          <w:bCs/>
        </w:rPr>
        <w:t>NOT</w:t>
      </w:r>
      <w:r>
        <w:t xml:space="preserve"> been applied to the source files contained in this download, allowing users to apply their own outlier treatment (if they want one at all).</w:t>
      </w:r>
      <w:r w:rsidR="00B809A6">
        <w:t xml:space="preserve"> For this reason, descriptive statistics </w:t>
      </w:r>
      <w:r w:rsidR="00D87036">
        <w:t>derived from</w:t>
      </w:r>
      <w:r w:rsidR="00B809A6">
        <w:t xml:space="preserve"> the untreated data contained in this file will not align with numbers presented on the Venture Forward website.</w:t>
      </w:r>
      <w:r>
        <w:t xml:space="preserve"> For more information regarding outlier treatment, and</w:t>
      </w:r>
      <w:r w:rsidR="00472C01">
        <w:t xml:space="preserve">/or to request an outlier-treated version of the data, please reach out directly to the Venture Forward research team at </w:t>
      </w:r>
      <w:hyperlink r:id="rId4" w:history="1">
        <w:r w:rsidR="005D456A" w:rsidRPr="006723CE">
          <w:rPr>
            <w:rStyle w:val="Hyperlink"/>
          </w:rPr>
          <w:t>ventureforward@godaddy.com</w:t>
        </w:r>
      </w:hyperlink>
      <w:r w:rsidR="005D456A">
        <w:t xml:space="preserve">. </w:t>
      </w:r>
    </w:p>
    <w:p w14:paraId="3877A815" w14:textId="4151ADEB" w:rsidR="000366A0" w:rsidRDefault="00007629" w:rsidP="00367BBB">
      <w:r>
        <w:t xml:space="preserve">Below you will find a list of variables in each file, a short description, and the source. Please reach out to the research team with </w:t>
      </w:r>
      <w:proofErr w:type="gramStart"/>
      <w:r>
        <w:t>any and all</w:t>
      </w:r>
      <w:proofErr w:type="gramEnd"/>
      <w:r>
        <w:t xml:space="preserve"> additional questions.</w:t>
      </w:r>
    </w:p>
    <w:p w14:paraId="0AF6A556" w14:textId="60273E39" w:rsidR="00B809A6" w:rsidRDefault="00B809A6" w:rsidP="00367BBB"/>
    <w:p w14:paraId="5C8AECA5" w14:textId="58A54AE9" w:rsidR="00007629" w:rsidRDefault="00007629" w:rsidP="00367BBB"/>
    <w:p w14:paraId="5837A5BC" w14:textId="69DDF602" w:rsidR="00007629" w:rsidRDefault="00007629" w:rsidP="00367BBB"/>
    <w:p w14:paraId="0333AD55" w14:textId="708D39FE" w:rsidR="00007629" w:rsidRDefault="00007629" w:rsidP="00367BBB"/>
    <w:p w14:paraId="74F6B43E" w14:textId="376D9FBE" w:rsidR="00007629" w:rsidRDefault="00007629" w:rsidP="00367BBB"/>
    <w:p w14:paraId="03960130" w14:textId="2CB834A7" w:rsidR="00007629" w:rsidRDefault="00007629" w:rsidP="00367BBB"/>
    <w:p w14:paraId="31C8B692" w14:textId="7C10D8F3" w:rsidR="00007629" w:rsidRDefault="00007629" w:rsidP="00367BBB"/>
    <w:p w14:paraId="2D5FE148" w14:textId="6E82CE4A" w:rsidR="00007629" w:rsidRDefault="00007629" w:rsidP="00367BBB"/>
    <w:p w14:paraId="2B30CC6B" w14:textId="0A1EEF21" w:rsidR="00D724F4" w:rsidRDefault="00D724F4" w:rsidP="00367BBB"/>
    <w:p w14:paraId="5FC878B0" w14:textId="77777777" w:rsidR="00D724F4" w:rsidRDefault="00D724F4" w:rsidP="00367BBB"/>
    <w:p w14:paraId="3CB37012" w14:textId="4ADF26A6" w:rsidR="00007629" w:rsidRDefault="00007629" w:rsidP="00367BBB"/>
    <w:p w14:paraId="6DDA8C6A" w14:textId="74499DBD" w:rsidR="00007629" w:rsidRDefault="00007629" w:rsidP="00367BBB"/>
    <w:p w14:paraId="473556C4" w14:textId="644E87D3" w:rsidR="00007629" w:rsidRDefault="00007629" w:rsidP="00367BBB"/>
    <w:p w14:paraId="164D4C13" w14:textId="429E729B" w:rsidR="00367BBB" w:rsidRPr="00A30EE9" w:rsidRDefault="00367BBB" w:rsidP="00367BBB">
      <w:pPr>
        <w:rPr>
          <w:sz w:val="48"/>
          <w:szCs w:val="44"/>
        </w:rPr>
      </w:pPr>
      <w:r w:rsidRPr="00A30EE9">
        <w:rPr>
          <w:sz w:val="48"/>
          <w:szCs w:val="44"/>
        </w:rPr>
        <w:lastRenderedPageBreak/>
        <w:t>County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469"/>
        <w:gridCol w:w="4086"/>
        <w:gridCol w:w="3605"/>
      </w:tblGrid>
      <w:tr w:rsidR="00CD3BA4" w14:paraId="1124E67B" w14:textId="77777777" w:rsidTr="00E1669A">
        <w:trPr>
          <w:trHeight w:val="379"/>
        </w:trPr>
        <w:tc>
          <w:tcPr>
            <w:tcW w:w="3469" w:type="dxa"/>
          </w:tcPr>
          <w:p w14:paraId="600ABFE5" w14:textId="77777777" w:rsidR="00CD3BA4" w:rsidRPr="00137427" w:rsidRDefault="00CD3BA4" w:rsidP="00E1669A">
            <w:pPr>
              <w:jc w:val="center"/>
              <w:rPr>
                <w:b/>
                <w:bCs/>
                <w:sz w:val="36"/>
                <w:szCs w:val="32"/>
              </w:rPr>
            </w:pPr>
            <w:r w:rsidRPr="00137427">
              <w:rPr>
                <w:b/>
                <w:bCs/>
                <w:sz w:val="36"/>
                <w:szCs w:val="32"/>
              </w:rPr>
              <w:t>Variable</w:t>
            </w:r>
          </w:p>
        </w:tc>
        <w:tc>
          <w:tcPr>
            <w:tcW w:w="4086" w:type="dxa"/>
          </w:tcPr>
          <w:p w14:paraId="1770A051" w14:textId="77777777" w:rsidR="00CD3BA4" w:rsidRPr="00137427" w:rsidRDefault="00CD3BA4" w:rsidP="00E1669A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Description</w:t>
            </w:r>
          </w:p>
        </w:tc>
        <w:tc>
          <w:tcPr>
            <w:tcW w:w="3605" w:type="dxa"/>
          </w:tcPr>
          <w:p w14:paraId="56C2FB06" w14:textId="77777777" w:rsidR="00CD3BA4" w:rsidRPr="00137427" w:rsidRDefault="00CD3BA4" w:rsidP="00E1669A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Source</w:t>
            </w:r>
          </w:p>
        </w:tc>
      </w:tr>
      <w:tr w:rsidR="00CD3BA4" w14:paraId="63268CB6" w14:textId="77777777" w:rsidTr="00E1669A">
        <w:trPr>
          <w:trHeight w:val="366"/>
        </w:trPr>
        <w:tc>
          <w:tcPr>
            <w:tcW w:w="3469" w:type="dxa"/>
          </w:tcPr>
          <w:p w14:paraId="4FAAB33B" w14:textId="37DA5A4A" w:rsidR="00CD3BA4" w:rsidRPr="00907220" w:rsidRDefault="00CD3BA4" w:rsidP="00CD3BA4">
            <w:pPr>
              <w:jc w:val="center"/>
              <w:rPr>
                <w:i/>
                <w:iCs/>
              </w:rPr>
            </w:pPr>
            <w:proofErr w:type="spellStart"/>
            <w:r>
              <w:t>cfips</w:t>
            </w:r>
            <w:proofErr w:type="spellEnd"/>
          </w:p>
        </w:tc>
        <w:tc>
          <w:tcPr>
            <w:tcW w:w="4086" w:type="dxa"/>
          </w:tcPr>
          <w:p w14:paraId="62AAC143" w14:textId="33D0B6BA" w:rsidR="00CD3BA4" w:rsidRPr="00137427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Unique County Federal Information Processing Standards (</w:t>
            </w:r>
            <w:proofErr w:type="spellStart"/>
            <w:r>
              <w:rPr>
                <w:sz w:val="16"/>
                <w:szCs w:val="14"/>
              </w:rPr>
              <w:t>CFIPS</w:t>
            </w:r>
            <w:proofErr w:type="spellEnd"/>
            <w:r>
              <w:rPr>
                <w:sz w:val="16"/>
                <w:szCs w:val="14"/>
              </w:rPr>
              <w:t>) code assigned by U.S. federal government to every county in the United States, including territories.</w:t>
            </w:r>
          </w:p>
        </w:tc>
        <w:tc>
          <w:tcPr>
            <w:tcW w:w="3605" w:type="dxa"/>
          </w:tcPr>
          <w:p w14:paraId="4BC51795" w14:textId="1286B53C" w:rsidR="00CD3BA4" w:rsidRPr="00137427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D3BA4" w14:paraId="3A4FF99E" w14:textId="77777777" w:rsidTr="00E1669A">
        <w:trPr>
          <w:trHeight w:val="379"/>
        </w:trPr>
        <w:tc>
          <w:tcPr>
            <w:tcW w:w="3469" w:type="dxa"/>
          </w:tcPr>
          <w:p w14:paraId="58F11D4C" w14:textId="622F73D9" w:rsidR="00CD3BA4" w:rsidRPr="00907220" w:rsidRDefault="00CD3BA4" w:rsidP="00CD3BA4">
            <w:pPr>
              <w:jc w:val="center"/>
              <w:rPr>
                <w:i/>
                <w:iCs/>
              </w:rPr>
            </w:pPr>
            <w:r>
              <w:t>county</w:t>
            </w:r>
          </w:p>
        </w:tc>
        <w:tc>
          <w:tcPr>
            <w:tcW w:w="4086" w:type="dxa"/>
          </w:tcPr>
          <w:p w14:paraId="34FDDE20" w14:textId="237F6632" w:rsidR="00CD3BA4" w:rsidRPr="00137427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Name of the county.</w:t>
            </w:r>
          </w:p>
        </w:tc>
        <w:tc>
          <w:tcPr>
            <w:tcW w:w="3605" w:type="dxa"/>
          </w:tcPr>
          <w:p w14:paraId="0A3F5296" w14:textId="7AF06766" w:rsidR="00CD3BA4" w:rsidRPr="00137427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D3BA4" w14:paraId="0E747EB2" w14:textId="77777777" w:rsidTr="00E1669A">
        <w:trPr>
          <w:trHeight w:val="379"/>
        </w:trPr>
        <w:tc>
          <w:tcPr>
            <w:tcW w:w="3469" w:type="dxa"/>
          </w:tcPr>
          <w:p w14:paraId="407DE351" w14:textId="44ED12FA" w:rsidR="00CD3BA4" w:rsidRDefault="00CD3BA4" w:rsidP="00CD3BA4">
            <w:pPr>
              <w:jc w:val="center"/>
            </w:pPr>
            <w:r>
              <w:t>state</w:t>
            </w:r>
          </w:p>
        </w:tc>
        <w:tc>
          <w:tcPr>
            <w:tcW w:w="4086" w:type="dxa"/>
          </w:tcPr>
          <w:p w14:paraId="388660C9" w14:textId="32191DFE" w:rsidR="00CD3BA4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Name of the state the county is in.</w:t>
            </w:r>
          </w:p>
        </w:tc>
        <w:tc>
          <w:tcPr>
            <w:tcW w:w="3605" w:type="dxa"/>
          </w:tcPr>
          <w:p w14:paraId="163BC801" w14:textId="0B70539C" w:rsidR="00CD3BA4" w:rsidRDefault="00CD3BA4" w:rsidP="00CD3BA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D3BA4" w14:paraId="35350A6F" w14:textId="77777777" w:rsidTr="00E1669A">
        <w:trPr>
          <w:trHeight w:val="379"/>
        </w:trPr>
        <w:tc>
          <w:tcPr>
            <w:tcW w:w="3469" w:type="dxa"/>
          </w:tcPr>
          <w:p w14:paraId="2927F3EC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*_</w:t>
            </w:r>
            <w:proofErr w:type="spellStart"/>
            <w:r w:rsidRPr="00907220">
              <w:rPr>
                <w:i/>
                <w:iCs/>
              </w:rPr>
              <w:t>venturedensity</w:t>
            </w:r>
            <w:proofErr w:type="spellEnd"/>
          </w:p>
        </w:tc>
        <w:tc>
          <w:tcPr>
            <w:tcW w:w="4086" w:type="dxa"/>
          </w:tcPr>
          <w:p w14:paraId="7CC5702F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Number of ventures per 100 ppl. for the noted </w:t>
            </w:r>
            <w:proofErr w:type="gramStart"/>
            <w:r>
              <w:rPr>
                <w:sz w:val="16"/>
                <w:szCs w:val="14"/>
              </w:rPr>
              <w:t>time period</w:t>
            </w:r>
            <w:proofErr w:type="gramEnd"/>
            <w:r>
              <w:rPr>
                <w:sz w:val="16"/>
                <w:szCs w:val="14"/>
              </w:rPr>
              <w:t xml:space="preserve"> (quarterly beginning </w:t>
            </w:r>
            <w:proofErr w:type="spellStart"/>
            <w:r>
              <w:rPr>
                <w:sz w:val="16"/>
                <w:szCs w:val="14"/>
              </w:rPr>
              <w:t>Q4</w:t>
            </w:r>
            <w:proofErr w:type="spellEnd"/>
            <w:r>
              <w:rPr>
                <w:sz w:val="16"/>
                <w:szCs w:val="14"/>
              </w:rPr>
              <w:t xml:space="preserve"> ’18).</w:t>
            </w:r>
          </w:p>
        </w:tc>
        <w:tc>
          <w:tcPr>
            <w:tcW w:w="3605" w:type="dxa"/>
          </w:tcPr>
          <w:p w14:paraId="3D6DB7E8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CD3BA4" w14:paraId="760465AE" w14:textId="77777777" w:rsidTr="00E1669A">
        <w:trPr>
          <w:trHeight w:val="379"/>
        </w:trPr>
        <w:tc>
          <w:tcPr>
            <w:tcW w:w="3469" w:type="dxa"/>
          </w:tcPr>
          <w:p w14:paraId="4EDE2548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*_</w:t>
            </w:r>
            <w:proofErr w:type="spellStart"/>
            <w:r w:rsidRPr="00907220">
              <w:rPr>
                <w:i/>
                <w:iCs/>
              </w:rPr>
              <w:t>highlyactiveventuredensity</w:t>
            </w:r>
            <w:proofErr w:type="spellEnd"/>
          </w:p>
        </w:tc>
        <w:tc>
          <w:tcPr>
            <w:tcW w:w="4086" w:type="dxa"/>
          </w:tcPr>
          <w:p w14:paraId="3B4916A5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Number of highly active ventures per 100 ppl. for the noted </w:t>
            </w:r>
            <w:proofErr w:type="gramStart"/>
            <w:r>
              <w:rPr>
                <w:sz w:val="16"/>
                <w:szCs w:val="14"/>
              </w:rPr>
              <w:t>time period</w:t>
            </w:r>
            <w:proofErr w:type="gramEnd"/>
            <w:r>
              <w:rPr>
                <w:sz w:val="16"/>
                <w:szCs w:val="14"/>
              </w:rPr>
              <w:t xml:space="preserve"> (quarterly beginning </w:t>
            </w:r>
            <w:proofErr w:type="spellStart"/>
            <w:r>
              <w:rPr>
                <w:sz w:val="16"/>
                <w:szCs w:val="14"/>
              </w:rPr>
              <w:t>Q4</w:t>
            </w:r>
            <w:proofErr w:type="spellEnd"/>
            <w:r>
              <w:rPr>
                <w:sz w:val="16"/>
                <w:szCs w:val="14"/>
              </w:rPr>
              <w:t xml:space="preserve"> ’18). These are ventures scoring 3 or 4 on the 4-cluster model used to identify and classify ventures.</w:t>
            </w:r>
          </w:p>
        </w:tc>
        <w:tc>
          <w:tcPr>
            <w:tcW w:w="3605" w:type="dxa"/>
          </w:tcPr>
          <w:p w14:paraId="7DF68976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CD3BA4" w14:paraId="78DB82A3" w14:textId="77777777" w:rsidTr="00E1669A">
        <w:trPr>
          <w:trHeight w:val="379"/>
        </w:trPr>
        <w:tc>
          <w:tcPr>
            <w:tcW w:w="3469" w:type="dxa"/>
          </w:tcPr>
          <w:p w14:paraId="21BDC11E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</w:t>
            </w:r>
            <w:r w:rsidRPr="00907220">
              <w:rPr>
                <w:i/>
                <w:iCs/>
              </w:rPr>
              <w:t>rosperity11</w:t>
            </w:r>
            <w:proofErr w:type="spellEnd"/>
            <w:r w:rsidRPr="00907220">
              <w:rPr>
                <w:i/>
                <w:iCs/>
              </w:rPr>
              <w:t xml:space="preserve"> &amp; </w:t>
            </w:r>
            <w:proofErr w:type="spellStart"/>
            <w:r w:rsidRPr="00907220">
              <w:rPr>
                <w:i/>
                <w:iCs/>
              </w:rPr>
              <w:t>prosperity19</w:t>
            </w:r>
            <w:proofErr w:type="spellEnd"/>
          </w:p>
        </w:tc>
        <w:tc>
          <w:tcPr>
            <w:tcW w:w="4086" w:type="dxa"/>
          </w:tcPr>
          <w:p w14:paraId="07A66DF3" w14:textId="77777777" w:rsidR="00CD3BA4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2011 and 2019 replication of </w:t>
            </w:r>
            <w:r>
              <w:rPr>
                <w:i/>
                <w:iCs/>
                <w:sz w:val="16"/>
                <w:szCs w:val="14"/>
              </w:rPr>
              <w:t xml:space="preserve">Economic Innovation Group’s </w:t>
            </w:r>
            <w:r>
              <w:rPr>
                <w:sz w:val="16"/>
                <w:szCs w:val="14"/>
              </w:rPr>
              <w:t>annual Distressed Community Index, inverted to represent positive economic outcomes</w:t>
            </w:r>
          </w:p>
        </w:tc>
        <w:tc>
          <w:tcPr>
            <w:tcW w:w="3605" w:type="dxa"/>
          </w:tcPr>
          <w:p w14:paraId="16D4B2C9" w14:textId="77777777" w:rsidR="00CD3BA4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CD3BA4" w14:paraId="718107C9" w14:textId="77777777" w:rsidTr="00E1669A">
        <w:trPr>
          <w:trHeight w:val="379"/>
        </w:trPr>
        <w:tc>
          <w:tcPr>
            <w:tcW w:w="3469" w:type="dxa"/>
          </w:tcPr>
          <w:p w14:paraId="182F9B35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recovery</w:t>
            </w:r>
          </w:p>
        </w:tc>
        <w:tc>
          <w:tcPr>
            <w:tcW w:w="4086" w:type="dxa"/>
          </w:tcPr>
          <w:p w14:paraId="7561FA9F" w14:textId="77777777" w:rsidR="00CD3BA4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Difference in annual estimated prosperity scores (2011-2019)</w:t>
            </w:r>
          </w:p>
        </w:tc>
        <w:tc>
          <w:tcPr>
            <w:tcW w:w="3605" w:type="dxa"/>
          </w:tcPr>
          <w:p w14:paraId="4AD892B5" w14:textId="77777777" w:rsidR="00CD3BA4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CD3BA4" w14:paraId="01D93630" w14:textId="77777777" w:rsidTr="00E1669A">
        <w:trPr>
          <w:trHeight w:val="366"/>
        </w:trPr>
        <w:tc>
          <w:tcPr>
            <w:tcW w:w="3469" w:type="dxa"/>
          </w:tcPr>
          <w:p w14:paraId="7E14A8A5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medinc</w:t>
            </w:r>
            <w:proofErr w:type="spellEnd"/>
            <w:r w:rsidRPr="00907220">
              <w:rPr>
                <w:i/>
                <w:iCs/>
              </w:rPr>
              <w:t>*</w:t>
            </w:r>
          </w:p>
        </w:tc>
        <w:tc>
          <w:tcPr>
            <w:tcW w:w="4086" w:type="dxa"/>
          </w:tcPr>
          <w:p w14:paraId="7996C13E" w14:textId="77777777" w:rsidR="00CD3BA4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Median household income for the noted </w:t>
            </w:r>
            <w:proofErr w:type="gramStart"/>
            <w:r>
              <w:rPr>
                <w:sz w:val="16"/>
                <w:szCs w:val="14"/>
              </w:rPr>
              <w:t>time period</w:t>
            </w:r>
            <w:proofErr w:type="gramEnd"/>
            <w:r>
              <w:rPr>
                <w:sz w:val="16"/>
                <w:szCs w:val="14"/>
              </w:rPr>
              <w:t xml:space="preserve"> (2016-2019).</w:t>
            </w:r>
          </w:p>
        </w:tc>
        <w:tc>
          <w:tcPr>
            <w:tcW w:w="3605" w:type="dxa"/>
          </w:tcPr>
          <w:p w14:paraId="278058BE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  <w:tr w:rsidR="00CD3BA4" w14:paraId="700342A3" w14:textId="77777777" w:rsidTr="00E1669A">
        <w:trPr>
          <w:trHeight w:val="379"/>
        </w:trPr>
        <w:tc>
          <w:tcPr>
            <w:tcW w:w="3469" w:type="dxa"/>
          </w:tcPr>
          <w:p w14:paraId="050075A8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change_medinc_1619</w:t>
            </w:r>
            <w:proofErr w:type="spellEnd"/>
          </w:p>
        </w:tc>
        <w:tc>
          <w:tcPr>
            <w:tcW w:w="4086" w:type="dxa"/>
          </w:tcPr>
          <w:p w14:paraId="7DAE5392" w14:textId="77777777" w:rsidR="00CD3BA4" w:rsidRPr="008E7899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Change in median household income between 2016-2019.</w:t>
            </w:r>
          </w:p>
        </w:tc>
        <w:tc>
          <w:tcPr>
            <w:tcW w:w="3605" w:type="dxa"/>
          </w:tcPr>
          <w:p w14:paraId="23C8F8F3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  <w:tr w:rsidR="00CD3BA4" w14:paraId="5ED15F83" w14:textId="77777777" w:rsidTr="00E1669A">
        <w:trPr>
          <w:trHeight w:val="379"/>
        </w:trPr>
        <w:tc>
          <w:tcPr>
            <w:tcW w:w="3469" w:type="dxa"/>
          </w:tcPr>
          <w:p w14:paraId="4820688A" w14:textId="77777777" w:rsidR="00CD3BA4" w:rsidRPr="00907220" w:rsidRDefault="00CD3BA4" w:rsidP="00E1669A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pct_* (race/ethnicity)</w:t>
            </w:r>
          </w:p>
        </w:tc>
        <w:tc>
          <w:tcPr>
            <w:tcW w:w="4086" w:type="dxa"/>
          </w:tcPr>
          <w:p w14:paraId="1E5763C1" w14:textId="77777777" w:rsidR="00CD3BA4" w:rsidRPr="00137427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Percentage of population identifying with each of the noted racial/ethnic categories – Black, Hispanic, Native American, Asian, Pacific Islander, White.</w:t>
            </w:r>
          </w:p>
        </w:tc>
        <w:tc>
          <w:tcPr>
            <w:tcW w:w="3605" w:type="dxa"/>
          </w:tcPr>
          <w:p w14:paraId="199AB2FD" w14:textId="77777777" w:rsidR="00CD3BA4" w:rsidRPr="00100E65" w:rsidRDefault="00CD3BA4" w:rsidP="00E1669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</w:tbl>
    <w:p w14:paraId="645A2704" w14:textId="11FC701D" w:rsidR="00F60C72" w:rsidRDefault="00F60C72" w:rsidP="00367BBB"/>
    <w:p w14:paraId="1C65D3EA" w14:textId="0B24CB06" w:rsidR="00F60C72" w:rsidRDefault="00F60C72" w:rsidP="00367BBB"/>
    <w:p w14:paraId="1D8D543D" w14:textId="51E55E55" w:rsidR="00007629" w:rsidRDefault="00007629" w:rsidP="00367BBB"/>
    <w:p w14:paraId="6760C93B" w14:textId="0714BAEC" w:rsidR="00007629" w:rsidRDefault="00007629" w:rsidP="00367BBB"/>
    <w:p w14:paraId="4153A515" w14:textId="40F0FD0E" w:rsidR="00007629" w:rsidRDefault="00007629" w:rsidP="00367BBB"/>
    <w:p w14:paraId="7828E789" w14:textId="544770B9" w:rsidR="00007629" w:rsidRDefault="00007629" w:rsidP="00367BBB"/>
    <w:p w14:paraId="53BC5015" w14:textId="7A591E86" w:rsidR="00007629" w:rsidRDefault="00007629" w:rsidP="00367BBB"/>
    <w:p w14:paraId="47F50645" w14:textId="1DFE6E31" w:rsidR="00007629" w:rsidRDefault="00007629" w:rsidP="00367BBB"/>
    <w:p w14:paraId="44D62192" w14:textId="77777777" w:rsidR="00007629" w:rsidRDefault="00007629" w:rsidP="00367BBB"/>
    <w:p w14:paraId="099A5D48" w14:textId="01F93C39" w:rsidR="00367BBB" w:rsidRDefault="00367BBB" w:rsidP="00367BBB"/>
    <w:p w14:paraId="5187F880" w14:textId="4CD9D77B" w:rsidR="00367BBB" w:rsidRPr="00FA703E" w:rsidRDefault="00367BBB" w:rsidP="00367BBB">
      <w:pPr>
        <w:rPr>
          <w:sz w:val="48"/>
          <w:szCs w:val="44"/>
        </w:rPr>
      </w:pPr>
      <w:proofErr w:type="spellStart"/>
      <w:r w:rsidRPr="00FA703E">
        <w:rPr>
          <w:sz w:val="48"/>
          <w:szCs w:val="44"/>
        </w:rPr>
        <w:t>CBSA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469"/>
        <w:gridCol w:w="4086"/>
        <w:gridCol w:w="3605"/>
      </w:tblGrid>
      <w:tr w:rsidR="00C2663E" w14:paraId="2D6FFA7A" w14:textId="77777777" w:rsidTr="00230ADA">
        <w:trPr>
          <w:trHeight w:val="379"/>
        </w:trPr>
        <w:tc>
          <w:tcPr>
            <w:tcW w:w="3469" w:type="dxa"/>
          </w:tcPr>
          <w:p w14:paraId="2C12D2F3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 w:rsidRPr="00137427">
              <w:rPr>
                <w:b/>
                <w:bCs/>
                <w:sz w:val="36"/>
                <w:szCs w:val="32"/>
              </w:rPr>
              <w:t>Variable</w:t>
            </w:r>
          </w:p>
        </w:tc>
        <w:tc>
          <w:tcPr>
            <w:tcW w:w="4086" w:type="dxa"/>
          </w:tcPr>
          <w:p w14:paraId="69338B58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Description</w:t>
            </w:r>
          </w:p>
        </w:tc>
        <w:tc>
          <w:tcPr>
            <w:tcW w:w="3605" w:type="dxa"/>
          </w:tcPr>
          <w:p w14:paraId="79758B5A" w14:textId="77777777" w:rsidR="000C60B8" w:rsidRPr="00137427" w:rsidRDefault="000C60B8" w:rsidP="00AB7207">
            <w:pPr>
              <w:jc w:val="center"/>
              <w:rPr>
                <w:b/>
                <w:bCs/>
                <w:sz w:val="36"/>
                <w:szCs w:val="32"/>
              </w:rPr>
            </w:pPr>
            <w:r>
              <w:rPr>
                <w:b/>
                <w:bCs/>
                <w:sz w:val="36"/>
                <w:szCs w:val="32"/>
              </w:rPr>
              <w:t>Source</w:t>
            </w:r>
          </w:p>
        </w:tc>
      </w:tr>
      <w:tr w:rsidR="00C2663E" w14:paraId="48EA8389" w14:textId="77777777" w:rsidTr="00230ADA">
        <w:trPr>
          <w:trHeight w:val="366"/>
        </w:trPr>
        <w:tc>
          <w:tcPr>
            <w:tcW w:w="3469" w:type="dxa"/>
          </w:tcPr>
          <w:p w14:paraId="3BE8DAAF" w14:textId="77777777" w:rsidR="000C60B8" w:rsidRPr="00907220" w:rsidRDefault="000C60B8" w:rsidP="00907220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cbsa</w:t>
            </w:r>
            <w:proofErr w:type="spellEnd"/>
          </w:p>
        </w:tc>
        <w:tc>
          <w:tcPr>
            <w:tcW w:w="4086" w:type="dxa"/>
          </w:tcPr>
          <w:p w14:paraId="6F1A4689" w14:textId="626F7DF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Unique Core-Based Statistical Area (</w:t>
            </w:r>
            <w:proofErr w:type="spellStart"/>
            <w:r>
              <w:rPr>
                <w:sz w:val="16"/>
                <w:szCs w:val="14"/>
              </w:rPr>
              <w:t>CBSA</w:t>
            </w:r>
            <w:proofErr w:type="spellEnd"/>
            <w:r>
              <w:rPr>
                <w:sz w:val="16"/>
                <w:szCs w:val="14"/>
              </w:rPr>
              <w:t>) code assigned by U.S. federal government to 945 micro-/metropolitan statistical areas in the United States, including territories.</w:t>
            </w:r>
          </w:p>
        </w:tc>
        <w:tc>
          <w:tcPr>
            <w:tcW w:w="3605" w:type="dxa"/>
          </w:tcPr>
          <w:p w14:paraId="5E10E33D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2663E" w14:paraId="22B40949" w14:textId="77777777" w:rsidTr="00230ADA">
        <w:trPr>
          <w:trHeight w:val="379"/>
        </w:trPr>
        <w:tc>
          <w:tcPr>
            <w:tcW w:w="3469" w:type="dxa"/>
          </w:tcPr>
          <w:p w14:paraId="67C4F995" w14:textId="77777777" w:rsidR="000C60B8" w:rsidRPr="00907220" w:rsidRDefault="000C60B8" w:rsidP="00907220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city_name</w:t>
            </w:r>
            <w:proofErr w:type="spellEnd"/>
          </w:p>
        </w:tc>
        <w:tc>
          <w:tcPr>
            <w:tcW w:w="4086" w:type="dxa"/>
          </w:tcPr>
          <w:p w14:paraId="0AA7A8AB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Name of the micro-/metropolitan statistical area.</w:t>
            </w:r>
          </w:p>
        </w:tc>
        <w:tc>
          <w:tcPr>
            <w:tcW w:w="3605" w:type="dxa"/>
          </w:tcPr>
          <w:p w14:paraId="5CFE4BEF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U.S. Department of Housing and Urban Development – crosswalk repository (available online).</w:t>
            </w:r>
          </w:p>
        </w:tc>
      </w:tr>
      <w:tr w:rsidR="00C2663E" w14:paraId="00A23E96" w14:textId="77777777" w:rsidTr="00230ADA">
        <w:trPr>
          <w:trHeight w:val="379"/>
        </w:trPr>
        <w:tc>
          <w:tcPr>
            <w:tcW w:w="3469" w:type="dxa"/>
          </w:tcPr>
          <w:p w14:paraId="2DEA4475" w14:textId="2283E2E0" w:rsidR="000C60B8" w:rsidRPr="00907220" w:rsidRDefault="002E01B9" w:rsidP="00907220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*_</w:t>
            </w:r>
            <w:proofErr w:type="spellStart"/>
            <w:r w:rsidRPr="00907220">
              <w:rPr>
                <w:i/>
                <w:iCs/>
              </w:rPr>
              <w:t>venturedensity</w:t>
            </w:r>
            <w:proofErr w:type="spellEnd"/>
          </w:p>
        </w:tc>
        <w:tc>
          <w:tcPr>
            <w:tcW w:w="4086" w:type="dxa"/>
          </w:tcPr>
          <w:p w14:paraId="0F51015E" w14:textId="2930F3CC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ventures per 100 ppl.</w:t>
            </w:r>
            <w:r w:rsidR="002E01B9">
              <w:rPr>
                <w:sz w:val="16"/>
                <w:szCs w:val="14"/>
              </w:rPr>
              <w:t xml:space="preserve"> </w:t>
            </w:r>
            <w:r w:rsidR="00230ADA">
              <w:rPr>
                <w:sz w:val="16"/>
                <w:szCs w:val="14"/>
              </w:rPr>
              <w:t>f</w:t>
            </w:r>
            <w:r w:rsidR="002E01B9">
              <w:rPr>
                <w:sz w:val="16"/>
                <w:szCs w:val="14"/>
              </w:rPr>
              <w:t xml:space="preserve">or the noted </w:t>
            </w:r>
            <w:proofErr w:type="gramStart"/>
            <w:r w:rsidR="002E01B9">
              <w:rPr>
                <w:sz w:val="16"/>
                <w:szCs w:val="14"/>
              </w:rPr>
              <w:t>time period</w:t>
            </w:r>
            <w:proofErr w:type="gramEnd"/>
            <w:r w:rsidR="002E01B9">
              <w:rPr>
                <w:sz w:val="16"/>
                <w:szCs w:val="14"/>
              </w:rPr>
              <w:t xml:space="preserve"> (quarterly </w:t>
            </w:r>
            <w:r w:rsidR="00230ADA">
              <w:rPr>
                <w:sz w:val="16"/>
                <w:szCs w:val="14"/>
              </w:rPr>
              <w:t xml:space="preserve">beginning </w:t>
            </w:r>
            <w:proofErr w:type="spellStart"/>
            <w:r w:rsidR="00230ADA">
              <w:rPr>
                <w:sz w:val="16"/>
                <w:szCs w:val="14"/>
              </w:rPr>
              <w:t>Q4</w:t>
            </w:r>
            <w:proofErr w:type="spellEnd"/>
            <w:r w:rsidR="00230ADA">
              <w:rPr>
                <w:sz w:val="16"/>
                <w:szCs w:val="14"/>
              </w:rPr>
              <w:t xml:space="preserve"> ’18).</w:t>
            </w:r>
          </w:p>
        </w:tc>
        <w:tc>
          <w:tcPr>
            <w:tcW w:w="3605" w:type="dxa"/>
          </w:tcPr>
          <w:p w14:paraId="31AE23DA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C2663E" w14:paraId="2BA9178C" w14:textId="77777777" w:rsidTr="00230ADA">
        <w:trPr>
          <w:trHeight w:val="379"/>
        </w:trPr>
        <w:tc>
          <w:tcPr>
            <w:tcW w:w="3469" w:type="dxa"/>
          </w:tcPr>
          <w:p w14:paraId="6B47B28B" w14:textId="0B3A41C6" w:rsidR="000C60B8" w:rsidRPr="00907220" w:rsidRDefault="00230ADA" w:rsidP="00907220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*_</w:t>
            </w:r>
            <w:proofErr w:type="spellStart"/>
            <w:r w:rsidRPr="00907220">
              <w:rPr>
                <w:i/>
                <w:iCs/>
              </w:rPr>
              <w:t>highlyactiveventuredensity</w:t>
            </w:r>
            <w:proofErr w:type="spellEnd"/>
          </w:p>
        </w:tc>
        <w:tc>
          <w:tcPr>
            <w:tcW w:w="4086" w:type="dxa"/>
          </w:tcPr>
          <w:p w14:paraId="3899653A" w14:textId="2B3F488F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Number of highly active ventures per 100 ppl.</w:t>
            </w:r>
            <w:r w:rsidR="00230ADA">
              <w:rPr>
                <w:sz w:val="16"/>
                <w:szCs w:val="14"/>
              </w:rPr>
              <w:t xml:space="preserve"> </w:t>
            </w:r>
            <w:r w:rsidR="00230ADA">
              <w:rPr>
                <w:sz w:val="16"/>
                <w:szCs w:val="14"/>
              </w:rPr>
              <w:t xml:space="preserve">for the noted </w:t>
            </w:r>
            <w:proofErr w:type="gramStart"/>
            <w:r w:rsidR="00230ADA">
              <w:rPr>
                <w:sz w:val="16"/>
                <w:szCs w:val="14"/>
              </w:rPr>
              <w:t>time period</w:t>
            </w:r>
            <w:proofErr w:type="gramEnd"/>
            <w:r w:rsidR="00230ADA">
              <w:rPr>
                <w:sz w:val="16"/>
                <w:szCs w:val="14"/>
              </w:rPr>
              <w:t xml:space="preserve"> (quarterly beginning </w:t>
            </w:r>
            <w:proofErr w:type="spellStart"/>
            <w:r w:rsidR="00230ADA">
              <w:rPr>
                <w:sz w:val="16"/>
                <w:szCs w:val="14"/>
              </w:rPr>
              <w:t>Q4</w:t>
            </w:r>
            <w:proofErr w:type="spellEnd"/>
            <w:r w:rsidR="00230ADA">
              <w:rPr>
                <w:sz w:val="16"/>
                <w:szCs w:val="14"/>
              </w:rPr>
              <w:t xml:space="preserve"> ’18).</w:t>
            </w:r>
            <w:r>
              <w:rPr>
                <w:sz w:val="16"/>
                <w:szCs w:val="14"/>
              </w:rPr>
              <w:t xml:space="preserve"> These are ventures scoring 3 or 4 on the 4-cluster model used to identify and classify ventures.</w:t>
            </w:r>
          </w:p>
        </w:tc>
        <w:tc>
          <w:tcPr>
            <w:tcW w:w="3605" w:type="dxa"/>
          </w:tcPr>
          <w:p w14:paraId="6FCD2248" w14:textId="77777777" w:rsidR="000C60B8" w:rsidRPr="00137427" w:rsidRDefault="000C60B8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GoDaddy proprietary data.</w:t>
            </w:r>
          </w:p>
        </w:tc>
      </w:tr>
      <w:tr w:rsidR="00773E6C" w14:paraId="063ABB29" w14:textId="77777777" w:rsidTr="00230ADA">
        <w:trPr>
          <w:trHeight w:val="379"/>
        </w:trPr>
        <w:tc>
          <w:tcPr>
            <w:tcW w:w="3469" w:type="dxa"/>
          </w:tcPr>
          <w:p w14:paraId="6558FC4B" w14:textId="70EBA19F" w:rsidR="00773E6C" w:rsidRPr="00907220" w:rsidRDefault="00773E6C" w:rsidP="00773E6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</w:t>
            </w:r>
            <w:r w:rsidRPr="00907220">
              <w:rPr>
                <w:i/>
                <w:iCs/>
              </w:rPr>
              <w:t>rosperity11</w:t>
            </w:r>
            <w:proofErr w:type="spellEnd"/>
            <w:r w:rsidRPr="00907220">
              <w:rPr>
                <w:i/>
                <w:iCs/>
              </w:rPr>
              <w:t xml:space="preserve"> &amp; </w:t>
            </w:r>
            <w:proofErr w:type="spellStart"/>
            <w:r w:rsidRPr="00907220">
              <w:rPr>
                <w:i/>
                <w:iCs/>
              </w:rPr>
              <w:t>prosperity19</w:t>
            </w:r>
            <w:proofErr w:type="spellEnd"/>
          </w:p>
        </w:tc>
        <w:tc>
          <w:tcPr>
            <w:tcW w:w="4086" w:type="dxa"/>
          </w:tcPr>
          <w:p w14:paraId="21D3B645" w14:textId="1AA44B0C" w:rsidR="00773E6C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2011 and 2019 replication of </w:t>
            </w:r>
            <w:r>
              <w:rPr>
                <w:i/>
                <w:iCs/>
                <w:sz w:val="16"/>
                <w:szCs w:val="14"/>
              </w:rPr>
              <w:t xml:space="preserve">Economic Innovation Group’s </w:t>
            </w:r>
            <w:r>
              <w:rPr>
                <w:sz w:val="16"/>
                <w:szCs w:val="14"/>
              </w:rPr>
              <w:t>annual Distressed Community Index, inverted to represent positive economic outcomes</w:t>
            </w:r>
          </w:p>
        </w:tc>
        <w:tc>
          <w:tcPr>
            <w:tcW w:w="3605" w:type="dxa"/>
          </w:tcPr>
          <w:p w14:paraId="5204338E" w14:textId="2BDFCF9F" w:rsidR="00773E6C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773E6C" w14:paraId="22962011" w14:textId="77777777" w:rsidTr="00230ADA">
        <w:trPr>
          <w:trHeight w:val="379"/>
        </w:trPr>
        <w:tc>
          <w:tcPr>
            <w:tcW w:w="3469" w:type="dxa"/>
          </w:tcPr>
          <w:p w14:paraId="23D329B0" w14:textId="442CCC72" w:rsidR="00773E6C" w:rsidRPr="00907220" w:rsidRDefault="00773E6C" w:rsidP="00773E6C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recovery</w:t>
            </w:r>
          </w:p>
        </w:tc>
        <w:tc>
          <w:tcPr>
            <w:tcW w:w="4086" w:type="dxa"/>
          </w:tcPr>
          <w:p w14:paraId="76F2F9E9" w14:textId="05AC0869" w:rsidR="00773E6C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Difference in annual estimated prosperity scores (2011-2019)</w:t>
            </w:r>
          </w:p>
        </w:tc>
        <w:tc>
          <w:tcPr>
            <w:tcW w:w="3605" w:type="dxa"/>
          </w:tcPr>
          <w:p w14:paraId="626A4997" w14:textId="33CB5333" w:rsidR="00773E6C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University of Iowa -Tolbert research team, original estimates by </w:t>
            </w:r>
            <w:proofErr w:type="spellStart"/>
            <w:r>
              <w:rPr>
                <w:sz w:val="16"/>
                <w:szCs w:val="14"/>
              </w:rPr>
              <w:t>EIG</w:t>
            </w:r>
            <w:proofErr w:type="spellEnd"/>
            <w:r>
              <w:rPr>
                <w:sz w:val="16"/>
                <w:szCs w:val="14"/>
              </w:rPr>
              <w:t xml:space="preserve"> (www.eig.org)</w:t>
            </w:r>
          </w:p>
        </w:tc>
      </w:tr>
      <w:tr w:rsidR="007B7255" w14:paraId="2B266436" w14:textId="77777777" w:rsidTr="00230ADA">
        <w:trPr>
          <w:trHeight w:val="366"/>
        </w:trPr>
        <w:tc>
          <w:tcPr>
            <w:tcW w:w="3469" w:type="dxa"/>
          </w:tcPr>
          <w:p w14:paraId="67FD6866" w14:textId="3638BA23" w:rsidR="007B7255" w:rsidRPr="00907220" w:rsidRDefault="00907220" w:rsidP="00907220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m</w:t>
            </w:r>
            <w:r w:rsidR="007B7255" w:rsidRPr="00907220">
              <w:rPr>
                <w:i/>
                <w:iCs/>
              </w:rPr>
              <w:t>edinc</w:t>
            </w:r>
            <w:proofErr w:type="spellEnd"/>
            <w:r w:rsidR="007B7255" w:rsidRPr="00907220">
              <w:rPr>
                <w:i/>
                <w:iCs/>
              </w:rPr>
              <w:t>*</w:t>
            </w:r>
          </w:p>
        </w:tc>
        <w:tc>
          <w:tcPr>
            <w:tcW w:w="4086" w:type="dxa"/>
          </w:tcPr>
          <w:p w14:paraId="7F9AFB13" w14:textId="597EE49D" w:rsidR="007B7255" w:rsidRDefault="007B7255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Median household income for the noted </w:t>
            </w:r>
            <w:proofErr w:type="gramStart"/>
            <w:r>
              <w:rPr>
                <w:sz w:val="16"/>
                <w:szCs w:val="14"/>
              </w:rPr>
              <w:t>time period</w:t>
            </w:r>
            <w:proofErr w:type="gramEnd"/>
            <w:r>
              <w:rPr>
                <w:sz w:val="16"/>
                <w:szCs w:val="14"/>
              </w:rPr>
              <w:t xml:space="preserve"> (2016-2019).</w:t>
            </w:r>
          </w:p>
        </w:tc>
        <w:tc>
          <w:tcPr>
            <w:tcW w:w="3605" w:type="dxa"/>
          </w:tcPr>
          <w:p w14:paraId="779F08ED" w14:textId="511C1A1E" w:rsidR="007B7255" w:rsidRPr="00137427" w:rsidRDefault="007B7255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  <w:tr w:rsidR="00773E6C" w14:paraId="1C06C2DC" w14:textId="77777777" w:rsidTr="00230ADA">
        <w:trPr>
          <w:trHeight w:val="379"/>
        </w:trPr>
        <w:tc>
          <w:tcPr>
            <w:tcW w:w="3469" w:type="dxa"/>
          </w:tcPr>
          <w:p w14:paraId="35DF7D2D" w14:textId="0A913B26" w:rsidR="00773E6C" w:rsidRPr="00907220" w:rsidRDefault="00773E6C" w:rsidP="00773E6C">
            <w:pPr>
              <w:jc w:val="center"/>
              <w:rPr>
                <w:i/>
                <w:iCs/>
              </w:rPr>
            </w:pPr>
            <w:proofErr w:type="spellStart"/>
            <w:r w:rsidRPr="00907220">
              <w:rPr>
                <w:i/>
                <w:iCs/>
              </w:rPr>
              <w:t>change_medinc_1619</w:t>
            </w:r>
            <w:proofErr w:type="spellEnd"/>
          </w:p>
        </w:tc>
        <w:tc>
          <w:tcPr>
            <w:tcW w:w="4086" w:type="dxa"/>
          </w:tcPr>
          <w:p w14:paraId="59D1FAD1" w14:textId="0096CC1E" w:rsidR="00773E6C" w:rsidRPr="008E7899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Change in median household income between 2016-2019.</w:t>
            </w:r>
          </w:p>
        </w:tc>
        <w:tc>
          <w:tcPr>
            <w:tcW w:w="3605" w:type="dxa"/>
          </w:tcPr>
          <w:p w14:paraId="67900B1A" w14:textId="34214DED" w:rsidR="00773E6C" w:rsidRPr="00137427" w:rsidRDefault="00773E6C" w:rsidP="00773E6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  <w:tr w:rsidR="00C2663E" w14:paraId="11FAA160" w14:textId="77777777" w:rsidTr="00230ADA">
        <w:trPr>
          <w:trHeight w:val="379"/>
        </w:trPr>
        <w:tc>
          <w:tcPr>
            <w:tcW w:w="3469" w:type="dxa"/>
          </w:tcPr>
          <w:p w14:paraId="62568BC0" w14:textId="4144D181" w:rsidR="000C60B8" w:rsidRPr="00907220" w:rsidRDefault="00907220" w:rsidP="00907220">
            <w:pPr>
              <w:jc w:val="center"/>
              <w:rPr>
                <w:i/>
                <w:iCs/>
              </w:rPr>
            </w:pPr>
            <w:r w:rsidRPr="00907220">
              <w:rPr>
                <w:i/>
                <w:iCs/>
              </w:rPr>
              <w:t>p</w:t>
            </w:r>
            <w:r w:rsidR="00CC14AC" w:rsidRPr="00907220">
              <w:rPr>
                <w:i/>
                <w:iCs/>
              </w:rPr>
              <w:t>ct_* (race/ethnicity)</w:t>
            </w:r>
          </w:p>
        </w:tc>
        <w:tc>
          <w:tcPr>
            <w:tcW w:w="4086" w:type="dxa"/>
          </w:tcPr>
          <w:p w14:paraId="2D3C20B0" w14:textId="0284CC7C" w:rsidR="000C60B8" w:rsidRPr="00137427" w:rsidRDefault="00CC14AC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Percentage of population identifying </w:t>
            </w:r>
            <w:r w:rsidR="00407AB3">
              <w:rPr>
                <w:sz w:val="16"/>
                <w:szCs w:val="14"/>
              </w:rPr>
              <w:t>with each of the noted racial/ethnic categories – Black, Hispanic, Native American, Asian, Pacific Islander, White.</w:t>
            </w:r>
          </w:p>
        </w:tc>
        <w:tc>
          <w:tcPr>
            <w:tcW w:w="3605" w:type="dxa"/>
          </w:tcPr>
          <w:p w14:paraId="76BED4E7" w14:textId="4E793DF5" w:rsidR="000C60B8" w:rsidRPr="00100E65" w:rsidRDefault="00407AB3" w:rsidP="00AB720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U.S. Census Bureau’s </w:t>
            </w:r>
            <w:r>
              <w:rPr>
                <w:i/>
                <w:iCs/>
                <w:sz w:val="16"/>
                <w:szCs w:val="14"/>
              </w:rPr>
              <w:t>American Community Survey</w:t>
            </w:r>
            <w:r>
              <w:rPr>
                <w:sz w:val="16"/>
                <w:szCs w:val="14"/>
              </w:rPr>
              <w:t>.</w:t>
            </w:r>
          </w:p>
        </w:tc>
      </w:tr>
    </w:tbl>
    <w:p w14:paraId="5C2C5702" w14:textId="77777777" w:rsidR="000C60B8" w:rsidRPr="00367BBB" w:rsidRDefault="000C60B8" w:rsidP="00367BBB"/>
    <w:sectPr w:rsidR="000C60B8" w:rsidRPr="0036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D Sherpa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B"/>
    <w:rsid w:val="00007629"/>
    <w:rsid w:val="00034D1F"/>
    <w:rsid w:val="000366A0"/>
    <w:rsid w:val="00064557"/>
    <w:rsid w:val="000C60B8"/>
    <w:rsid w:val="00100E65"/>
    <w:rsid w:val="00116704"/>
    <w:rsid w:val="00137427"/>
    <w:rsid w:val="001A402A"/>
    <w:rsid w:val="001A5077"/>
    <w:rsid w:val="00230ADA"/>
    <w:rsid w:val="00297773"/>
    <w:rsid w:val="002E01B9"/>
    <w:rsid w:val="00320F67"/>
    <w:rsid w:val="00367BBB"/>
    <w:rsid w:val="00407AB3"/>
    <w:rsid w:val="004169BF"/>
    <w:rsid w:val="004641ED"/>
    <w:rsid w:val="00472C01"/>
    <w:rsid w:val="004A292E"/>
    <w:rsid w:val="005D456A"/>
    <w:rsid w:val="006354CB"/>
    <w:rsid w:val="00637504"/>
    <w:rsid w:val="00704303"/>
    <w:rsid w:val="00773E6C"/>
    <w:rsid w:val="007B7255"/>
    <w:rsid w:val="008E7899"/>
    <w:rsid w:val="008F29CC"/>
    <w:rsid w:val="00907220"/>
    <w:rsid w:val="00946D91"/>
    <w:rsid w:val="009A7BCA"/>
    <w:rsid w:val="00A1547B"/>
    <w:rsid w:val="00A30EE9"/>
    <w:rsid w:val="00A31DD8"/>
    <w:rsid w:val="00A77821"/>
    <w:rsid w:val="00B809A6"/>
    <w:rsid w:val="00C2663E"/>
    <w:rsid w:val="00CB2B6A"/>
    <w:rsid w:val="00CC14AC"/>
    <w:rsid w:val="00CD3BA4"/>
    <w:rsid w:val="00D724F4"/>
    <w:rsid w:val="00D87036"/>
    <w:rsid w:val="00DE18B4"/>
    <w:rsid w:val="00E43FE8"/>
    <w:rsid w:val="00EB5CC5"/>
    <w:rsid w:val="00F60C72"/>
    <w:rsid w:val="00FA703E"/>
    <w:rsid w:val="00FC7DB9"/>
    <w:rsid w:val="00FD3CD7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6886"/>
  <w15:chartTrackingRefBased/>
  <w15:docId w15:val="{C9B4111B-6806-42D1-AB3A-9CC71B2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D Sherpa" w:eastAsiaTheme="minorHAnsi" w:hAnsi="GD Sherpa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B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tureforward@goda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Gracey</dc:creator>
  <cp:keywords/>
  <dc:description/>
  <cp:lastModifiedBy>Kellen Gracey</cp:lastModifiedBy>
  <cp:revision>49</cp:revision>
  <dcterms:created xsi:type="dcterms:W3CDTF">2021-03-29T13:56:00Z</dcterms:created>
  <dcterms:modified xsi:type="dcterms:W3CDTF">2021-04-07T15:37:00Z</dcterms:modified>
</cp:coreProperties>
</file>