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566F4" w:rsidRDefault="00F566F4">
      <w:pPr>
        <w:pStyle w:val="Author"/>
        <w:spacing w:after="0"/>
        <w:rPr>
          <w:spacing w:val="-2"/>
        </w:rPr>
      </w:pPr>
    </w:p>
    <w:p w:rsidR="008B197E" w:rsidRDefault="00191242">
      <w:pPr>
        <w:pStyle w:val="Author"/>
        <w:spacing w:after="0"/>
        <w:rPr>
          <w:spacing w:val="-2"/>
        </w:rPr>
      </w:pPr>
      <w:r>
        <w:rPr>
          <w:spacing w:val="-2"/>
        </w:rPr>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F566F4" w:rsidRDefault="008B197E">
      <w:pPr>
        <w:pStyle w:val="Author"/>
        <w:spacing w:after="0"/>
        <w:rPr>
          <w:spacing w:val="-2"/>
        </w:rPr>
      </w:pPr>
      <w:r>
        <w:rPr>
          <w:spacing w:val="-2"/>
        </w:rPr>
        <w:br w:type="column"/>
      </w:r>
    </w:p>
    <w:p w:rsidR="008B197E" w:rsidRDefault="00191242">
      <w:pPr>
        <w:pStyle w:val="Author"/>
        <w:spacing w:after="0"/>
        <w:rPr>
          <w:spacing w:val="-2"/>
        </w:rPr>
      </w:pPr>
      <w:r>
        <w:rPr>
          <w:spacing w:val="-2"/>
        </w:rPr>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AB7536" w:rsidRDefault="00B031BD" w:rsidP="00AB7536">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enhancement, </w:t>
      </w:r>
      <w:r>
        <w:t xml:space="preserve">that is, recovering the speech signal from a single microphone signal composed of </w:t>
      </w:r>
      <w:r w:rsidR="003405ED">
        <w:t xml:space="preserve">both </w:t>
      </w:r>
      <w:r>
        <w:t xml:space="preserve">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Keywords</w:t>
      </w:r>
    </w:p>
    <w:p w:rsidR="008B197E" w:rsidRDefault="003405ED">
      <w:pPr>
        <w:spacing w:after="120"/>
      </w:pPr>
      <w:r>
        <w:t>Evolutionary Strategy; CMA-ES; Speech Enhancement; Audio;</w:t>
      </w:r>
      <w:r w:rsidR="000C5A3D">
        <w:t xml:space="preserve"> Noise Cancellation</w:t>
      </w:r>
      <w:r w:rsidR="00D37CC5">
        <w:t>; Wiener Filter; Spectral Subtraction; Noise Gate</w:t>
      </w:r>
      <w:r>
        <w:t xml:space="preserve"> </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4A2814">
      <w:pPr>
        <w:pStyle w:val="Heading1"/>
        <w:spacing w:before="120"/>
      </w:pPr>
      <w:r>
        <w:lastRenderedPageBreak/>
        <w:t>EXPERIMENTAL SETUP</w:t>
      </w:r>
    </w:p>
    <w:p w:rsid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w:t>
      </w:r>
      <w:proofErr w:type="gramStart"/>
      <w:r>
        <w:t>x(</w:t>
      </w:r>
      <w:proofErr w:type="gramEnd"/>
      <w:r>
        <w:t xml:space="preserve">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w:t>
      </w:r>
      <w:proofErr w:type="gramStart"/>
      <w:r w:rsidR="00F25FA1">
        <w:t>s(</w:t>
      </w:r>
      <w:proofErr w:type="gramEnd"/>
      <w:r w:rsidR="00F25FA1">
        <w:t xml:space="preserve">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BA732B" w:rsidRPr="000A040D" w:rsidRDefault="00BA732B" w:rsidP="00F25FA1">
                            <w:pPr>
                              <w:pStyle w:val="Caption"/>
                              <w:rPr>
                                <w:rFonts w:cs="Times New Roman"/>
                                <w:szCs w:val="20"/>
                              </w:rPr>
                            </w:pPr>
                            <w:r>
                              <w:t xml:space="preserve">Equation </w:t>
                            </w:r>
                            <w:r w:rsidR="004D4225">
                              <w:fldChar w:fldCharType="begin"/>
                            </w:r>
                            <w:r w:rsidR="004D4225">
                              <w:instrText xml:space="preserve"> SEQ Equation \* ARABIC </w:instrText>
                            </w:r>
                            <w:r w:rsidR="004D4225">
                              <w:fldChar w:fldCharType="separate"/>
                            </w:r>
                            <w:r>
                              <w:rPr>
                                <w:noProof/>
                              </w:rPr>
                              <w:t>1</w:t>
                            </w:r>
                            <w:r w:rsidR="004D42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BA732B" w:rsidRPr="000A040D" w:rsidRDefault="00BA732B" w:rsidP="00F25FA1">
                      <w:pPr>
                        <w:pStyle w:val="Caption"/>
                        <w:rPr>
                          <w:rFonts w:cs="Times New Roman"/>
                          <w:szCs w:val="20"/>
                        </w:rPr>
                      </w:pPr>
                      <w:r>
                        <w:t xml:space="preserve">Equation </w:t>
                      </w:r>
                      <w:fldSimple w:instr=" SEQ Equation \* ARABIC ">
                        <w:r>
                          <w:rPr>
                            <w:noProof/>
                          </w:rPr>
                          <w:t>1</w:t>
                        </w:r>
                      </w:fldSimple>
                    </w:p>
                  </w:txbxContent>
                </v:textbox>
              </v:shape>
            </w:pict>
          </mc:Fallback>
        </mc:AlternateContent>
      </w:r>
    </w:p>
    <w:p w:rsidR="00F25FA1" w:rsidRDefault="00F25FA1" w:rsidP="001C707F"/>
    <w:p w:rsidR="008225FC" w:rsidRPr="001C707F" w:rsidRDefault="00F25FA1" w:rsidP="001C707F">
      <w:r>
        <w:t xml:space="preserve">For the purposes of noise cancellation in this experiment, it is not important to model the impulse response of the acoustics of the car, so we can assume that </w:t>
      </w:r>
      <w:proofErr w:type="gramStart"/>
      <w:r>
        <w:t>h(</w:t>
      </w:r>
      <w:proofErr w:type="gramEnd"/>
      <w:r>
        <w:t>t) ≈ 1.</w:t>
      </w:r>
    </w:p>
    <w:p w:rsidR="008B197E" w:rsidRDefault="001C707F">
      <w:pPr>
        <w:pStyle w:val="Heading2"/>
        <w:spacing w:before="0"/>
      </w:pPr>
      <w:r>
        <w:t>Wiener Filter</w:t>
      </w:r>
    </w:p>
    <w:p w:rsidR="004E6F0D" w:rsidRDefault="004E6F0D" w:rsidP="003B0F65">
      <w:pPr>
        <w:pStyle w:val="BodyText"/>
        <w:framePr w:h="2105" w:hRule="exact" w:wrap="around" w:y="12460"/>
      </w:pPr>
    </w:p>
    <w:p w:rsidR="00E073C7" w:rsidRDefault="00E073C7" w:rsidP="003B0F65">
      <w:pPr>
        <w:pStyle w:val="BodyText"/>
        <w:framePr w:h="2105" w:hRule="exact" w:wrap="around" w:y="12460"/>
      </w:pPr>
    </w:p>
    <w:p w:rsidR="008B197E" w:rsidRDefault="008B197E" w:rsidP="003B0F65">
      <w:pPr>
        <w:pStyle w:val="BodyText"/>
        <w:framePr w:h="2105" w:hRule="exact" w:wrap="around" w:y="12460"/>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allowing processing to be done 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w:t>
      </w:r>
      <w:r w:rsidR="004E6F0D">
        <w:t xml:space="preserve">the </w:t>
      </w:r>
      <w:r w:rsidR="00DC1F1C">
        <w:t>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w:t>
      </w:r>
      <w:proofErr w:type="gramStart"/>
      <w:r>
        <w:t>G(</w:t>
      </w:r>
      <w:proofErr w:type="gramEnd"/>
      <w:r>
        <w:t>f)</w:t>
      </w:r>
      <w:r w:rsidR="008225FC">
        <w:t>, where H(f)</w:t>
      </w:r>
      <w:r>
        <w:t>, N(f), and S(f), are</w:t>
      </w:r>
      <w:r w:rsidR="008225FC">
        <w:t xml:space="preserve"> </w:t>
      </w:r>
      <w:r>
        <w:t>the 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BA732B" w:rsidRPr="006156F9" w:rsidRDefault="00BA732B" w:rsidP="007E4397">
                            <w:pPr>
                              <w:pStyle w:val="Caption"/>
                              <w:rPr>
                                <w:rFonts w:cs="Times New Roman"/>
                                <w:szCs w:val="20"/>
                              </w:rPr>
                            </w:pPr>
                            <w:r>
                              <w:t xml:space="preserve">Equation </w:t>
                            </w:r>
                            <w:r w:rsidR="004D4225">
                              <w:fldChar w:fldCharType="begin"/>
                            </w:r>
                            <w:r w:rsidR="004D4225">
                              <w:instrText xml:space="preserve"> SEQ Equation \* ARABIC </w:instrText>
                            </w:r>
                            <w:r w:rsidR="004D4225">
                              <w:fldChar w:fldCharType="separate"/>
                            </w:r>
                            <w:r>
                              <w:rPr>
                                <w:noProof/>
                              </w:rPr>
                              <w:t>2</w:t>
                            </w:r>
                            <w:r w:rsidR="004D42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BA732B" w:rsidRPr="006156F9" w:rsidRDefault="00BA732B" w:rsidP="007E4397">
                      <w:pPr>
                        <w:pStyle w:val="Caption"/>
                        <w:rPr>
                          <w:rFonts w:cs="Times New Roman"/>
                          <w:szCs w:val="20"/>
                        </w:rPr>
                      </w:pPr>
                      <w:r>
                        <w:t xml:space="preserve">Equation </w:t>
                      </w:r>
                      <w:fldSimple w:instr=" SEQ Equation \* ARABIC ">
                        <w:r>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w:t>
      </w:r>
      <w:r w:rsidRPr="00A615ED">
        <w:t xml:space="preserve">project includes a two-step noise reduction technique by </w:t>
      </w:r>
      <w:r w:rsidRPr="00A615ED">
        <w:rPr>
          <w:vertAlign w:val="superscript"/>
        </w:rPr>
        <w:t>[3]</w:t>
      </w:r>
      <w:r w:rsidRPr="00A615ED">
        <w:t xml:space="preserve"> that uses a decision directed approach to</w:t>
      </w:r>
      <w:r>
        <w:t xml:space="preserve"> minimize reverberation noise artifacts left over by the original Wiener Filter.</w:t>
      </w:r>
      <w:r w:rsidR="00122432">
        <w:t xml:space="preserve"> In order to </w:t>
      </w:r>
      <w:r w:rsidR="00122432">
        <w:lastRenderedPageBreak/>
        <w:t>further reduce such artifacts, smoothing is used to make the signal to noise ratio (SNR) estimate more constant over time.</w:t>
      </w:r>
    </w:p>
    <w:p w:rsidR="008B197E" w:rsidRDefault="001C707F">
      <w:pPr>
        <w:pStyle w:val="Heading2"/>
        <w:spacing w:before="120"/>
      </w:pPr>
      <w:r>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proofErr w:type="spellStart"/>
      <w:r w:rsidRPr="00E1751C">
        <w:t>Esfandiar</w:t>
      </w:r>
      <w:proofErr w:type="spellEnd"/>
      <w:r w:rsidRPr="00E1751C">
        <w:t xml:space="preserve"> </w:t>
      </w:r>
      <w:proofErr w:type="spellStart"/>
      <w:r w:rsidRPr="00E1751C">
        <w:t>Zavarehei</w:t>
      </w:r>
      <w:proofErr w:type="spellEnd"/>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E23D15"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Default="00B42C30" w:rsidP="00B42C30">
      <w:pPr>
        <w:pStyle w:val="Caption"/>
        <w:rPr>
          <w:vertAlign w:val="superscript"/>
        </w:rPr>
      </w:pPr>
      <w:bookmarkStart w:id="0" w:name="_Ref436484249"/>
      <w:bookmarkStart w:id="1" w:name="_Ref436484232"/>
      <w:r>
        <w:t xml:space="preserve">Figure </w:t>
      </w:r>
      <w:r w:rsidR="004D4225">
        <w:fldChar w:fldCharType="begin"/>
      </w:r>
      <w:r w:rsidR="004D4225">
        <w:instrText xml:space="preserve"> SEQ Figure \* ARABIC </w:instrText>
      </w:r>
      <w:r w:rsidR="004D4225">
        <w:fldChar w:fldCharType="separate"/>
      </w:r>
      <w:r w:rsidR="009055EA">
        <w:rPr>
          <w:noProof/>
        </w:rPr>
        <w:t>1</w:t>
      </w:r>
      <w:r w:rsidR="004D4225">
        <w:rPr>
          <w:noProof/>
        </w:rPr>
        <w:fldChar w:fldCharType="end"/>
      </w:r>
      <w:bookmarkEnd w:id="0"/>
      <w:r>
        <w:t xml:space="preserve">: Noise Gate </w:t>
      </w:r>
      <w:r>
        <w:rPr>
          <w:vertAlign w:val="superscript"/>
        </w:rPr>
        <w:t>[5]</w:t>
      </w:r>
      <w:bookmarkEnd w:id="1"/>
    </w:p>
    <w:p w:rsidR="002E237C" w:rsidRPr="002E237C" w:rsidRDefault="002E237C" w:rsidP="002E237C">
      <w:pPr>
        <w:rPr>
          <w:lang w:eastAsia="en-AU"/>
        </w:rPr>
      </w:pPr>
    </w:p>
    <w:p w:rsidR="008B197E" w:rsidRDefault="001C707F">
      <w:pPr>
        <w:pStyle w:val="Heading2"/>
        <w:spacing w:before="120"/>
      </w:pPr>
      <w:r>
        <w:t>CMA-ES</w:t>
      </w:r>
    </w:p>
    <w:p w:rsidR="00892491"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w:t>
      </w:r>
      <w:r w:rsidR="000917C8">
        <w:t xml:space="preserve"> in </w:t>
      </w:r>
      <w:r w:rsidR="006D2D87">
        <w:t>Section</w:t>
      </w:r>
      <w:r w:rsidR="001F6DF2">
        <w:t xml:space="preserve">s 2.1 </w:t>
      </w:r>
      <w:r w:rsidR="001F6DF2">
        <w:lastRenderedPageBreak/>
        <w:t>– 2.3, there are a total of 8 parameter</w:t>
      </w:r>
      <w:r w:rsidR="00C27636">
        <w:t xml:space="preserve">s to be tuned using the CMA-ES, which are shown in Table 1. </w:t>
      </w:r>
      <w:r w:rsidR="00ED7387">
        <w:t>Each parameter in the CMA-ES is limited to values in [0</w:t>
      </w:r>
      <w:proofErr w:type="gramStart"/>
      <w:r w:rsidR="00ED7387">
        <w:t>,1</w:t>
      </w:r>
      <w:proofErr w:type="gramEnd"/>
      <w:r w:rsidR="00ED7387">
        <w:t xml:space="preserve">] so that a constant starting learning step size value of σ = 0.2 can be used for all parameters, allowing </w:t>
      </w:r>
      <w:r w:rsidR="00225B97">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p w:rsidR="00530129" w:rsidRDefault="00530129" w:rsidP="00530129">
      <w:pPr>
        <w:pStyle w:val="Caption"/>
      </w:pPr>
      <w:r>
        <w:t xml:space="preserve">Table </w:t>
      </w:r>
      <w:r w:rsidR="004D4225">
        <w:fldChar w:fldCharType="begin"/>
      </w:r>
      <w:r w:rsidR="004D4225">
        <w:instrText xml:space="preserve"> SEQ Table \* ARABIC </w:instrText>
      </w:r>
      <w:r w:rsidR="004D4225">
        <w:fldChar w:fldCharType="separate"/>
      </w:r>
      <w:r>
        <w:rPr>
          <w:noProof/>
        </w:rPr>
        <w:t>1</w:t>
      </w:r>
      <w:r w:rsidR="004D4225">
        <w:rPr>
          <w:noProof/>
        </w:rPr>
        <w:fldChar w:fldCharType="end"/>
      </w:r>
      <w:r>
        <w:t>: Parameter List</w:t>
      </w:r>
    </w:p>
    <w:tbl>
      <w:tblPr>
        <w:tblW w:w="524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82"/>
        <w:gridCol w:w="1510"/>
        <w:gridCol w:w="829"/>
        <w:gridCol w:w="563"/>
        <w:gridCol w:w="563"/>
      </w:tblGrid>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rPr>
                <w:b/>
                <w:bCs/>
              </w:rPr>
            </w:pPr>
            <w:r>
              <w:rPr>
                <w:b/>
                <w:bCs/>
              </w:rPr>
              <w:t>Component</w:t>
            </w:r>
          </w:p>
        </w:tc>
        <w:tc>
          <w:tcPr>
            <w:tcW w:w="1467" w:type="dxa"/>
            <w:tcMar>
              <w:left w:w="72" w:type="dxa"/>
              <w:right w:w="72" w:type="dxa"/>
            </w:tcMar>
            <w:vAlign w:val="center"/>
          </w:tcPr>
          <w:p w:rsidR="00BF7CA7" w:rsidRDefault="00BF7CA7" w:rsidP="00BA732B">
            <w:pPr>
              <w:pStyle w:val="BodyTextIndent"/>
              <w:ind w:firstLine="0"/>
              <w:jc w:val="center"/>
              <w:rPr>
                <w:b/>
                <w:bCs/>
              </w:rPr>
            </w:pPr>
            <w:r>
              <w:rPr>
                <w:b/>
                <w:bCs/>
              </w:rPr>
              <w:t>Parameter</w:t>
            </w:r>
          </w:p>
        </w:tc>
        <w:tc>
          <w:tcPr>
            <w:tcW w:w="805" w:type="dxa"/>
            <w:tcMar>
              <w:left w:w="72" w:type="dxa"/>
              <w:right w:w="72" w:type="dxa"/>
            </w:tcMar>
            <w:vAlign w:val="center"/>
          </w:tcPr>
          <w:p w:rsidR="00BF7CA7" w:rsidRDefault="00BF7CA7" w:rsidP="00BA732B">
            <w:pPr>
              <w:pStyle w:val="BodyTextIndent"/>
              <w:ind w:firstLine="0"/>
              <w:jc w:val="center"/>
              <w:rPr>
                <w:b/>
                <w:bCs/>
              </w:rPr>
            </w:pPr>
            <w:r>
              <w:rPr>
                <w:b/>
                <w:bCs/>
              </w:rPr>
              <w:t>Symbol</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Min</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Max</w:t>
            </w:r>
          </w:p>
        </w:tc>
      </w:tr>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rPr>
                <w:vertAlign w:val="subscript"/>
              </w:rPr>
            </w:pPr>
            <w:r>
              <w:t>G</w:t>
            </w:r>
            <w:r>
              <w:rPr>
                <w:vertAlign w:val="subscript"/>
              </w:rPr>
              <w:t>W</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Smoothing Factor</w:t>
            </w:r>
          </w:p>
        </w:tc>
        <w:tc>
          <w:tcPr>
            <w:tcW w:w="805" w:type="dxa"/>
            <w:tcMar>
              <w:left w:w="72" w:type="dxa"/>
              <w:right w:w="72" w:type="dxa"/>
            </w:tcMar>
            <w:vAlign w:val="center"/>
          </w:tcPr>
          <w:p w:rsidR="00BF7CA7" w:rsidRDefault="00BF7CA7" w:rsidP="00BA732B">
            <w:pPr>
              <w:pStyle w:val="BodyTextIndent"/>
              <w:ind w:firstLine="0"/>
              <w:jc w:val="center"/>
            </w:pPr>
            <w:r>
              <w:t>α</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pPr>
            <w:r>
              <w:t>G</w:t>
            </w:r>
            <w:r>
              <w:rPr>
                <w:vertAlign w:val="subscript"/>
              </w:rPr>
              <w:t>S</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Margin</w:t>
            </w:r>
          </w:p>
        </w:tc>
        <w:tc>
          <w:tcPr>
            <w:tcW w:w="805" w:type="dxa"/>
            <w:tcMar>
              <w:left w:w="72" w:type="dxa"/>
              <w:right w:w="72" w:type="dxa"/>
            </w:tcMar>
            <w:vAlign w:val="center"/>
          </w:tcPr>
          <w:p w:rsidR="00BF7CA7" w:rsidRDefault="00BF7CA7" w:rsidP="00BA732B">
            <w:pPr>
              <w:pStyle w:val="BodyTextIndent"/>
              <w:ind w:firstLine="0"/>
              <w:jc w:val="center"/>
            </w:pPr>
            <w:r>
              <w:t>N</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Length</w:t>
            </w:r>
          </w:p>
        </w:tc>
        <w:tc>
          <w:tcPr>
            <w:tcW w:w="805" w:type="dxa"/>
            <w:tcMar>
              <w:left w:w="72" w:type="dxa"/>
              <w:right w:w="72" w:type="dxa"/>
            </w:tcMar>
            <w:vAlign w:val="center"/>
          </w:tcPr>
          <w:p w:rsidR="00BF7CA7" w:rsidRDefault="00BF7CA7" w:rsidP="00BA732B">
            <w:pPr>
              <w:pStyle w:val="BodyTextIndent"/>
              <w:ind w:firstLine="0"/>
              <w:jc w:val="center"/>
            </w:pPr>
            <w:r>
              <w:t>L</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Hang Over</w:t>
            </w:r>
          </w:p>
        </w:tc>
        <w:tc>
          <w:tcPr>
            <w:tcW w:w="805" w:type="dxa"/>
            <w:tcMar>
              <w:left w:w="72" w:type="dxa"/>
              <w:right w:w="72" w:type="dxa"/>
            </w:tcMar>
            <w:vAlign w:val="center"/>
          </w:tcPr>
          <w:p w:rsidR="00BF7CA7" w:rsidRDefault="00BF7CA7" w:rsidP="00BA732B">
            <w:pPr>
              <w:pStyle w:val="BodyTextIndent"/>
              <w:ind w:firstLine="0"/>
              <w:jc w:val="center"/>
            </w:pPr>
            <w:r>
              <w:t>H</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Threshold</w:t>
            </w:r>
          </w:p>
        </w:tc>
        <w:tc>
          <w:tcPr>
            <w:tcW w:w="805" w:type="dxa"/>
            <w:tcMar>
              <w:left w:w="72" w:type="dxa"/>
              <w:right w:w="72" w:type="dxa"/>
            </w:tcMar>
            <w:vAlign w:val="center"/>
          </w:tcPr>
          <w:p w:rsidR="00BF7CA7" w:rsidRDefault="00BF7CA7" w:rsidP="00BA732B">
            <w:pPr>
              <w:pStyle w:val="BodyTextIndent"/>
              <w:ind w:firstLine="0"/>
              <w:jc w:val="center"/>
            </w:pPr>
            <w:r>
              <w:t>T</w:t>
            </w:r>
          </w:p>
        </w:tc>
        <w:tc>
          <w:tcPr>
            <w:tcW w:w="547" w:type="dxa"/>
            <w:tcMar>
              <w:left w:w="72" w:type="dxa"/>
              <w:right w:w="72" w:type="dxa"/>
            </w:tcMar>
            <w:vAlign w:val="center"/>
          </w:tcPr>
          <w:p w:rsidR="00BF7CA7" w:rsidRDefault="00ED7387" w:rsidP="00BF7CA7">
            <w:pPr>
              <w:pStyle w:val="BodyTextIndent"/>
              <w:ind w:firstLine="0"/>
              <w:jc w:val="center"/>
            </w:pPr>
            <w:r>
              <w:t>0</w:t>
            </w:r>
          </w:p>
        </w:tc>
        <w:tc>
          <w:tcPr>
            <w:tcW w:w="547" w:type="dxa"/>
            <w:tcMar>
              <w:left w:w="72" w:type="dxa"/>
              <w:right w:w="72" w:type="dxa"/>
            </w:tcMar>
            <w:vAlign w:val="center"/>
          </w:tcPr>
          <w:p w:rsidR="00BF7CA7" w:rsidRDefault="00ED7387" w:rsidP="00BF7CA7">
            <w:pPr>
              <w:pStyle w:val="BodyTextIndent"/>
              <w:ind w:firstLine="0"/>
              <w:jc w:val="center"/>
            </w:pPr>
            <w:r>
              <w:t>0.25</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Attack/Release</w:t>
            </w:r>
          </w:p>
        </w:tc>
        <w:tc>
          <w:tcPr>
            <w:tcW w:w="805" w:type="dxa"/>
            <w:tcMar>
              <w:left w:w="72" w:type="dxa"/>
              <w:right w:w="72" w:type="dxa"/>
            </w:tcMar>
            <w:vAlign w:val="center"/>
          </w:tcPr>
          <w:p w:rsidR="00BF7CA7" w:rsidRDefault="00BF7CA7" w:rsidP="00E82C8F">
            <w:pPr>
              <w:pStyle w:val="BodyTextIndent"/>
              <w:keepNext/>
              <w:ind w:firstLine="0"/>
              <w:jc w:val="center"/>
            </w:pPr>
            <w:r>
              <w:t>A/R</w:t>
            </w:r>
          </w:p>
        </w:tc>
        <w:tc>
          <w:tcPr>
            <w:tcW w:w="547" w:type="dxa"/>
            <w:tcMar>
              <w:left w:w="72" w:type="dxa"/>
              <w:right w:w="72" w:type="dxa"/>
            </w:tcMar>
            <w:vAlign w:val="center"/>
          </w:tcPr>
          <w:p w:rsidR="00BF7CA7" w:rsidRDefault="00ED7387" w:rsidP="00BF7CA7">
            <w:pPr>
              <w:pStyle w:val="BodyTextIndent"/>
              <w:keepNext/>
              <w:ind w:firstLine="0"/>
              <w:jc w:val="center"/>
            </w:pPr>
            <w:r>
              <w:t>0</w:t>
            </w:r>
          </w:p>
        </w:tc>
        <w:tc>
          <w:tcPr>
            <w:tcW w:w="547" w:type="dxa"/>
            <w:tcMar>
              <w:left w:w="72" w:type="dxa"/>
              <w:right w:w="72" w:type="dxa"/>
            </w:tcMar>
            <w:vAlign w:val="center"/>
          </w:tcPr>
          <w:p w:rsidR="00BF7CA7" w:rsidRDefault="00ED7387" w:rsidP="00BF7CA7">
            <w:pPr>
              <w:pStyle w:val="BodyTextIndent"/>
              <w:keepNext/>
              <w:ind w:firstLine="0"/>
              <w:jc w:val="center"/>
            </w:pPr>
            <w:r>
              <w:t>10</w:t>
            </w:r>
          </w:p>
        </w:tc>
      </w:tr>
    </w:tbl>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E23D15"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9055EA" w:rsidRDefault="009055EA" w:rsidP="009055EA">
      <w:pPr>
        <w:pStyle w:val="BodyTextIndent"/>
        <w:keepNext/>
        <w:spacing w:after="120"/>
        <w:ind w:firstLine="0"/>
        <w:jc w:val="center"/>
      </w:pPr>
      <w:r>
        <w:rPr>
          <w:noProof/>
        </w:rPr>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r w:rsidR="004D4225">
        <w:fldChar w:fldCharType="begin"/>
      </w:r>
      <w:r w:rsidR="004D4225">
        <w:instrText xml:space="preserve"> SEQ Figure \* ARABIC </w:instrText>
      </w:r>
      <w:r w:rsidR="004D4225">
        <w:fldChar w:fldCharType="separate"/>
      </w:r>
      <w:r>
        <w:rPr>
          <w:noProof/>
        </w:rPr>
        <w:t>2</w:t>
      </w:r>
      <w:r w:rsidR="004D4225">
        <w:rPr>
          <w:noProof/>
        </w:rPr>
        <w:fldChar w:fldCharType="end"/>
      </w:r>
      <w:r>
        <w:t>: Audio Processing</w:t>
      </w:r>
    </w:p>
    <w:p w:rsidR="00892491" w:rsidRPr="00892491" w:rsidRDefault="00892491" w:rsidP="00892491">
      <w:pPr>
        <w:rPr>
          <w:lang w:eastAsia="en-AU"/>
        </w:rPr>
      </w:pPr>
    </w:p>
    <w:p w:rsidR="00893FFA"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r w:rsidR="004D4225">
        <w:fldChar w:fldCharType="begin"/>
      </w:r>
      <w:r w:rsidR="004D4225">
        <w:instrText xml:space="preserve"> SEQ Equation \* ARABIC </w:instrText>
      </w:r>
      <w:r w:rsidR="004D4225">
        <w:fldChar w:fldCharType="separate"/>
      </w:r>
      <w:r>
        <w:rPr>
          <w:noProof/>
        </w:rPr>
        <w:t>3</w:t>
      </w:r>
      <w:r w:rsidR="004D4225">
        <w:rPr>
          <w:noProof/>
        </w:rPr>
        <w:fldChar w:fldCharType="end"/>
      </w:r>
    </w:p>
    <w:p w:rsidR="008B197E" w:rsidRDefault="00893FFA" w:rsidP="000917C8">
      <w:pPr>
        <w:rPr>
          <w:lang w:eastAsia="en-AU"/>
        </w:rPr>
      </w:pPr>
      <w:r>
        <w:rPr>
          <w:lang w:eastAsia="en-AU"/>
        </w:rPr>
        <w:lastRenderedPageBreak/>
        <w:t>From this function, it is clear that fitness is to be minimized by the CMA-ES. The ideal fitnes</w:t>
      </w:r>
      <w:r w:rsidR="0026429F">
        <w:rPr>
          <w:lang w:eastAsia="en-AU"/>
        </w:rPr>
        <w:t>s is 0, as this would mean that the processed and clean signals were exactly the same.</w:t>
      </w:r>
    </w:p>
    <w:p w:rsidR="008B197E" w:rsidRPr="004B2792" w:rsidRDefault="00725F64" w:rsidP="004B2792">
      <w:pPr>
        <w:pStyle w:val="Heading1"/>
        <w:spacing w:before="120"/>
      </w:pPr>
      <w:r w:rsidRPr="004B2792">
        <w:t>EXPERIMENTAL RESULTS</w:t>
      </w:r>
    </w:p>
    <w:p w:rsidR="00A7528E" w:rsidRDefault="006064E0" w:rsidP="00A7528E">
      <w:r>
        <w:t xml:space="preserve">In this section, we look at the results of using the CMA-ES to determine the best values for the </w:t>
      </w:r>
      <w:r w:rsidR="006F73F8">
        <w:t>8</w:t>
      </w:r>
      <w:r>
        <w:t xml:space="preserve"> parameters</w:t>
      </w:r>
      <w:r w:rsidR="00C42DF6">
        <w:t>,</w:t>
      </w:r>
      <w:r>
        <w:t xml:space="preserve"> described in Section 2</w:t>
      </w:r>
      <w:r w:rsidR="00C42DF6">
        <w:t xml:space="preserve">, which will </w:t>
      </w:r>
      <w:r>
        <w:t>reduce the noise in an audio file</w:t>
      </w:r>
      <w:r w:rsidR="00C42DF6">
        <w:t>.</w:t>
      </w:r>
    </w:p>
    <w:p w:rsidR="00CA0E3C" w:rsidRDefault="00CA0E3C" w:rsidP="00CA0E3C">
      <w:pPr>
        <w:pStyle w:val="Heading2"/>
      </w:pPr>
      <w:r>
        <w:t>Experimental Setup</w:t>
      </w:r>
    </w:p>
    <w:p w:rsidR="007C5A1F" w:rsidRDefault="00D91DF7" w:rsidP="0082277A">
      <w:r>
        <w:t xml:space="preserve">There were 3 different </w:t>
      </w:r>
      <w:r w:rsidR="00E00CAC">
        <w:t>population</w:t>
      </w:r>
      <w:r>
        <w:t xml:space="preserve"> </w:t>
      </w:r>
      <w:r w:rsidR="00D44EC1">
        <w:t>sizes</w:t>
      </w:r>
      <w:r>
        <w:t xml:space="preserve"> used with CMA-ES by varying the parent (</w:t>
      </w:r>
      <w:r w:rsidR="00611ADE">
        <w:t>μ) and offspring (λ)</w:t>
      </w:r>
      <w:r>
        <w:t>.</w:t>
      </w:r>
      <w:r w:rsidR="007C5A1F">
        <w:t xml:space="preserve"> The </w:t>
      </w:r>
      <w:r w:rsidR="00611ADE">
        <w:t xml:space="preserve">numbers of parents were </w:t>
      </w:r>
      <w:r w:rsidR="007C5A1F">
        <w:t xml:space="preserve">6, 12, and 24 which correspond to the offspring </w:t>
      </w:r>
      <w:r w:rsidR="00611ADE">
        <w:t xml:space="preserve">numbers of </w:t>
      </w:r>
      <w:r w:rsidR="007C5A1F">
        <w:t xml:space="preserve">12, 24, and 48 respectively. Each </w:t>
      </w:r>
      <w:r w:rsidR="00611ADE">
        <w:t>offspring</w:t>
      </w:r>
      <w:r w:rsidR="008D15CD">
        <w:t xml:space="preserve"> </w:t>
      </w:r>
      <w:r w:rsidR="00D44EC1">
        <w:t xml:space="preserve">size </w:t>
      </w:r>
      <w:r w:rsidR="007C5A1F">
        <w:t>was run 50 times with 300 generations per run. The following sections will analyze the results of these runs.</w:t>
      </w:r>
      <w:r w:rsidR="00EF215E" w:rsidRPr="00EF215E">
        <w:rPr>
          <w:noProof/>
        </w:rPr>
        <w:t xml:space="preserve"> </w:t>
      </w:r>
    </w:p>
    <w:p w:rsidR="007C5A1F" w:rsidRDefault="007C5A1F" w:rsidP="007C5A1F">
      <w:pPr>
        <w:pStyle w:val="Heading2"/>
      </w:pPr>
      <w:r>
        <w:t>Fitness</w:t>
      </w:r>
    </w:p>
    <w:p w:rsidR="00E00CAC" w:rsidRDefault="006D2D87" w:rsidP="00435698">
      <w:r>
        <w:t>As described in Section 2.4</w:t>
      </w:r>
      <w:r w:rsidR="00E31446">
        <w:t>, the fitness is a measure of the difference between the clean audio file and the processed audio file. As such, a lower fitness is more desirable since it represe</w:t>
      </w:r>
      <w:r w:rsidR="00E00CAC">
        <w:t>nts less of a difference from</w:t>
      </w:r>
      <w:r w:rsidR="00E31446">
        <w:t xml:space="preserve"> the clean audio file.</w:t>
      </w:r>
      <w:r w:rsidR="00CE2F9F">
        <w:t xml:space="preserve"> </w:t>
      </w:r>
      <w:r w:rsidR="00CE2F9F">
        <w:fldChar w:fldCharType="begin"/>
      </w:r>
      <w:r w:rsidR="00CE2F9F">
        <w:instrText xml:space="preserve"> REF _Ref437080196 \h </w:instrText>
      </w:r>
      <w:r w:rsidR="00CE2F9F">
        <w:fldChar w:fldCharType="separate"/>
      </w:r>
      <w:r w:rsidR="00CE2F9F">
        <w:t xml:space="preserve">Figure </w:t>
      </w:r>
      <w:r w:rsidR="00CE2F9F">
        <w:rPr>
          <w:noProof/>
        </w:rPr>
        <w:t>3</w:t>
      </w:r>
      <w:r w:rsidR="00CE2F9F">
        <w:fldChar w:fldCharType="end"/>
      </w:r>
      <w:r w:rsidR="00CE2F9F">
        <w:t xml:space="preserve"> shows the average fitness of each generation for each </w:t>
      </w:r>
      <w:r w:rsidR="00611ADE">
        <w:t>offspring</w:t>
      </w:r>
      <w:r w:rsidR="00CE2F9F">
        <w:t xml:space="preserve"> </w:t>
      </w:r>
      <w:r w:rsidR="00A40DBD">
        <w:t xml:space="preserve">size </w:t>
      </w:r>
      <w:r w:rsidR="00FA402B">
        <w:t>(</w:t>
      </w:r>
      <w:r w:rsidR="00CE2F9F">
        <w:t>12, 24, and 48).</w:t>
      </w:r>
      <w:r w:rsidR="008D15CD">
        <w:t xml:space="preserve"> The fitness for all </w:t>
      </w:r>
      <w:r w:rsidR="00611ADE">
        <w:t>offspring</w:t>
      </w:r>
      <w:r w:rsidR="00E00CAC">
        <w:t xml:space="preserve"> </w:t>
      </w:r>
      <w:r w:rsidR="00A40DBD">
        <w:t>sizes begin</w:t>
      </w:r>
      <w:r w:rsidR="00E00CAC">
        <w:t xml:space="preserve"> to level off at around generation 60. This trend continues through the final 300</w:t>
      </w:r>
      <w:r w:rsidR="00E00CAC" w:rsidRPr="00E00CAC">
        <w:rPr>
          <w:vertAlign w:val="superscript"/>
        </w:rPr>
        <w:t>th</w:t>
      </w:r>
      <w:r w:rsidR="00E00CAC">
        <w:t xml:space="preserve"> generation.</w:t>
      </w:r>
    </w:p>
    <w:p w:rsidR="00E73D70" w:rsidRDefault="00E00CAC" w:rsidP="00435698">
      <w:r>
        <w:fldChar w:fldCharType="begin"/>
      </w:r>
      <w:r>
        <w:instrText xml:space="preserve"> REF _Ref437080196 \h </w:instrText>
      </w:r>
      <w:r>
        <w:fldChar w:fldCharType="separate"/>
      </w:r>
      <w:r>
        <w:t xml:space="preserve">Figure </w:t>
      </w:r>
      <w:r>
        <w:rPr>
          <w:noProof/>
        </w:rPr>
        <w:t>3</w:t>
      </w:r>
      <w:r>
        <w:fldChar w:fldCharType="end"/>
      </w:r>
      <w:r>
        <w:t xml:space="preserve"> also shows that as the offspring size is increased the converged upon fitness value gets better. This is expected since as the population increases a larger initial sample of the search space is available. Therefore, there is a high chance that something in that population will lead down a path that results in a better fitness. When the offspring size is increased from 12 to 24 there is a very noticeable improvement to the fitness. Then again as the offspring size is increased from 24 to 48 the fitness is again improved, but by a small factor than before. </w:t>
      </w:r>
    </w:p>
    <w:p w:rsidR="005F7CA6" w:rsidRPr="00435698" w:rsidRDefault="005F7CA6" w:rsidP="00435698"/>
    <w:p w:rsidR="007C5A1F" w:rsidRDefault="00516136" w:rsidP="00516136">
      <w:pPr>
        <w:jc w:val="center"/>
      </w:pPr>
      <w:r>
        <w:rPr>
          <w:noProof/>
        </w:rPr>
        <w:drawing>
          <wp:inline distT="0" distB="0" distL="0" distR="0" wp14:anchorId="102D6D7F" wp14:editId="39CE6373">
            <wp:extent cx="3044952" cy="1508760"/>
            <wp:effectExtent l="0" t="0" r="3175" b="0"/>
            <wp:docPr id="6" name="Picture 6" descr="C:\Users\A27LY5T\AppData\Local\Microsoft\Windows\Temporary Internet Files\Content.Word\avgFitness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7LY5T\AppData\Local\Microsoft\Windows\Temporary Internet Files\Content.Word\avgFitness_Pi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6" r="7284"/>
                    <a:stretch/>
                  </pic:blipFill>
                  <pic:spPr bwMode="auto">
                    <a:xfrm>
                      <a:off x="0" y="0"/>
                      <a:ext cx="3044952" cy="1508760"/>
                    </a:xfrm>
                    <a:prstGeom prst="rect">
                      <a:avLst/>
                    </a:prstGeom>
                    <a:noFill/>
                    <a:ln>
                      <a:noFill/>
                    </a:ln>
                    <a:extLst>
                      <a:ext uri="{53640926-AAD7-44D8-BBD7-CCE9431645EC}">
                        <a14:shadowObscured xmlns:a14="http://schemas.microsoft.com/office/drawing/2010/main"/>
                      </a:ext>
                    </a:extLst>
                  </pic:spPr>
                </pic:pic>
              </a:graphicData>
            </a:graphic>
          </wp:inline>
        </w:drawing>
      </w:r>
    </w:p>
    <w:p w:rsidR="00516136" w:rsidRDefault="00516136" w:rsidP="0074769A">
      <w:pPr>
        <w:pStyle w:val="Caption"/>
      </w:pPr>
      <w:bookmarkStart w:id="2" w:name="_Ref437080196"/>
      <w:r>
        <w:t xml:space="preserve">Figure </w:t>
      </w:r>
      <w:r w:rsidR="004D4225">
        <w:fldChar w:fldCharType="begin"/>
      </w:r>
      <w:r w:rsidR="004D4225">
        <w:instrText xml:space="preserve"> SEQ Figure \* ARABIC </w:instrText>
      </w:r>
      <w:r w:rsidR="004D4225">
        <w:fldChar w:fldCharType="separate"/>
      </w:r>
      <w:r>
        <w:rPr>
          <w:noProof/>
        </w:rPr>
        <w:t>3</w:t>
      </w:r>
      <w:r w:rsidR="004D4225">
        <w:rPr>
          <w:noProof/>
        </w:rPr>
        <w:fldChar w:fldCharType="end"/>
      </w:r>
      <w:bookmarkEnd w:id="2"/>
      <w:r w:rsidR="00435698">
        <w:t>: Average Fitness for Each Generation</w:t>
      </w:r>
    </w:p>
    <w:p w:rsidR="005F7CA6" w:rsidRDefault="005F7CA6" w:rsidP="00830CB6">
      <w:pPr>
        <w:rPr>
          <w:lang w:eastAsia="en-AU"/>
        </w:rPr>
      </w:pPr>
    </w:p>
    <w:p w:rsidR="00830CB6" w:rsidRDefault="00830CB6" w:rsidP="00830CB6">
      <w:pPr>
        <w:rPr>
          <w:lang w:eastAsia="en-AU"/>
        </w:rPr>
      </w:pPr>
      <w:r>
        <w:rPr>
          <w:lang w:eastAsia="en-AU"/>
        </w:rPr>
        <w:fldChar w:fldCharType="begin"/>
      </w:r>
      <w:r>
        <w:rPr>
          <w:lang w:eastAsia="en-AU"/>
        </w:rPr>
        <w:instrText xml:space="preserve"> REF _Ref437082418 \h </w:instrText>
      </w:r>
      <w:r>
        <w:rPr>
          <w:lang w:eastAsia="en-AU"/>
        </w:rPr>
      </w:r>
      <w:r>
        <w:rPr>
          <w:lang w:eastAsia="en-AU"/>
        </w:rPr>
        <w:fldChar w:fldCharType="separate"/>
      </w:r>
      <w:r>
        <w:t xml:space="preserve">Figure </w:t>
      </w:r>
      <w:r>
        <w:rPr>
          <w:noProof/>
        </w:rPr>
        <w:t>4</w:t>
      </w:r>
      <w:r>
        <w:rPr>
          <w:lang w:eastAsia="en-AU"/>
        </w:rPr>
        <w:fldChar w:fldCharType="end"/>
      </w:r>
      <w:r>
        <w:rPr>
          <w:lang w:eastAsia="en-AU"/>
        </w:rPr>
        <w:t xml:space="preserve">, </w:t>
      </w:r>
      <w:r>
        <w:rPr>
          <w:lang w:eastAsia="en-AU"/>
        </w:rPr>
        <w:fldChar w:fldCharType="begin"/>
      </w:r>
      <w:r>
        <w:rPr>
          <w:lang w:eastAsia="en-AU"/>
        </w:rPr>
        <w:instrText xml:space="preserve"> REF _Ref437082424 \h </w:instrText>
      </w:r>
      <w:r>
        <w:rPr>
          <w:lang w:eastAsia="en-AU"/>
        </w:rPr>
      </w:r>
      <w:r>
        <w:rPr>
          <w:lang w:eastAsia="en-AU"/>
        </w:rPr>
        <w:fldChar w:fldCharType="separate"/>
      </w:r>
      <w:r>
        <w:t xml:space="preserve">Figure </w:t>
      </w:r>
      <w:r>
        <w:rPr>
          <w:noProof/>
        </w:rPr>
        <w:t>5</w:t>
      </w:r>
      <w:r>
        <w:rPr>
          <w:lang w:eastAsia="en-AU"/>
        </w:rPr>
        <w:fldChar w:fldCharType="end"/>
      </w:r>
      <w:r>
        <w:rPr>
          <w:lang w:eastAsia="en-AU"/>
        </w:rPr>
        <w:t xml:space="preserve">, and </w:t>
      </w:r>
      <w:r w:rsidR="00230C4F">
        <w:rPr>
          <w:lang w:eastAsia="en-AU"/>
        </w:rPr>
        <w:fldChar w:fldCharType="begin"/>
      </w:r>
      <w:r w:rsidR="00230C4F">
        <w:rPr>
          <w:lang w:eastAsia="en-AU"/>
        </w:rPr>
        <w:instrText xml:space="preserve"> REF _Ref437082561 \h </w:instrText>
      </w:r>
      <w:r w:rsidR="00230C4F">
        <w:rPr>
          <w:lang w:eastAsia="en-AU"/>
        </w:rPr>
      </w:r>
      <w:r w:rsidR="00230C4F">
        <w:rPr>
          <w:lang w:eastAsia="en-AU"/>
        </w:rPr>
        <w:fldChar w:fldCharType="separate"/>
      </w:r>
      <w:r w:rsidR="00230C4F">
        <w:t xml:space="preserve">Figure </w:t>
      </w:r>
      <w:r w:rsidR="00230C4F">
        <w:rPr>
          <w:noProof/>
        </w:rPr>
        <w:t>6</w:t>
      </w:r>
      <w:r w:rsidR="00230C4F">
        <w:rPr>
          <w:lang w:eastAsia="en-AU"/>
        </w:rPr>
        <w:fldChar w:fldCharType="end"/>
      </w:r>
      <w:r w:rsidR="00230C4F">
        <w:rPr>
          <w:lang w:eastAsia="en-AU"/>
        </w:rPr>
        <w:t xml:space="preserve"> show the average fitness of each generation with 95% confidence intervals added in.</w:t>
      </w:r>
      <w:r w:rsidR="00980CAC">
        <w:rPr>
          <w:lang w:eastAsia="en-AU"/>
        </w:rPr>
        <w:t xml:space="preserve"> Overall, this shows that the error bars in the confidence intervals are quite small. This indicates that the offspring currently in each generation generally exhibit similar fitness values. In addition, we can see that as the number of generations increases the error bars get smaller which indicates that population is becoming less diverse. This is expected as the CMA-ES begins to converge of the best parameters. </w:t>
      </w:r>
    </w:p>
    <w:p w:rsidR="00830CB6" w:rsidRDefault="00830CB6" w:rsidP="00830CB6">
      <w:pPr>
        <w:rPr>
          <w:lang w:eastAsia="en-AU"/>
        </w:rPr>
      </w:pPr>
    </w:p>
    <w:p w:rsidR="00830CB6" w:rsidRDefault="00830CB6" w:rsidP="00830CB6">
      <w:pPr>
        <w:rPr>
          <w:lang w:eastAsia="en-AU"/>
        </w:rPr>
      </w:pPr>
    </w:p>
    <w:p w:rsidR="00B5198D" w:rsidRPr="00B5198D" w:rsidRDefault="00B5198D" w:rsidP="00B5198D">
      <w:pPr>
        <w:rPr>
          <w:lang w:eastAsia="en-AU"/>
        </w:rPr>
      </w:pPr>
    </w:p>
    <w:p w:rsidR="009177D2" w:rsidRDefault="00531B81" w:rsidP="00E73D70">
      <w:r>
        <w:rPr>
          <w:noProof/>
        </w:rPr>
        <w:lastRenderedPageBreak/>
        <w:drawing>
          <wp:inline distT="0" distB="0" distL="0" distR="0" wp14:anchorId="77FAFA59" wp14:editId="726330C6">
            <wp:extent cx="3044952" cy="1435608"/>
            <wp:effectExtent l="0" t="0" r="3175" b="0"/>
            <wp:docPr id="11" name="Picture 11" descr="C:\Users\A27LY5T\AppData\Local\Microsoft\Windows\Temporary Internet Files\Content.Word\1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7LY5T\AppData\Local\Microsoft\Windows\Temporary Internet Files\Content.Word\12_Pi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2" t="4762" r="7346"/>
                    <a:stretch/>
                  </pic:blipFill>
                  <pic:spPr bwMode="auto">
                    <a:xfrm>
                      <a:off x="0" y="0"/>
                      <a:ext cx="3044952" cy="1435608"/>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531B81" w:rsidP="00531B81">
      <w:pPr>
        <w:pStyle w:val="Caption"/>
      </w:pPr>
      <w:bookmarkStart w:id="3" w:name="_Ref437082418"/>
      <w:r>
        <w:t xml:space="preserve">Figure </w:t>
      </w:r>
      <w:r w:rsidR="004D4225">
        <w:fldChar w:fldCharType="begin"/>
      </w:r>
      <w:r w:rsidR="004D4225">
        <w:instrText xml:space="preserve"> SEQ Figure \* ARABIC </w:instrText>
      </w:r>
      <w:r w:rsidR="004D4225">
        <w:fldChar w:fldCharType="separate"/>
      </w:r>
      <w:r>
        <w:rPr>
          <w:noProof/>
        </w:rPr>
        <w:t>4</w:t>
      </w:r>
      <w:r w:rsidR="004D4225">
        <w:rPr>
          <w:noProof/>
        </w:rPr>
        <w:fldChar w:fldCharType="end"/>
      </w:r>
      <w:bookmarkEnd w:id="3"/>
      <w:r>
        <w:t>: Confidence Interval of Fitness for Offspring Size 12</w:t>
      </w:r>
    </w:p>
    <w:p w:rsidR="00510E75" w:rsidRPr="00510E75" w:rsidRDefault="00510E75" w:rsidP="00510E75">
      <w:pPr>
        <w:rPr>
          <w:lang w:eastAsia="en-AU"/>
        </w:rPr>
      </w:pPr>
    </w:p>
    <w:p w:rsidR="00531B81" w:rsidRDefault="00EF215E" w:rsidP="00531B81">
      <w:pPr>
        <w:pStyle w:val="Caption"/>
      </w:pPr>
      <w:bookmarkStart w:id="4" w:name="_Ref437082424"/>
      <w:r>
        <w:rPr>
          <w:noProof/>
          <w:lang w:eastAsia="en-US"/>
        </w:rPr>
        <w:drawing>
          <wp:inline distT="0" distB="0" distL="0" distR="0" wp14:anchorId="28493C23" wp14:editId="1C94E17C">
            <wp:extent cx="3044952" cy="1472184"/>
            <wp:effectExtent l="0" t="0" r="3175" b="0"/>
            <wp:docPr id="12" name="Picture 12" descr="C:\Users\A27LY5T\AppData\Local\Microsoft\Windows\Temporary Internet Files\Content.Word\2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7LY5T\AppData\Local\Microsoft\Windows\Temporary Internet Files\Content.Word\24_Pi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7" t="3099" r="7681"/>
                    <a:stretch/>
                  </pic:blipFill>
                  <pic:spPr bwMode="auto">
                    <a:xfrm>
                      <a:off x="0" y="0"/>
                      <a:ext cx="3044952" cy="1472184"/>
                    </a:xfrm>
                    <a:prstGeom prst="rect">
                      <a:avLst/>
                    </a:prstGeom>
                    <a:noFill/>
                    <a:ln>
                      <a:noFill/>
                    </a:ln>
                    <a:extLst>
                      <a:ext uri="{53640926-AAD7-44D8-BBD7-CCE9431645EC}">
                        <a14:shadowObscured xmlns:a14="http://schemas.microsoft.com/office/drawing/2010/main"/>
                      </a:ext>
                    </a:extLst>
                  </pic:spPr>
                </pic:pic>
              </a:graphicData>
            </a:graphic>
          </wp:inline>
        </w:drawing>
      </w:r>
      <w:r w:rsidR="00531B81">
        <w:t xml:space="preserve">Figure </w:t>
      </w:r>
      <w:r w:rsidR="004D4225">
        <w:fldChar w:fldCharType="begin"/>
      </w:r>
      <w:r w:rsidR="004D4225">
        <w:instrText xml:space="preserve"> SEQ Figure \* ARABIC </w:instrText>
      </w:r>
      <w:r w:rsidR="004D4225">
        <w:fldChar w:fldCharType="separate"/>
      </w:r>
      <w:r w:rsidR="00531B81">
        <w:rPr>
          <w:noProof/>
        </w:rPr>
        <w:t>5</w:t>
      </w:r>
      <w:r w:rsidR="004D4225">
        <w:rPr>
          <w:noProof/>
        </w:rPr>
        <w:fldChar w:fldCharType="end"/>
      </w:r>
      <w:bookmarkEnd w:id="4"/>
      <w:r w:rsidR="00531B81">
        <w:t>: Confidence Interval of Fitness for Offspring Size 24</w:t>
      </w:r>
    </w:p>
    <w:p w:rsidR="00531B81" w:rsidRDefault="00531B81" w:rsidP="00E73D70">
      <w:pPr>
        <w:rPr>
          <w:noProof/>
        </w:rPr>
      </w:pPr>
    </w:p>
    <w:p w:rsidR="00516136" w:rsidRDefault="00EF215E" w:rsidP="00E73D70">
      <w:r>
        <w:rPr>
          <w:noProof/>
        </w:rPr>
        <w:drawing>
          <wp:inline distT="0" distB="0" distL="0" distR="0" wp14:anchorId="37C6CE58" wp14:editId="60E6CA3A">
            <wp:extent cx="3044952" cy="1444752"/>
            <wp:effectExtent l="0" t="0" r="3175" b="3175"/>
            <wp:docPr id="10" name="Picture 10" descr="C:\Users\A27LY5T\AppData\Local\Microsoft\Windows\Temporary Internet Files\Content.Word\48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7LY5T\AppData\Local\Microsoft\Windows\Temporary Internet Files\Content.Word\48_Pi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t="4465" r="7389"/>
                    <a:stretch/>
                  </pic:blipFill>
                  <pic:spPr bwMode="auto">
                    <a:xfrm>
                      <a:off x="0" y="0"/>
                      <a:ext cx="3044952" cy="1444752"/>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830CB6" w:rsidP="003F40D2">
      <w:pPr>
        <w:pStyle w:val="Caption"/>
      </w:pPr>
      <w:bookmarkStart w:id="5" w:name="_Ref437082561"/>
      <w:r>
        <w:t xml:space="preserve">Figure </w:t>
      </w:r>
      <w:r w:rsidR="004D4225">
        <w:fldChar w:fldCharType="begin"/>
      </w:r>
      <w:r w:rsidR="004D4225">
        <w:instrText xml:space="preserve"> SEQ Figure \* ARABIC </w:instrText>
      </w:r>
      <w:r w:rsidR="004D4225">
        <w:fldChar w:fldCharType="separate"/>
      </w:r>
      <w:r>
        <w:rPr>
          <w:noProof/>
        </w:rPr>
        <w:t>6</w:t>
      </w:r>
      <w:r w:rsidR="004D4225">
        <w:rPr>
          <w:noProof/>
        </w:rPr>
        <w:fldChar w:fldCharType="end"/>
      </w:r>
      <w:bookmarkEnd w:id="5"/>
      <w:r>
        <w:t>: Confidence Interval of Fitness for Offspring Size</w:t>
      </w:r>
      <w:r w:rsidR="005C5621">
        <w:t xml:space="preserve"> 48</w:t>
      </w:r>
    </w:p>
    <w:p w:rsidR="00014F96" w:rsidRPr="00531B81" w:rsidRDefault="00014F96" w:rsidP="00E73D70">
      <w:pPr>
        <w:rPr>
          <w:rFonts w:cs="Miriam"/>
          <w:b/>
          <w:bCs/>
          <w:szCs w:val="18"/>
          <w:lang w:eastAsia="en-AU"/>
        </w:rPr>
      </w:pPr>
    </w:p>
    <w:p w:rsidR="007C5A1F" w:rsidRDefault="007C5A1F" w:rsidP="007C5A1F">
      <w:pPr>
        <w:pStyle w:val="Heading2"/>
      </w:pPr>
      <w:r>
        <w:t>Expert Results</w:t>
      </w:r>
    </w:p>
    <w:p w:rsidR="008C5CB5" w:rsidRDefault="00F01FF9" w:rsidP="009170CC">
      <w:r>
        <w:t xml:space="preserve">One of the primary objectives of this paper was to see if the CMA-ES approach to noise reduction could outperform the component methods individually with parameters tuned by experts in the </w:t>
      </w:r>
      <w:r w:rsidR="005942CE">
        <w:t>field</w:t>
      </w:r>
      <w:r>
        <w:t>. The approach taken in this paper, with the Wiener filter and spectral subtraction being used in parallel, and passing the summation of the two through the noise gate, is not typically done is practice. Usually, only one noise reduction algorithm is used at a time.</w:t>
      </w:r>
      <w:r w:rsidR="005942CE">
        <w:t xml:space="preserve"> Therefore the two expert results were run through the fitness function with either the Wiener filter gain or the spectral subtraction gain set to 0. This would cause the function to use only the one with the non-zero gain. In addition, for these calculations, the result was not run through the noise gate.</w:t>
      </w:r>
    </w:p>
    <w:p w:rsidR="0039557D" w:rsidRDefault="008C5CB5" w:rsidP="009170CC">
      <w:r>
        <w:fldChar w:fldCharType="begin"/>
      </w:r>
      <w:r>
        <w:instrText xml:space="preserve"> REF _Ref437084297 \h </w:instrText>
      </w:r>
      <w:r>
        <w:fldChar w:fldCharType="separate"/>
      </w:r>
      <w:r>
        <w:t xml:space="preserve">Table </w:t>
      </w:r>
      <w:r>
        <w:rPr>
          <w:noProof/>
        </w:rPr>
        <w:t>2</w:t>
      </w:r>
      <w:r>
        <w:fldChar w:fldCharType="end"/>
      </w:r>
      <w:r w:rsidR="005942CE">
        <w:t xml:space="preserve"> </w:t>
      </w:r>
      <w:r w:rsidR="00D51E62">
        <w:t xml:space="preserve">shows the parameters that were used for each of the expert results in addition to the final fitness of running each algorithm individually. </w:t>
      </w:r>
      <w:r w:rsidR="0039557D">
        <w:t>Both algorithms produced a fitness of just over 0.03.</w:t>
      </w:r>
    </w:p>
    <w:p w:rsidR="0039557D" w:rsidRDefault="0039557D" w:rsidP="009170CC"/>
    <w:p w:rsidR="009170CC" w:rsidRPr="00AB7536" w:rsidRDefault="00D51E62" w:rsidP="009170CC">
      <w:r>
        <w:t xml:space="preserve"> </w:t>
      </w:r>
    </w:p>
    <w:p w:rsidR="00F01FF9" w:rsidRPr="00B9242B" w:rsidRDefault="009170CC" w:rsidP="009170CC">
      <w:pPr>
        <w:pStyle w:val="Caption"/>
      </w:pPr>
      <w:bookmarkStart w:id="6" w:name="_Ref437084297"/>
      <w:r>
        <w:lastRenderedPageBreak/>
        <w:t xml:space="preserve">Table </w:t>
      </w:r>
      <w:r w:rsidR="004D4225">
        <w:fldChar w:fldCharType="begin"/>
      </w:r>
      <w:r w:rsidR="004D4225">
        <w:instrText xml:space="preserve"> SEQ Table \* ARABIC </w:instrText>
      </w:r>
      <w:r w:rsidR="004D4225">
        <w:fldChar w:fldCharType="separate"/>
      </w:r>
      <w:r>
        <w:rPr>
          <w:noProof/>
        </w:rPr>
        <w:t>2</w:t>
      </w:r>
      <w:r w:rsidR="004D4225">
        <w:rPr>
          <w:noProof/>
        </w:rPr>
        <w:fldChar w:fldCharType="end"/>
      </w:r>
      <w:bookmarkEnd w:id="6"/>
      <w:r>
        <w:t>: List of Expert Defined Parameters</w:t>
      </w:r>
    </w:p>
    <w:tbl>
      <w:tblPr>
        <w:tblW w:w="504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32"/>
        <w:gridCol w:w="1469"/>
        <w:gridCol w:w="904"/>
        <w:gridCol w:w="941"/>
      </w:tblGrid>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rPr>
                <w:b/>
                <w:bCs/>
              </w:rPr>
            </w:pPr>
            <w:r>
              <w:rPr>
                <w:b/>
                <w:bCs/>
              </w:rPr>
              <w:t>Component</w:t>
            </w:r>
          </w:p>
        </w:tc>
        <w:tc>
          <w:tcPr>
            <w:tcW w:w="1440" w:type="dxa"/>
            <w:tcMar>
              <w:left w:w="72" w:type="dxa"/>
              <w:right w:w="72" w:type="dxa"/>
            </w:tcMar>
            <w:vAlign w:val="center"/>
          </w:tcPr>
          <w:p w:rsidR="00BB4EB8" w:rsidRDefault="00BB4EB8" w:rsidP="00BA732B">
            <w:pPr>
              <w:pStyle w:val="BodyTextIndent"/>
              <w:ind w:firstLine="0"/>
              <w:jc w:val="center"/>
              <w:rPr>
                <w:b/>
                <w:bCs/>
              </w:rPr>
            </w:pPr>
            <w:r>
              <w:rPr>
                <w:b/>
                <w:bCs/>
              </w:rPr>
              <w:t>Parameter</w:t>
            </w:r>
          </w:p>
        </w:tc>
        <w:tc>
          <w:tcPr>
            <w:tcW w:w="886" w:type="dxa"/>
            <w:tcMar>
              <w:left w:w="72" w:type="dxa"/>
              <w:right w:w="72" w:type="dxa"/>
            </w:tcMar>
            <w:vAlign w:val="center"/>
          </w:tcPr>
          <w:p w:rsidR="00BB4EB8" w:rsidRDefault="00BB4EB8" w:rsidP="00BA732B">
            <w:pPr>
              <w:pStyle w:val="BodyTextIndent"/>
              <w:ind w:firstLine="0"/>
              <w:jc w:val="center"/>
              <w:rPr>
                <w:b/>
                <w:bCs/>
              </w:rPr>
            </w:pPr>
            <w:r>
              <w:rPr>
                <w:b/>
                <w:bCs/>
              </w:rPr>
              <w:t>Expert 1</w:t>
            </w:r>
          </w:p>
        </w:tc>
        <w:tc>
          <w:tcPr>
            <w:tcW w:w="923" w:type="dxa"/>
            <w:tcMar>
              <w:left w:w="72" w:type="dxa"/>
              <w:right w:w="72" w:type="dxa"/>
            </w:tcMar>
            <w:vAlign w:val="center"/>
          </w:tcPr>
          <w:p w:rsidR="00BB4EB8" w:rsidRDefault="00BB4EB8" w:rsidP="00BA732B">
            <w:pPr>
              <w:pStyle w:val="BodyTextIndent"/>
              <w:ind w:firstLine="0"/>
              <w:jc w:val="center"/>
              <w:rPr>
                <w:b/>
                <w:bCs/>
              </w:rPr>
            </w:pPr>
            <w:r>
              <w:rPr>
                <w:b/>
                <w:bCs/>
              </w:rPr>
              <w:t>Expert 2</w:t>
            </w:r>
          </w:p>
        </w:tc>
      </w:tr>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rPr>
                <w:vertAlign w:val="subscript"/>
              </w:rPr>
            </w:pPr>
            <w:r>
              <w:t>1</w:t>
            </w:r>
          </w:p>
        </w:tc>
        <w:tc>
          <w:tcPr>
            <w:tcW w:w="923" w:type="dxa"/>
            <w:tcMar>
              <w:left w:w="72" w:type="dxa"/>
              <w:right w:w="72" w:type="dxa"/>
            </w:tcMar>
            <w:vAlign w:val="center"/>
          </w:tcPr>
          <w:p w:rsidR="00BB4EB8" w:rsidRDefault="00BB4EB8" w:rsidP="00BA732B">
            <w:pPr>
              <w:pStyle w:val="BodyTextIndent"/>
              <w:ind w:firstLine="0"/>
              <w:jc w:val="center"/>
            </w:pPr>
            <w:r>
              <w:t>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Smoothing Factor</w:t>
            </w:r>
          </w:p>
        </w:tc>
        <w:tc>
          <w:tcPr>
            <w:tcW w:w="886" w:type="dxa"/>
            <w:tcMar>
              <w:left w:w="72" w:type="dxa"/>
              <w:right w:w="72" w:type="dxa"/>
            </w:tcMar>
            <w:vAlign w:val="center"/>
          </w:tcPr>
          <w:p w:rsidR="00BB4EB8" w:rsidRDefault="00BB4EB8" w:rsidP="00BA732B">
            <w:pPr>
              <w:pStyle w:val="BodyTextIndent"/>
              <w:ind w:firstLine="0"/>
              <w:jc w:val="center"/>
            </w:pPr>
            <w:r>
              <w:t>0.98</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pPr>
            <w:r>
              <w:t>0</w:t>
            </w:r>
          </w:p>
        </w:tc>
        <w:tc>
          <w:tcPr>
            <w:tcW w:w="923" w:type="dxa"/>
            <w:tcMar>
              <w:left w:w="72" w:type="dxa"/>
              <w:right w:w="72" w:type="dxa"/>
            </w:tcMar>
            <w:vAlign w:val="center"/>
          </w:tcPr>
          <w:p w:rsidR="00BB4EB8" w:rsidRDefault="00BB4EB8" w:rsidP="00BA732B">
            <w:pPr>
              <w:pStyle w:val="BodyTextIndent"/>
              <w:ind w:firstLine="0"/>
              <w:jc w:val="center"/>
            </w:pPr>
            <w:r>
              <w:t>1</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Margin</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8</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Length</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20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Hang Over</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3</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Threshold</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Attack/Release</w:t>
            </w:r>
          </w:p>
        </w:tc>
        <w:tc>
          <w:tcPr>
            <w:tcW w:w="886" w:type="dxa"/>
            <w:tcMar>
              <w:left w:w="72" w:type="dxa"/>
              <w:right w:w="72" w:type="dxa"/>
            </w:tcMar>
            <w:vAlign w:val="center"/>
          </w:tcPr>
          <w:p w:rsidR="00BB4EB8" w:rsidRDefault="00BB4EB8" w:rsidP="00BA732B">
            <w:pPr>
              <w:pStyle w:val="BodyTextIndent"/>
              <w:keepNext/>
              <w:ind w:firstLine="0"/>
              <w:jc w:val="center"/>
            </w:pPr>
            <w:r>
              <w:t>N/A</w:t>
            </w:r>
          </w:p>
        </w:tc>
        <w:tc>
          <w:tcPr>
            <w:tcW w:w="923" w:type="dxa"/>
            <w:tcMar>
              <w:left w:w="72" w:type="dxa"/>
              <w:right w:w="72" w:type="dxa"/>
            </w:tcMar>
            <w:vAlign w:val="center"/>
          </w:tcPr>
          <w:p w:rsidR="00BB4EB8" w:rsidRDefault="00BB4EB8" w:rsidP="00BA732B">
            <w:pPr>
              <w:pStyle w:val="BodyTextIndent"/>
              <w:keepNext/>
              <w:ind w:firstLine="0"/>
              <w:jc w:val="center"/>
            </w:pPr>
            <w:r>
              <w:t>N/A</w:t>
            </w:r>
          </w:p>
        </w:tc>
      </w:tr>
      <w:tr w:rsidR="008C5CB5" w:rsidTr="007D37D3">
        <w:trPr>
          <w:trHeight w:val="341"/>
          <w:jc w:val="center"/>
        </w:trPr>
        <w:tc>
          <w:tcPr>
            <w:tcW w:w="1699" w:type="dxa"/>
            <w:tcMar>
              <w:left w:w="72" w:type="dxa"/>
              <w:right w:w="72" w:type="dxa"/>
            </w:tcMar>
            <w:vAlign w:val="center"/>
          </w:tcPr>
          <w:p w:rsidR="008C5CB5" w:rsidRDefault="008C5CB5" w:rsidP="00BA732B">
            <w:pPr>
              <w:pStyle w:val="BodyTextIndent"/>
              <w:ind w:firstLine="0"/>
              <w:jc w:val="center"/>
            </w:pPr>
          </w:p>
        </w:tc>
        <w:tc>
          <w:tcPr>
            <w:tcW w:w="1440" w:type="dxa"/>
            <w:tcMar>
              <w:left w:w="72" w:type="dxa"/>
              <w:right w:w="72" w:type="dxa"/>
            </w:tcMar>
            <w:vAlign w:val="center"/>
          </w:tcPr>
          <w:p w:rsidR="008C5CB5" w:rsidRPr="008C5CB5" w:rsidRDefault="008C5CB5" w:rsidP="00BA732B">
            <w:pPr>
              <w:pStyle w:val="BodyTextIndent"/>
              <w:ind w:firstLine="0"/>
              <w:jc w:val="center"/>
              <w:rPr>
                <w:b/>
              </w:rPr>
            </w:pPr>
            <w:r w:rsidRPr="008C5CB5">
              <w:rPr>
                <w:b/>
              </w:rPr>
              <w:t>Fitness</w:t>
            </w:r>
          </w:p>
        </w:tc>
        <w:tc>
          <w:tcPr>
            <w:tcW w:w="886"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0.0301</w:t>
            </w:r>
          </w:p>
        </w:tc>
        <w:tc>
          <w:tcPr>
            <w:tcW w:w="923"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0.0316</w:t>
            </w:r>
          </w:p>
        </w:tc>
      </w:tr>
    </w:tbl>
    <w:p w:rsidR="007C5A1F" w:rsidRDefault="007C5A1F" w:rsidP="0082277A"/>
    <w:p w:rsidR="007C5A1F" w:rsidRDefault="007C5A1F" w:rsidP="007C5A1F">
      <w:pPr>
        <w:pStyle w:val="Heading2"/>
      </w:pPr>
      <w:r>
        <w:t>Best Parameter Values</w:t>
      </w:r>
    </w:p>
    <w:p w:rsidR="007C5A1F" w:rsidRDefault="00774951" w:rsidP="0082277A">
      <w:r>
        <w:fldChar w:fldCharType="begin"/>
      </w:r>
      <w:r>
        <w:instrText xml:space="preserve"> REF _Ref437085292 \h </w:instrText>
      </w:r>
      <w:r>
        <w:fldChar w:fldCharType="separate"/>
      </w:r>
      <w:r>
        <w:t xml:space="preserve">Table </w:t>
      </w:r>
      <w:r>
        <w:rPr>
          <w:noProof/>
        </w:rPr>
        <w:t>3</w:t>
      </w:r>
      <w:r>
        <w:fldChar w:fldCharType="end"/>
      </w:r>
      <w:r w:rsidR="00D44EC1">
        <w:t xml:space="preserve"> shows the best offspring in the final generation for each </w:t>
      </w:r>
      <w:r w:rsidR="00611ADE">
        <w:t>offspring</w:t>
      </w:r>
      <w:r w:rsidR="00D44EC1">
        <w:t xml:space="preserve"> size.</w:t>
      </w:r>
      <w:r w:rsidR="00F06793">
        <w:t xml:space="preserve"> We can see that the best offspring in all three </w:t>
      </w:r>
      <w:r w:rsidR="00611ADE">
        <w:t>offspring</w:t>
      </w:r>
      <w:r w:rsidR="00F06793">
        <w:t xml:space="preserve"> sizes have a greater fitness than both expert results shown in </w:t>
      </w:r>
      <w:r w:rsidR="00F06793">
        <w:fldChar w:fldCharType="begin"/>
      </w:r>
      <w:r w:rsidR="00F06793">
        <w:instrText xml:space="preserve"> REF _Ref437084297 \h </w:instrText>
      </w:r>
      <w:r w:rsidR="00F06793">
        <w:fldChar w:fldCharType="separate"/>
      </w:r>
      <w:r w:rsidR="00F06793">
        <w:t xml:space="preserve">Table </w:t>
      </w:r>
      <w:r w:rsidR="00F06793">
        <w:rPr>
          <w:noProof/>
        </w:rPr>
        <w:t>2</w:t>
      </w:r>
      <w:r w:rsidR="00F06793">
        <w:fldChar w:fldCharType="end"/>
      </w:r>
      <w:r w:rsidR="00F06793">
        <w:t>.</w:t>
      </w:r>
      <w:r w:rsidR="00E96DF1">
        <w:t xml:space="preserve"> The Wiener filter is known to be a very good algorithm for reducing the noise in an audio file. This is most likely the reason for the Wiener filter gains being higher than the spectral subtraction gains in all three. The evolutionary strategy is taking advantage of how good the Wiener filter is by using </w:t>
      </w:r>
      <w:r w:rsidR="00751A25">
        <w:t xml:space="preserve">over double of it versus </w:t>
      </w:r>
      <w:r w:rsidR="00E96DF1">
        <w:t>spectral subtraction.</w:t>
      </w:r>
      <w:r w:rsidR="00917E53">
        <w:t xml:space="preserve"> We can also see that the parameters for spectral subtraction (noise length, hang over, and threshold) seem to vary quite a bit between the three different best values for the </w:t>
      </w:r>
      <w:r w:rsidR="00611ADE">
        <w:t>three offspring sizes</w:t>
      </w:r>
      <w:r w:rsidR="00917E53">
        <w:t xml:space="preserve">. </w:t>
      </w:r>
      <w:r w:rsidR="002801AD">
        <w:t>This could be due to there being multiple best solutions throughout the search space.</w:t>
      </w:r>
      <w:r w:rsidR="00666467">
        <w:t xml:space="preserve"> The one parameter for the Wiener filter (smoothing factor), however, seems to be very consistent.</w:t>
      </w:r>
    </w:p>
    <w:p w:rsidR="008F2196" w:rsidRDefault="008F2196" w:rsidP="0082277A"/>
    <w:p w:rsidR="00A94C8A" w:rsidRDefault="00A94C8A" w:rsidP="00A94C8A">
      <w:pPr>
        <w:pStyle w:val="Caption"/>
      </w:pPr>
      <w:bookmarkStart w:id="7" w:name="_Ref437085292"/>
      <w:r>
        <w:t xml:space="preserve">Table </w:t>
      </w:r>
      <w:r w:rsidR="004D4225">
        <w:fldChar w:fldCharType="begin"/>
      </w:r>
      <w:r w:rsidR="004D4225">
        <w:instrText xml:space="preserve"> SEQ Table \* ARABIC </w:instrText>
      </w:r>
      <w:r w:rsidR="004D4225">
        <w:fldChar w:fldCharType="separate"/>
      </w:r>
      <w:r w:rsidR="0004286E">
        <w:rPr>
          <w:noProof/>
        </w:rPr>
        <w:t>3</w:t>
      </w:r>
      <w:r w:rsidR="004D4225">
        <w:rPr>
          <w:noProof/>
        </w:rPr>
        <w:fldChar w:fldCharType="end"/>
      </w:r>
      <w:bookmarkEnd w:id="7"/>
      <w:r w:rsidR="00BF2669">
        <w:t xml:space="preserve">: List of Best Parameters from Each </w:t>
      </w:r>
      <w:r w:rsidR="00611ADE">
        <w:t>Offspring</w:t>
      </w:r>
      <w:r w:rsidR="00BF2669">
        <w:t xml:space="preserve"> Size</w:t>
      </w:r>
    </w:p>
    <w:tbl>
      <w:tblPr>
        <w:tblW w:w="5259" w:type="dxa"/>
        <w:jc w:val="center"/>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160" w:firstRow="1" w:lastRow="1" w:firstColumn="0" w:lastColumn="1" w:noHBand="0" w:noVBand="0"/>
      </w:tblPr>
      <w:tblGrid>
        <w:gridCol w:w="1693"/>
        <w:gridCol w:w="1445"/>
        <w:gridCol w:w="705"/>
        <w:gridCol w:w="708"/>
        <w:gridCol w:w="708"/>
      </w:tblGrid>
      <w:tr w:rsidR="007D37D3" w:rsidTr="007D37D3">
        <w:trPr>
          <w:trHeight w:val="310"/>
          <w:jc w:val="center"/>
        </w:trPr>
        <w:tc>
          <w:tcPr>
            <w:tcW w:w="1693" w:type="dxa"/>
            <w:vAlign w:val="center"/>
          </w:tcPr>
          <w:p w:rsidR="009A2B08" w:rsidRDefault="009A2B08" w:rsidP="00BA732B">
            <w:pPr>
              <w:pStyle w:val="BodyTextIndent"/>
              <w:ind w:firstLine="0"/>
              <w:jc w:val="center"/>
              <w:rPr>
                <w:b/>
                <w:bCs/>
              </w:rPr>
            </w:pPr>
            <w:r>
              <w:rPr>
                <w:b/>
                <w:bCs/>
              </w:rPr>
              <w:t>Component</w:t>
            </w:r>
          </w:p>
        </w:tc>
        <w:tc>
          <w:tcPr>
            <w:tcW w:w="1445" w:type="dxa"/>
            <w:vAlign w:val="center"/>
          </w:tcPr>
          <w:p w:rsidR="009A2B08" w:rsidRDefault="009A2B08" w:rsidP="00BA732B">
            <w:pPr>
              <w:pStyle w:val="BodyTextIndent"/>
              <w:ind w:firstLine="0"/>
              <w:jc w:val="center"/>
              <w:rPr>
                <w:b/>
                <w:bCs/>
              </w:rPr>
            </w:pPr>
            <w:r>
              <w:rPr>
                <w:b/>
                <w:bCs/>
              </w:rPr>
              <w:t>Parameter</w:t>
            </w:r>
          </w:p>
        </w:tc>
        <w:tc>
          <w:tcPr>
            <w:tcW w:w="705" w:type="dxa"/>
            <w:vAlign w:val="center"/>
          </w:tcPr>
          <w:p w:rsidR="009A2B08" w:rsidRDefault="009A2B08" w:rsidP="00BA732B">
            <w:pPr>
              <w:pStyle w:val="BodyTextIndent"/>
              <w:ind w:firstLine="0"/>
              <w:jc w:val="center"/>
              <w:rPr>
                <w:b/>
                <w:bCs/>
              </w:rPr>
            </w:pPr>
            <w:r>
              <w:rPr>
                <w:b/>
                <w:bCs/>
              </w:rPr>
              <w:t>12</w:t>
            </w:r>
          </w:p>
        </w:tc>
        <w:tc>
          <w:tcPr>
            <w:tcW w:w="708" w:type="dxa"/>
            <w:vAlign w:val="center"/>
          </w:tcPr>
          <w:p w:rsidR="009A2B08" w:rsidRDefault="009A2B08" w:rsidP="00BA732B">
            <w:pPr>
              <w:pStyle w:val="BodyTextIndent"/>
              <w:ind w:firstLine="0"/>
              <w:jc w:val="center"/>
              <w:rPr>
                <w:b/>
                <w:bCs/>
              </w:rPr>
            </w:pPr>
            <w:r>
              <w:rPr>
                <w:b/>
                <w:bCs/>
              </w:rPr>
              <w:t>24</w:t>
            </w:r>
          </w:p>
        </w:tc>
        <w:tc>
          <w:tcPr>
            <w:tcW w:w="708" w:type="dxa"/>
            <w:tcBorders>
              <w:right w:val="single" w:sz="4" w:space="0" w:color="auto"/>
            </w:tcBorders>
            <w:vAlign w:val="center"/>
          </w:tcPr>
          <w:p w:rsidR="009A2B08" w:rsidRDefault="009A2B08" w:rsidP="007D37D3">
            <w:pPr>
              <w:pStyle w:val="BodyTextIndent"/>
              <w:ind w:firstLine="0"/>
              <w:jc w:val="center"/>
              <w:rPr>
                <w:b/>
                <w:bCs/>
              </w:rPr>
            </w:pPr>
            <w:r>
              <w:rPr>
                <w:b/>
                <w:bCs/>
              </w:rPr>
              <w:t>48</w:t>
            </w:r>
          </w:p>
        </w:tc>
      </w:tr>
      <w:tr w:rsidR="007D37D3" w:rsidTr="007D37D3">
        <w:trPr>
          <w:trHeight w:val="310"/>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9A2B08" w:rsidP="00BA732B">
            <w:pPr>
              <w:pStyle w:val="BodyTextIndent"/>
              <w:ind w:firstLine="0"/>
              <w:jc w:val="center"/>
              <w:rPr>
                <w:vertAlign w:val="subscript"/>
              </w:rPr>
            </w:pPr>
            <w:r>
              <w:t>1</w:t>
            </w:r>
            <w:r w:rsidR="003C08FE">
              <w:t>.10</w:t>
            </w:r>
          </w:p>
        </w:tc>
        <w:tc>
          <w:tcPr>
            <w:tcW w:w="708" w:type="dxa"/>
            <w:vAlign w:val="center"/>
          </w:tcPr>
          <w:p w:rsidR="009A2B08" w:rsidRPr="00FE59FF" w:rsidRDefault="003C08FE" w:rsidP="00BA732B">
            <w:pPr>
              <w:pStyle w:val="BodyTextIndent"/>
              <w:ind w:firstLine="0"/>
              <w:jc w:val="center"/>
            </w:pPr>
            <w:r w:rsidRPr="00FE59FF">
              <w:t>0.97</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1.10</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Smoothing Factor</w:t>
            </w:r>
          </w:p>
        </w:tc>
        <w:tc>
          <w:tcPr>
            <w:tcW w:w="705" w:type="dxa"/>
            <w:vAlign w:val="center"/>
          </w:tcPr>
          <w:p w:rsidR="009A2B08" w:rsidRDefault="003C08FE" w:rsidP="00BA732B">
            <w:pPr>
              <w:pStyle w:val="BodyTextIndent"/>
              <w:ind w:firstLine="0"/>
              <w:jc w:val="center"/>
            </w:pPr>
            <w:r>
              <w:t>0.95</w:t>
            </w:r>
          </w:p>
        </w:tc>
        <w:tc>
          <w:tcPr>
            <w:tcW w:w="708" w:type="dxa"/>
            <w:vAlign w:val="center"/>
          </w:tcPr>
          <w:p w:rsidR="009A2B08" w:rsidRPr="00FE59FF" w:rsidRDefault="003C08FE" w:rsidP="00BA732B">
            <w:pPr>
              <w:pStyle w:val="BodyTextInden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0.95</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3C08FE" w:rsidP="00BA732B">
            <w:pPr>
              <w:pStyle w:val="BodyTextIndent"/>
              <w:ind w:firstLine="0"/>
              <w:jc w:val="center"/>
            </w:pPr>
            <w:r>
              <w:t>0.41</w:t>
            </w:r>
          </w:p>
        </w:tc>
        <w:tc>
          <w:tcPr>
            <w:tcW w:w="708" w:type="dxa"/>
            <w:vAlign w:val="center"/>
          </w:tcPr>
          <w:p w:rsidR="009A2B08" w:rsidRPr="00FE59FF" w:rsidRDefault="003C08FE" w:rsidP="00BA732B">
            <w:pPr>
              <w:pStyle w:val="BodyTextIndent"/>
              <w:ind w:firstLine="0"/>
              <w:jc w:val="center"/>
            </w:pPr>
            <w:r w:rsidRPr="00FE59FF">
              <w:t>0.45</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0.41</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Margin</w:t>
            </w:r>
          </w:p>
        </w:tc>
        <w:tc>
          <w:tcPr>
            <w:tcW w:w="705" w:type="dxa"/>
            <w:vAlign w:val="center"/>
          </w:tcPr>
          <w:p w:rsidR="00AE1171" w:rsidRDefault="00AE1171" w:rsidP="00A03F19">
            <w:pPr>
              <w:pStyle w:val="BodyTextIndent"/>
              <w:ind w:firstLine="0"/>
              <w:jc w:val="center"/>
            </w:pPr>
            <w:r>
              <w:t>18.23</w:t>
            </w:r>
          </w:p>
        </w:tc>
        <w:tc>
          <w:tcPr>
            <w:tcW w:w="708" w:type="dxa"/>
            <w:vAlign w:val="center"/>
          </w:tcPr>
          <w:p w:rsidR="00AE1171" w:rsidRPr="00FE59FF" w:rsidRDefault="00AE1171" w:rsidP="00A03F19">
            <w:pPr>
              <w:pStyle w:val="BodyTextIndent"/>
              <w:ind w:firstLine="0"/>
              <w:jc w:val="center"/>
            </w:pPr>
            <w:r w:rsidRPr="00FE59FF">
              <w:t>0.78</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15.35</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Length</w:t>
            </w:r>
          </w:p>
        </w:tc>
        <w:tc>
          <w:tcPr>
            <w:tcW w:w="705" w:type="dxa"/>
            <w:vAlign w:val="center"/>
          </w:tcPr>
          <w:p w:rsidR="00AE1171" w:rsidRDefault="00AE1171" w:rsidP="00A03F19">
            <w:pPr>
              <w:pStyle w:val="BodyTextIndent"/>
              <w:ind w:firstLine="0"/>
              <w:jc w:val="center"/>
            </w:pPr>
            <w:r>
              <w:t>13.65</w:t>
            </w:r>
          </w:p>
        </w:tc>
        <w:tc>
          <w:tcPr>
            <w:tcW w:w="708" w:type="dxa"/>
            <w:vAlign w:val="center"/>
          </w:tcPr>
          <w:p w:rsidR="00AE1171" w:rsidRPr="00FE59FF" w:rsidRDefault="00AE1171" w:rsidP="00A03F19">
            <w:pPr>
              <w:pStyle w:val="BodyTextIndent"/>
              <w:ind w:firstLine="0"/>
              <w:jc w:val="center"/>
            </w:pPr>
            <w:r w:rsidRPr="00FE59FF">
              <w:t>18.92</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0.69</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Hang Over</w:t>
            </w:r>
          </w:p>
        </w:tc>
        <w:tc>
          <w:tcPr>
            <w:tcW w:w="705" w:type="dxa"/>
            <w:vAlign w:val="center"/>
          </w:tcPr>
          <w:p w:rsidR="009A2B08" w:rsidRDefault="003C08FE" w:rsidP="00BA732B">
            <w:pPr>
              <w:pStyle w:val="BodyTextIndent"/>
              <w:ind w:firstLine="0"/>
              <w:jc w:val="center"/>
            </w:pPr>
            <w:r>
              <w:t>9.33</w:t>
            </w:r>
          </w:p>
        </w:tc>
        <w:tc>
          <w:tcPr>
            <w:tcW w:w="708" w:type="dxa"/>
            <w:vAlign w:val="center"/>
          </w:tcPr>
          <w:p w:rsidR="009A2B08" w:rsidRPr="00FE59FF" w:rsidRDefault="003C08FE" w:rsidP="00BA732B">
            <w:pPr>
              <w:pStyle w:val="BodyTextIndent"/>
              <w:ind w:firstLine="0"/>
              <w:jc w:val="center"/>
            </w:pPr>
            <w:r w:rsidRPr="00FE59FF">
              <w:t>0.58</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18.16</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Threshold</w:t>
            </w:r>
          </w:p>
        </w:tc>
        <w:tc>
          <w:tcPr>
            <w:tcW w:w="705" w:type="dxa"/>
            <w:vAlign w:val="center"/>
          </w:tcPr>
          <w:p w:rsidR="009A2B08" w:rsidRDefault="003C08FE" w:rsidP="00BA732B">
            <w:pPr>
              <w:pStyle w:val="BodyTextIndent"/>
              <w:ind w:firstLine="0"/>
              <w:jc w:val="center"/>
            </w:pPr>
            <w:r>
              <w:t>0.03</w:t>
            </w:r>
          </w:p>
        </w:tc>
        <w:tc>
          <w:tcPr>
            <w:tcW w:w="708" w:type="dxa"/>
            <w:vAlign w:val="center"/>
          </w:tcPr>
          <w:p w:rsidR="009A2B08" w:rsidRPr="00FE59FF" w:rsidRDefault="003C08FE" w:rsidP="00BA732B">
            <w:pPr>
              <w:pStyle w:val="BodyTextIndent"/>
              <w:ind w:firstLine="0"/>
              <w:jc w:val="center"/>
            </w:pPr>
            <w:r w:rsidRPr="00FE59FF">
              <w:t>0.03</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0.03</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Attack/Release</w:t>
            </w:r>
          </w:p>
        </w:tc>
        <w:tc>
          <w:tcPr>
            <w:tcW w:w="705" w:type="dxa"/>
            <w:vAlign w:val="center"/>
          </w:tcPr>
          <w:p w:rsidR="009A2B08" w:rsidRDefault="003C08FE" w:rsidP="00BA732B">
            <w:pPr>
              <w:pStyle w:val="BodyTextIndent"/>
              <w:keepNext/>
              <w:ind w:firstLine="0"/>
              <w:jc w:val="center"/>
            </w:pPr>
            <w:r>
              <w:t>1.25</w:t>
            </w:r>
          </w:p>
        </w:tc>
        <w:tc>
          <w:tcPr>
            <w:tcW w:w="708" w:type="dxa"/>
            <w:vAlign w:val="center"/>
          </w:tcPr>
          <w:p w:rsidR="009A2B08" w:rsidRPr="00FE59FF" w:rsidRDefault="003C08FE" w:rsidP="00BA732B">
            <w:pPr>
              <w:pStyle w:val="BodyTextIndent"/>
              <w:keepNex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1.25</w:t>
            </w:r>
          </w:p>
        </w:tc>
      </w:tr>
      <w:tr w:rsidR="007D37D3" w:rsidTr="007D37D3">
        <w:trPr>
          <w:trHeight w:val="341"/>
          <w:jc w:val="center"/>
        </w:trPr>
        <w:tc>
          <w:tcPr>
            <w:tcW w:w="1693" w:type="dxa"/>
            <w:vAlign w:val="center"/>
          </w:tcPr>
          <w:p w:rsidR="009A2B08" w:rsidRDefault="009A2B08" w:rsidP="00BA732B">
            <w:pPr>
              <w:pStyle w:val="BodyTextIndent"/>
              <w:ind w:firstLine="0"/>
              <w:jc w:val="center"/>
            </w:pPr>
          </w:p>
        </w:tc>
        <w:tc>
          <w:tcPr>
            <w:tcW w:w="1445" w:type="dxa"/>
            <w:vAlign w:val="center"/>
          </w:tcPr>
          <w:p w:rsidR="009A2B08" w:rsidRPr="008C5CB5" w:rsidRDefault="009A2B08" w:rsidP="00BA732B">
            <w:pPr>
              <w:pStyle w:val="BodyTextIndent"/>
              <w:ind w:firstLine="0"/>
              <w:jc w:val="center"/>
              <w:rPr>
                <w:b/>
              </w:rPr>
            </w:pPr>
            <w:r w:rsidRPr="008C5CB5">
              <w:rPr>
                <w:b/>
              </w:rPr>
              <w:t>Fitness</w:t>
            </w:r>
          </w:p>
        </w:tc>
        <w:tc>
          <w:tcPr>
            <w:tcW w:w="705" w:type="dxa"/>
            <w:vAlign w:val="center"/>
          </w:tcPr>
          <w:p w:rsidR="009A2B08" w:rsidRPr="008C5CB5" w:rsidRDefault="003C08FE" w:rsidP="00BA732B">
            <w:pPr>
              <w:pStyle w:val="BodyTextIndent"/>
              <w:keepNext/>
              <w:ind w:firstLine="0"/>
              <w:jc w:val="center"/>
              <w:rPr>
                <w:b/>
              </w:rPr>
            </w:pPr>
            <w:r>
              <w:rPr>
                <w:b/>
              </w:rPr>
              <w:t>0.0225</w:t>
            </w:r>
          </w:p>
        </w:tc>
        <w:tc>
          <w:tcPr>
            <w:tcW w:w="708" w:type="dxa"/>
            <w:vAlign w:val="center"/>
          </w:tcPr>
          <w:p w:rsidR="009A2B08" w:rsidRPr="008C5CB5" w:rsidRDefault="009A2B08" w:rsidP="00BA732B">
            <w:pPr>
              <w:pStyle w:val="BodyTextIndent"/>
              <w:keepNext/>
              <w:ind w:firstLine="0"/>
              <w:jc w:val="center"/>
              <w:rPr>
                <w:b/>
              </w:rPr>
            </w:pPr>
            <w:r w:rsidRPr="008C5CB5">
              <w:rPr>
                <w:b/>
              </w:rPr>
              <w:t>0.0</w:t>
            </w:r>
            <w:r w:rsidR="003C08FE">
              <w:rPr>
                <w:b/>
              </w:rPr>
              <w:t>223</w:t>
            </w:r>
          </w:p>
        </w:tc>
        <w:tc>
          <w:tcPr>
            <w:tcW w:w="708" w:type="dxa"/>
            <w:tcBorders>
              <w:right w:val="single" w:sz="4" w:space="0" w:color="auto"/>
            </w:tcBorders>
            <w:vAlign w:val="center"/>
          </w:tcPr>
          <w:p w:rsidR="009A2B08" w:rsidRPr="009A2B08" w:rsidRDefault="003C08FE" w:rsidP="009A2B08">
            <w:pPr>
              <w:pStyle w:val="BodyTextIndent"/>
              <w:ind w:firstLine="0"/>
              <w:jc w:val="center"/>
              <w:rPr>
                <w:b/>
                <w:bCs/>
              </w:rPr>
            </w:pPr>
            <w:r>
              <w:rPr>
                <w:b/>
                <w:bCs/>
              </w:rPr>
              <w:t>0.0225</w:t>
            </w:r>
          </w:p>
        </w:tc>
      </w:tr>
    </w:tbl>
    <w:p w:rsidR="00BA732B" w:rsidRDefault="00BA732B" w:rsidP="0082277A"/>
    <w:p w:rsidR="007C5A1F" w:rsidRDefault="007C5A1F" w:rsidP="007C5A1F">
      <w:pPr>
        <w:pStyle w:val="Heading2"/>
      </w:pPr>
      <w:r>
        <w:t xml:space="preserve">Best </w:t>
      </w:r>
      <w:r w:rsidR="00113450">
        <w:t>Result vs. Individual Experts</w:t>
      </w:r>
    </w:p>
    <w:p w:rsidR="009206D3" w:rsidRDefault="0083078B" w:rsidP="00BF2669">
      <w:r>
        <w:t>In order to relate this paper back to the conventional use of noise reduction algorithms, which is that only one is used at a time, w</w:t>
      </w:r>
      <w:r w:rsidR="00D405C9">
        <w:t xml:space="preserve">e </w:t>
      </w:r>
      <w:r w:rsidR="00611ADE">
        <w:t xml:space="preserve">took the best result, found in </w:t>
      </w:r>
      <w:r w:rsidR="00611ADE">
        <w:fldChar w:fldCharType="begin"/>
      </w:r>
      <w:r w:rsidR="00611ADE">
        <w:instrText xml:space="preserve"> REF _Ref437085292 \h </w:instrText>
      </w:r>
      <w:r w:rsidR="00611ADE">
        <w:fldChar w:fldCharType="separate"/>
      </w:r>
      <w:r w:rsidR="00611ADE">
        <w:t xml:space="preserve">Table </w:t>
      </w:r>
      <w:r w:rsidR="00611ADE">
        <w:rPr>
          <w:noProof/>
        </w:rPr>
        <w:t>3</w:t>
      </w:r>
      <w:r w:rsidR="00611ADE">
        <w:fldChar w:fldCharType="end"/>
      </w:r>
      <w:r w:rsidR="00611ADE">
        <w:t xml:space="preserve"> offspring size </w:t>
      </w:r>
      <w:r w:rsidR="00090C6D">
        <w:t xml:space="preserve">of </w:t>
      </w:r>
      <w:r w:rsidR="00611ADE">
        <w:t>24,</w:t>
      </w:r>
      <w:r w:rsidR="00D405C9">
        <w:t xml:space="preserve"> and compared it</w:t>
      </w:r>
      <w:r w:rsidR="00090C6D">
        <w:t xml:space="preserve"> again</w:t>
      </w:r>
      <w:r w:rsidR="00D405C9">
        <w:t>st the individual expert result</w:t>
      </w:r>
      <w:r w:rsidR="00745203">
        <w:t>s</w:t>
      </w:r>
      <w:r w:rsidR="00090C6D">
        <w:t xml:space="preserve"> from Section 3.3</w:t>
      </w:r>
      <w:r>
        <w:t>.</w:t>
      </w:r>
    </w:p>
    <w:p w:rsidR="00BF2669" w:rsidRDefault="00E71C1B" w:rsidP="00BF2669">
      <w:r>
        <w:lastRenderedPageBreak/>
        <w:t>When comparing the</w:t>
      </w:r>
      <w:r w:rsidR="00A45B4D">
        <w:t xml:space="preserve"> best result to the expert result for the Wiener filter, shown in </w:t>
      </w:r>
      <w:r w:rsidR="00A45B4D">
        <w:fldChar w:fldCharType="begin"/>
      </w:r>
      <w:r w:rsidR="00A45B4D">
        <w:instrText xml:space="preserve"> REF _Ref437088909 \h </w:instrText>
      </w:r>
      <w:r w:rsidR="00A45B4D">
        <w:fldChar w:fldCharType="separate"/>
      </w:r>
      <w:r w:rsidR="00A45B4D">
        <w:t xml:space="preserve">Table </w:t>
      </w:r>
      <w:r w:rsidR="00A45B4D">
        <w:rPr>
          <w:noProof/>
        </w:rPr>
        <w:t>4</w:t>
      </w:r>
      <w:r w:rsidR="00A45B4D">
        <w:fldChar w:fldCharType="end"/>
      </w:r>
      <w:r w:rsidR="00A45B4D">
        <w:t>, we can see that there is an increase in the fitness for the best results found from CMA-ES.</w:t>
      </w:r>
    </w:p>
    <w:p w:rsidR="00F67BCD" w:rsidRDefault="00F67BCD" w:rsidP="00BF2669"/>
    <w:p w:rsidR="00BF2669" w:rsidRPr="00BF2669" w:rsidRDefault="00BF2669" w:rsidP="00BF2669">
      <w:pPr>
        <w:pStyle w:val="Caption"/>
      </w:pPr>
      <w:bookmarkStart w:id="8" w:name="_Ref437088909"/>
      <w:r>
        <w:t xml:space="preserve">Table </w:t>
      </w:r>
      <w:r w:rsidR="004D4225">
        <w:fldChar w:fldCharType="begin"/>
      </w:r>
      <w:r w:rsidR="004D4225">
        <w:instrText xml:space="preserve"> SEQ </w:instrText>
      </w:r>
      <w:r w:rsidR="004D4225">
        <w:instrText xml:space="preserve">Table \* ARABIC </w:instrText>
      </w:r>
      <w:r w:rsidR="004D4225">
        <w:fldChar w:fldCharType="separate"/>
      </w:r>
      <w:r>
        <w:rPr>
          <w:noProof/>
        </w:rPr>
        <w:t>4</w:t>
      </w:r>
      <w:r w:rsidR="004D4225">
        <w:rPr>
          <w:noProof/>
        </w:rPr>
        <w:fldChar w:fldCharType="end"/>
      </w:r>
      <w:bookmarkEnd w:id="8"/>
      <w:r w:rsidR="00BF375D">
        <w:t>: Compare Best Result to Expert 1</w:t>
      </w:r>
    </w:p>
    <w:tbl>
      <w:tblPr>
        <w:tblW w:w="5104" w:type="dxa"/>
        <w:jc w:val="center"/>
        <w:tblInd w:w="-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20"/>
        <w:gridCol w:w="1440"/>
        <w:gridCol w:w="1022"/>
        <w:gridCol w:w="1022"/>
      </w:tblGrid>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rPr>
                <w:b/>
                <w:bCs/>
              </w:rPr>
            </w:pPr>
            <w:r>
              <w:rPr>
                <w:b/>
                <w:bCs/>
              </w:rPr>
              <w:t>Component</w:t>
            </w:r>
          </w:p>
        </w:tc>
        <w:tc>
          <w:tcPr>
            <w:tcW w:w="1440" w:type="dxa"/>
            <w:tcMar>
              <w:left w:w="72" w:type="dxa"/>
              <w:right w:w="72" w:type="dxa"/>
            </w:tcMar>
            <w:vAlign w:val="center"/>
          </w:tcPr>
          <w:p w:rsidR="00D15453" w:rsidRDefault="00D15453" w:rsidP="00BA732B">
            <w:pPr>
              <w:pStyle w:val="BodyTextIndent"/>
              <w:ind w:firstLine="0"/>
              <w:jc w:val="center"/>
              <w:rPr>
                <w:b/>
                <w:bCs/>
              </w:rPr>
            </w:pPr>
            <w:r>
              <w:rPr>
                <w:b/>
                <w:bCs/>
              </w:rPr>
              <w:t>Parameter</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Expert 1</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Best Result</w:t>
            </w:r>
          </w:p>
        </w:tc>
      </w:tr>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rPr>
                <w:vertAlign w:val="subscript"/>
              </w:rPr>
            </w:pPr>
            <w:r>
              <w:t>1</w:t>
            </w:r>
          </w:p>
        </w:tc>
        <w:tc>
          <w:tcPr>
            <w:tcW w:w="1022" w:type="dxa"/>
            <w:tcMar>
              <w:left w:w="72" w:type="dxa"/>
              <w:right w:w="72" w:type="dxa"/>
            </w:tcMar>
            <w:vAlign w:val="center"/>
          </w:tcPr>
          <w:p w:rsidR="00D15453" w:rsidRPr="00FE59FF" w:rsidRDefault="00D15453" w:rsidP="00BA732B">
            <w:pPr>
              <w:pStyle w:val="BodyTextIndent"/>
              <w:ind w:firstLine="0"/>
              <w:jc w:val="center"/>
            </w:pPr>
            <w:r>
              <w:t>1</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Smoothing Factor</w:t>
            </w:r>
          </w:p>
        </w:tc>
        <w:tc>
          <w:tcPr>
            <w:tcW w:w="1022" w:type="dxa"/>
            <w:tcMar>
              <w:left w:w="72" w:type="dxa"/>
              <w:right w:w="72" w:type="dxa"/>
            </w:tcMar>
            <w:vAlign w:val="center"/>
          </w:tcPr>
          <w:p w:rsidR="00D15453" w:rsidRDefault="00D15453" w:rsidP="00D15453">
            <w:pPr>
              <w:pStyle w:val="BodyTextIndent"/>
              <w:ind w:firstLine="0"/>
              <w:jc w:val="center"/>
            </w:pPr>
            <w:r>
              <w:t>0.98</w:t>
            </w:r>
          </w:p>
        </w:tc>
        <w:tc>
          <w:tcPr>
            <w:tcW w:w="1022" w:type="dxa"/>
            <w:tcMar>
              <w:left w:w="72" w:type="dxa"/>
              <w:right w:w="72" w:type="dxa"/>
            </w:tcMar>
            <w:vAlign w:val="center"/>
          </w:tcPr>
          <w:p w:rsidR="00D15453" w:rsidRPr="00FE59FF" w:rsidRDefault="00D15453" w:rsidP="00BA732B">
            <w:pPr>
              <w:pStyle w:val="BodyTextIndent"/>
              <w:ind w:firstLine="0"/>
              <w:jc w:val="center"/>
            </w:pPr>
            <w:r w:rsidRPr="00FE59FF">
              <w:t>0.96</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Spectral Subtraction</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pPr>
            <w:r>
              <w:t>0</w:t>
            </w:r>
          </w:p>
        </w:tc>
        <w:tc>
          <w:tcPr>
            <w:tcW w:w="1022" w:type="dxa"/>
            <w:tcMar>
              <w:left w:w="72" w:type="dxa"/>
              <w:right w:w="72" w:type="dxa"/>
            </w:tcMar>
            <w:vAlign w:val="center"/>
          </w:tcPr>
          <w:p w:rsidR="00D15453" w:rsidRPr="00FE59FF" w:rsidRDefault="00D15453" w:rsidP="00BA732B">
            <w:pPr>
              <w:pStyle w:val="BodyTextIndent"/>
              <w:ind w:firstLine="0"/>
              <w:jc w:val="center"/>
            </w:pPr>
            <w:r>
              <w:t>0</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p>
        </w:tc>
        <w:tc>
          <w:tcPr>
            <w:tcW w:w="1440" w:type="dxa"/>
            <w:tcMar>
              <w:left w:w="72" w:type="dxa"/>
              <w:right w:w="72" w:type="dxa"/>
            </w:tcMar>
            <w:vAlign w:val="center"/>
          </w:tcPr>
          <w:p w:rsidR="00D15453" w:rsidRPr="008C5CB5" w:rsidRDefault="00D15453" w:rsidP="00BA732B">
            <w:pPr>
              <w:pStyle w:val="BodyTextIndent"/>
              <w:ind w:firstLine="0"/>
              <w:jc w:val="center"/>
              <w:rPr>
                <w:b/>
              </w:rPr>
            </w:pPr>
            <w:r w:rsidRPr="008C5CB5">
              <w:rPr>
                <w:b/>
              </w:rPr>
              <w:t>Fitness</w:t>
            </w:r>
          </w:p>
        </w:tc>
        <w:tc>
          <w:tcPr>
            <w:tcW w:w="1022" w:type="dxa"/>
            <w:tcMar>
              <w:left w:w="72" w:type="dxa"/>
              <w:right w:w="72" w:type="dxa"/>
            </w:tcMar>
            <w:vAlign w:val="center"/>
          </w:tcPr>
          <w:p w:rsidR="00D15453" w:rsidRPr="008C5CB5" w:rsidRDefault="00D15453" w:rsidP="00BA732B">
            <w:pPr>
              <w:pStyle w:val="BodyTextIndent"/>
              <w:keepNext/>
              <w:ind w:firstLine="0"/>
              <w:jc w:val="center"/>
              <w:rPr>
                <w:b/>
              </w:rPr>
            </w:pPr>
            <w:r>
              <w:rPr>
                <w:b/>
              </w:rPr>
              <w:t>0.0</w:t>
            </w:r>
            <w:r w:rsidR="007D37D3">
              <w:rPr>
                <w:b/>
              </w:rPr>
              <w:t>301</w:t>
            </w:r>
          </w:p>
        </w:tc>
        <w:tc>
          <w:tcPr>
            <w:tcW w:w="1022" w:type="dxa"/>
            <w:tcMar>
              <w:left w:w="72" w:type="dxa"/>
              <w:right w:w="72" w:type="dxa"/>
            </w:tcMar>
            <w:vAlign w:val="center"/>
          </w:tcPr>
          <w:p w:rsidR="00D15453" w:rsidRPr="008C5CB5" w:rsidRDefault="007D37D3" w:rsidP="00BA732B">
            <w:pPr>
              <w:pStyle w:val="BodyTextIndent"/>
              <w:keepNext/>
              <w:ind w:firstLine="0"/>
              <w:jc w:val="center"/>
              <w:rPr>
                <w:b/>
              </w:rPr>
            </w:pPr>
            <w:r>
              <w:rPr>
                <w:b/>
              </w:rPr>
              <w:t>0.0270</w:t>
            </w:r>
          </w:p>
        </w:tc>
      </w:tr>
    </w:tbl>
    <w:p w:rsidR="0082277A" w:rsidRDefault="0082277A" w:rsidP="00097055">
      <w:pPr>
        <w:pStyle w:val="Heading2"/>
        <w:numPr>
          <w:ilvl w:val="0"/>
          <w:numId w:val="0"/>
        </w:numPr>
      </w:pPr>
    </w:p>
    <w:p w:rsidR="0097295B" w:rsidRDefault="00F67BCD" w:rsidP="00F67BCD">
      <w:r>
        <w:t>When comparing the best resul</w:t>
      </w:r>
      <w:r w:rsidR="00A2769E">
        <w:t>t to the expert result for spectral subtraction</w:t>
      </w:r>
      <w:r>
        <w:t>, shown in</w:t>
      </w:r>
      <w:r w:rsidR="00A2769E">
        <w:t xml:space="preserve"> </w:t>
      </w:r>
      <w:r w:rsidR="00A2769E">
        <w:fldChar w:fldCharType="begin"/>
      </w:r>
      <w:r w:rsidR="00A2769E">
        <w:instrText xml:space="preserve"> REF _Ref437089114 \h </w:instrText>
      </w:r>
      <w:r w:rsidR="00A2769E">
        <w:fldChar w:fldCharType="separate"/>
      </w:r>
      <w:r w:rsidR="00A2769E">
        <w:t xml:space="preserve">Table </w:t>
      </w:r>
      <w:r w:rsidR="00A2769E">
        <w:rPr>
          <w:noProof/>
        </w:rPr>
        <w:t>5</w:t>
      </w:r>
      <w:r w:rsidR="00A2769E">
        <w:fldChar w:fldCharType="end"/>
      </w:r>
      <w:r>
        <w:t xml:space="preserve">, we can see that there </w:t>
      </w:r>
      <w:r w:rsidR="00A2769E">
        <w:t>was not an increase in fitness</w:t>
      </w:r>
      <w:r>
        <w:t>.</w:t>
      </w:r>
      <w:r w:rsidR="00A2769E">
        <w:t xml:space="preserve"> As described earlier, the parameters for spectral subtraction varied quite a bit between the three best offspring. It is possible that another combination of parameters would yield a better fitness. In addition this can show us that the Wiener filter is pulling a lot of the weight in ge</w:t>
      </w:r>
      <w:r w:rsidR="00FC5CD0">
        <w:t>tting a better overall fitness.</w:t>
      </w:r>
      <w:r w:rsidR="00A2769E">
        <w:t xml:space="preserve"> </w:t>
      </w:r>
      <w:r w:rsidR="0097295B">
        <w:t xml:space="preserve">Furthermore, the results in table 5 may indicate that the optimal parameter values for the spectral subtraction portion in this experiment (using Wiener filter, spectral subtraction, and noise gate simultaneously) may be different from the parameter values that would have been found if the CMA-ES technique had been applied to the spectral subtraction method only. </w:t>
      </w:r>
    </w:p>
    <w:p w:rsidR="00F67BCD" w:rsidRPr="00F67BCD" w:rsidRDefault="00F67BCD" w:rsidP="00F67BCD"/>
    <w:p w:rsidR="00662C8B" w:rsidRPr="00662C8B" w:rsidRDefault="00662C8B" w:rsidP="00662C8B">
      <w:pPr>
        <w:pStyle w:val="Caption"/>
      </w:pPr>
      <w:bookmarkStart w:id="9" w:name="_Ref437089114"/>
      <w:r>
        <w:t xml:space="preserve">Table </w:t>
      </w:r>
      <w:r w:rsidR="004D4225">
        <w:fldChar w:fldCharType="begin"/>
      </w:r>
      <w:r w:rsidR="004D4225">
        <w:instrText xml:space="preserve"> SEQ Table \* ARABIC </w:instrText>
      </w:r>
      <w:r w:rsidR="004D4225">
        <w:fldChar w:fldCharType="separate"/>
      </w:r>
      <w:r>
        <w:rPr>
          <w:noProof/>
        </w:rPr>
        <w:t>5</w:t>
      </w:r>
      <w:r w:rsidR="004D4225">
        <w:rPr>
          <w:noProof/>
        </w:rPr>
        <w:fldChar w:fldCharType="end"/>
      </w:r>
      <w:bookmarkEnd w:id="9"/>
      <w:r>
        <w:t>: Compare Best Result to Expert 2</w:t>
      </w:r>
    </w:p>
    <w:tbl>
      <w:tblPr>
        <w:tblW w:w="5104" w:type="dxa"/>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60" w:firstRow="1" w:lastRow="1" w:firstColumn="0" w:lastColumn="1" w:noHBand="0" w:noVBand="0"/>
      </w:tblPr>
      <w:tblGrid>
        <w:gridCol w:w="1620"/>
        <w:gridCol w:w="1440"/>
        <w:gridCol w:w="1022"/>
        <w:gridCol w:w="1022"/>
      </w:tblGrid>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rPr>
                <w:b/>
                <w:bCs/>
              </w:rPr>
            </w:pPr>
            <w:r>
              <w:rPr>
                <w:b/>
                <w:bCs/>
              </w:rPr>
              <w:t>Component</w:t>
            </w:r>
          </w:p>
        </w:tc>
        <w:tc>
          <w:tcPr>
            <w:tcW w:w="1440" w:type="dxa"/>
            <w:tcMar>
              <w:left w:w="72" w:type="dxa"/>
              <w:right w:w="72" w:type="dxa"/>
            </w:tcMar>
            <w:vAlign w:val="center"/>
          </w:tcPr>
          <w:p w:rsidR="00662C8B" w:rsidRDefault="00662C8B" w:rsidP="00A03F19">
            <w:pPr>
              <w:pStyle w:val="BodyTextIndent"/>
              <w:ind w:firstLine="0"/>
              <w:jc w:val="center"/>
              <w:rPr>
                <w:b/>
                <w:bCs/>
              </w:rPr>
            </w:pPr>
            <w:r>
              <w:rPr>
                <w:b/>
                <w:bCs/>
              </w:rPr>
              <w:t>Parameter</w:t>
            </w:r>
          </w:p>
        </w:tc>
        <w:tc>
          <w:tcPr>
            <w:tcW w:w="1022" w:type="dxa"/>
            <w:tcMar>
              <w:left w:w="72" w:type="dxa"/>
              <w:right w:w="72" w:type="dxa"/>
            </w:tcMar>
            <w:vAlign w:val="center"/>
          </w:tcPr>
          <w:p w:rsidR="00662C8B" w:rsidRDefault="00B41651" w:rsidP="00A03F19">
            <w:pPr>
              <w:pStyle w:val="BodyTextIndent"/>
              <w:ind w:firstLine="0"/>
              <w:jc w:val="center"/>
              <w:rPr>
                <w:b/>
                <w:bCs/>
              </w:rPr>
            </w:pPr>
            <w:r>
              <w:rPr>
                <w:b/>
                <w:bCs/>
              </w:rPr>
              <w:t>Expert 2</w:t>
            </w:r>
          </w:p>
        </w:tc>
        <w:tc>
          <w:tcPr>
            <w:tcW w:w="1022" w:type="dxa"/>
            <w:tcMar>
              <w:left w:w="72" w:type="dxa"/>
              <w:right w:w="72" w:type="dxa"/>
            </w:tcMar>
            <w:vAlign w:val="center"/>
          </w:tcPr>
          <w:p w:rsidR="00662C8B" w:rsidRDefault="00662C8B" w:rsidP="00A03F19">
            <w:pPr>
              <w:pStyle w:val="BodyTextIndent"/>
              <w:ind w:firstLine="0"/>
              <w:jc w:val="center"/>
              <w:rPr>
                <w:b/>
                <w:bCs/>
              </w:rPr>
            </w:pPr>
            <w:r>
              <w:rPr>
                <w:b/>
                <w:bCs/>
              </w:rPr>
              <w:t>Best Result</w:t>
            </w:r>
          </w:p>
        </w:tc>
      </w:tr>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pPr>
            <w:r>
              <w:t>Wiener Filter</w:t>
            </w:r>
          </w:p>
        </w:tc>
        <w:tc>
          <w:tcPr>
            <w:tcW w:w="1440" w:type="dxa"/>
            <w:tcMar>
              <w:left w:w="72" w:type="dxa"/>
              <w:right w:w="72" w:type="dxa"/>
            </w:tcMar>
            <w:vAlign w:val="center"/>
          </w:tcPr>
          <w:p w:rsidR="00662C8B" w:rsidRDefault="00662C8B" w:rsidP="00A03F19">
            <w:pPr>
              <w:pStyle w:val="BodyTextIndent"/>
              <w:ind w:firstLine="0"/>
              <w:jc w:val="center"/>
            </w:pPr>
            <w:r>
              <w:t>Gain</w:t>
            </w:r>
          </w:p>
        </w:tc>
        <w:tc>
          <w:tcPr>
            <w:tcW w:w="1022" w:type="dxa"/>
            <w:tcMar>
              <w:left w:w="72" w:type="dxa"/>
              <w:right w:w="72" w:type="dxa"/>
            </w:tcMar>
            <w:vAlign w:val="center"/>
          </w:tcPr>
          <w:p w:rsidR="00662C8B" w:rsidRPr="00E82C8F" w:rsidRDefault="00AE1171" w:rsidP="00A03F19">
            <w:pPr>
              <w:pStyle w:val="BodyTextIndent"/>
              <w:ind w:firstLine="0"/>
              <w:jc w:val="center"/>
              <w:rPr>
                <w:vertAlign w:val="subscript"/>
              </w:rPr>
            </w:pPr>
            <w:r>
              <w:t>0</w:t>
            </w:r>
          </w:p>
        </w:tc>
        <w:tc>
          <w:tcPr>
            <w:tcW w:w="1022" w:type="dxa"/>
            <w:tcMar>
              <w:left w:w="72" w:type="dxa"/>
              <w:right w:w="72" w:type="dxa"/>
            </w:tcMar>
            <w:vAlign w:val="center"/>
          </w:tcPr>
          <w:p w:rsidR="00662C8B" w:rsidRPr="00FE59FF" w:rsidRDefault="00AE1171" w:rsidP="00A03F19">
            <w:pPr>
              <w:pStyle w:val="BodyTextIndent"/>
              <w:ind w:firstLine="0"/>
              <w:jc w:val="center"/>
            </w:pPr>
            <w:r>
              <w:t>0</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Gain</w:t>
            </w:r>
          </w:p>
        </w:tc>
        <w:tc>
          <w:tcPr>
            <w:tcW w:w="1022" w:type="dxa"/>
            <w:tcMar>
              <w:left w:w="72" w:type="dxa"/>
              <w:right w:w="72" w:type="dxa"/>
            </w:tcMar>
            <w:vAlign w:val="center"/>
          </w:tcPr>
          <w:p w:rsidR="0005761E" w:rsidRDefault="00AE1171" w:rsidP="00A03F19">
            <w:pPr>
              <w:pStyle w:val="BodyTextIndent"/>
              <w:ind w:firstLine="0"/>
              <w:jc w:val="center"/>
            </w:pPr>
            <w:r>
              <w:t>1</w:t>
            </w:r>
          </w:p>
        </w:tc>
        <w:tc>
          <w:tcPr>
            <w:tcW w:w="1022" w:type="dxa"/>
            <w:tcMar>
              <w:left w:w="72" w:type="dxa"/>
              <w:right w:w="72" w:type="dxa"/>
            </w:tcMar>
            <w:vAlign w:val="center"/>
          </w:tcPr>
          <w:p w:rsidR="0005761E" w:rsidRPr="00FE59FF" w:rsidRDefault="00AE1171" w:rsidP="00A03F19">
            <w:pPr>
              <w:pStyle w:val="BodyTextIndent"/>
              <w:ind w:firstLine="0"/>
              <w:jc w:val="center"/>
            </w:pPr>
            <w:r>
              <w:t>1</w:t>
            </w:r>
          </w:p>
        </w:tc>
      </w:tr>
      <w:tr w:rsidR="00662C8B" w:rsidTr="00B96EBD">
        <w:trPr>
          <w:trHeight w:val="341"/>
          <w:jc w:val="center"/>
        </w:trPr>
        <w:tc>
          <w:tcPr>
            <w:tcW w:w="1620" w:type="dxa"/>
            <w:tcMar>
              <w:left w:w="72" w:type="dxa"/>
              <w:right w:w="72" w:type="dxa"/>
            </w:tcMar>
            <w:vAlign w:val="center"/>
          </w:tcPr>
          <w:p w:rsidR="00662C8B" w:rsidRDefault="00662C8B" w:rsidP="00A03F19">
            <w:pPr>
              <w:pStyle w:val="BodyTextIndent"/>
              <w:ind w:firstLine="0"/>
              <w:jc w:val="center"/>
            </w:pPr>
            <w:r>
              <w:t>Spectral Subtraction</w:t>
            </w:r>
          </w:p>
        </w:tc>
        <w:tc>
          <w:tcPr>
            <w:tcW w:w="1440" w:type="dxa"/>
            <w:tcMar>
              <w:left w:w="72" w:type="dxa"/>
              <w:right w:w="72" w:type="dxa"/>
            </w:tcMar>
            <w:vAlign w:val="center"/>
          </w:tcPr>
          <w:p w:rsidR="00662C8B" w:rsidRDefault="0005761E" w:rsidP="00A03F19">
            <w:pPr>
              <w:pStyle w:val="BodyTextIndent"/>
              <w:ind w:firstLine="0"/>
              <w:jc w:val="center"/>
            </w:pPr>
            <w:r>
              <w:t>Noise Margin</w:t>
            </w:r>
          </w:p>
        </w:tc>
        <w:tc>
          <w:tcPr>
            <w:tcW w:w="1022" w:type="dxa"/>
            <w:tcMar>
              <w:left w:w="72" w:type="dxa"/>
              <w:right w:w="72" w:type="dxa"/>
            </w:tcMar>
            <w:vAlign w:val="center"/>
          </w:tcPr>
          <w:p w:rsidR="00662C8B" w:rsidRPr="00E82C8F" w:rsidRDefault="00AE1171" w:rsidP="00A03F19">
            <w:pPr>
              <w:pStyle w:val="BodyTextIndent"/>
              <w:ind w:firstLine="0"/>
              <w:jc w:val="center"/>
            </w:pPr>
            <w:r>
              <w:t>8</w:t>
            </w:r>
          </w:p>
        </w:tc>
        <w:tc>
          <w:tcPr>
            <w:tcW w:w="1022" w:type="dxa"/>
            <w:tcMar>
              <w:left w:w="72" w:type="dxa"/>
              <w:right w:w="72" w:type="dxa"/>
            </w:tcMar>
            <w:vAlign w:val="center"/>
          </w:tcPr>
          <w:p w:rsidR="00662C8B" w:rsidRPr="00FE59FF" w:rsidRDefault="00AE1171" w:rsidP="00A03F19">
            <w:pPr>
              <w:pStyle w:val="BodyTextIndent"/>
              <w:ind w:firstLine="0"/>
              <w:jc w:val="center"/>
            </w:pPr>
            <w:r>
              <w:t>0.78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Noise Length</w:t>
            </w:r>
          </w:p>
        </w:tc>
        <w:tc>
          <w:tcPr>
            <w:tcW w:w="1022" w:type="dxa"/>
            <w:tcMar>
              <w:left w:w="72" w:type="dxa"/>
              <w:right w:w="72" w:type="dxa"/>
            </w:tcMar>
            <w:vAlign w:val="center"/>
          </w:tcPr>
          <w:p w:rsidR="0005761E" w:rsidRDefault="00AE1171" w:rsidP="00A03F19">
            <w:pPr>
              <w:pStyle w:val="BodyTextIndent"/>
              <w:ind w:firstLine="0"/>
              <w:jc w:val="center"/>
            </w:pPr>
            <w:r>
              <w:t>20</w:t>
            </w:r>
          </w:p>
        </w:tc>
        <w:tc>
          <w:tcPr>
            <w:tcW w:w="1022" w:type="dxa"/>
            <w:tcMar>
              <w:left w:w="72" w:type="dxa"/>
              <w:right w:w="72" w:type="dxa"/>
            </w:tcMar>
            <w:vAlign w:val="center"/>
          </w:tcPr>
          <w:p w:rsidR="0005761E" w:rsidRDefault="00AE1171" w:rsidP="00A03F19">
            <w:pPr>
              <w:pStyle w:val="BodyTextIndent"/>
              <w:ind w:firstLine="0"/>
              <w:jc w:val="center"/>
            </w:pPr>
            <w:r>
              <w:t>18.92</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Hang Over</w:t>
            </w:r>
          </w:p>
        </w:tc>
        <w:tc>
          <w:tcPr>
            <w:tcW w:w="1022" w:type="dxa"/>
            <w:tcMar>
              <w:left w:w="72" w:type="dxa"/>
              <w:right w:w="72" w:type="dxa"/>
            </w:tcMar>
            <w:vAlign w:val="center"/>
          </w:tcPr>
          <w:p w:rsidR="0005761E" w:rsidRDefault="00AE1171" w:rsidP="00A03F19">
            <w:pPr>
              <w:pStyle w:val="BodyTextIndent"/>
              <w:ind w:firstLine="0"/>
              <w:jc w:val="center"/>
            </w:pPr>
            <w:r>
              <w:t>3</w:t>
            </w:r>
          </w:p>
        </w:tc>
        <w:tc>
          <w:tcPr>
            <w:tcW w:w="1022" w:type="dxa"/>
            <w:tcMar>
              <w:left w:w="72" w:type="dxa"/>
              <w:right w:w="72" w:type="dxa"/>
            </w:tcMar>
            <w:vAlign w:val="center"/>
          </w:tcPr>
          <w:p w:rsidR="0005761E" w:rsidRDefault="00AE1171" w:rsidP="00A03F19">
            <w:pPr>
              <w:pStyle w:val="BodyTextIndent"/>
              <w:ind w:firstLine="0"/>
              <w:jc w:val="center"/>
            </w:pPr>
            <w:r>
              <w:t>0.58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p>
        </w:tc>
        <w:tc>
          <w:tcPr>
            <w:tcW w:w="1440" w:type="dxa"/>
            <w:tcMar>
              <w:left w:w="72" w:type="dxa"/>
              <w:right w:w="72" w:type="dxa"/>
            </w:tcMar>
            <w:vAlign w:val="center"/>
          </w:tcPr>
          <w:p w:rsidR="0005761E" w:rsidRPr="008C5CB5" w:rsidRDefault="0005761E" w:rsidP="00A03F19">
            <w:pPr>
              <w:pStyle w:val="BodyTextIndent"/>
              <w:ind w:firstLine="0"/>
              <w:jc w:val="center"/>
              <w:rPr>
                <w:b/>
              </w:rPr>
            </w:pPr>
            <w:r w:rsidRPr="008C5CB5">
              <w:rPr>
                <w:b/>
              </w:rPr>
              <w:t>Fitness</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0.0301</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w:t>
            </w:r>
            <w:r w:rsidR="00A2769E">
              <w:rPr>
                <w:b/>
              </w:rPr>
              <w:t>354</w:t>
            </w:r>
          </w:p>
        </w:tc>
      </w:tr>
    </w:tbl>
    <w:p w:rsidR="00662C8B" w:rsidRPr="00662C8B" w:rsidRDefault="00662C8B" w:rsidP="00662C8B"/>
    <w:p w:rsidR="00097055" w:rsidRDefault="004A2814" w:rsidP="004B2792">
      <w:pPr>
        <w:pStyle w:val="Heading1"/>
        <w:spacing w:before="120"/>
      </w:pPr>
      <w:r>
        <w:t>C</w:t>
      </w:r>
      <w:r w:rsidR="00725F64">
        <w:t>ONCLUSIONS</w:t>
      </w:r>
    </w:p>
    <w:p w:rsidR="0097295B" w:rsidRDefault="00131E88" w:rsidP="004A2814">
      <w:r>
        <w:t>The use the CMA-ES in tuning</w:t>
      </w:r>
      <w:r w:rsidR="001A4619">
        <w:t xml:space="preserve"> the parameters of noise reduction algorithms has the potential to improve the effectiveness of the algorithms in order to produce </w:t>
      </w:r>
      <w:r>
        <w:t xml:space="preserve">an </w:t>
      </w:r>
      <w:r w:rsidR="001A4619">
        <w:t>audio file closer to that of the clean version.</w:t>
      </w:r>
      <w:r>
        <w:t xml:space="preserve"> </w:t>
      </w:r>
      <w:r w:rsidR="0097295B">
        <w:t>However, the outputs of the spectral subtraction and, especially, the Wiener filter, are quite good on their own. The evidence for this conclusion is the limited improvements in fitness found by the evolutionary strategy over the baseline functions. The best improvement over the expert values (0.0223 from 0.0301 or approximately a 26% improvement) is a fairly modest improvement considering the added complexity of this algorithm over the baseline parameters.</w:t>
      </w:r>
    </w:p>
    <w:p w:rsidR="00A42072" w:rsidRDefault="00131E88" w:rsidP="004A2814">
      <w:r>
        <w:t>It is, however, difficult to compare to the expert results since these algorithms are typically used individually.</w:t>
      </w:r>
      <w:r w:rsidR="0036337A">
        <w:t xml:space="preserve"> </w:t>
      </w:r>
      <w:r w:rsidR="00A42072">
        <w:t xml:space="preserve">Even for the purposes this project, no attempt was made to create an expert manual tuning of all of these parameters </w:t>
      </w:r>
      <w:r w:rsidR="00206F05">
        <w:t xml:space="preserve">simultaneously. This is </w:t>
      </w:r>
      <w:r w:rsidR="00A42072">
        <w:t xml:space="preserve">because </w:t>
      </w:r>
      <w:r w:rsidR="00206F05">
        <w:t xml:space="preserve">the fitness function would not be valid for such a manual tuning of </w:t>
      </w:r>
      <w:r w:rsidR="00206F05">
        <w:lastRenderedPageBreak/>
        <w:t>all of these parameters because the scale of the audio signal could not feasibly be made to match that of the reference signal by a human. When the evolutionary strategy tunes all of these parameters, it is indirectly also ensuring that the scale of the output signal matches that of the input signal. Since the fitness function performs a straight subtraction, even an exact replica of the clean signal multiplied by some value not equal to 1 would yield poor fitness results. For this reason, and the fact that this use of multiple algorithms is not done in industry, the expert predictions used only a single algorithm at a time.</w:t>
      </w:r>
    </w:p>
    <w:p w:rsidR="006E5CD2" w:rsidRDefault="0036337A" w:rsidP="004A2814">
      <w:r>
        <w:t>Additional runs using the Wiener filter or spectral subtraction on their own to tune each set of parameters individually could make it easier to compare the best results to the expert results. This would help to fully determine whether this method could work in the traditional use of noise reduction algorithms</w:t>
      </w:r>
      <w:r w:rsidR="0097295B">
        <w:t>, or if the use of all three of these methods is needed to produce appreciable improvement in sound quality</w:t>
      </w:r>
      <w:r>
        <w:t>.</w:t>
      </w:r>
    </w:p>
    <w:p w:rsidR="00097055" w:rsidRPr="004A2814" w:rsidRDefault="00F4566A" w:rsidP="004A2814">
      <w:r>
        <w:t xml:space="preserve">  </w:t>
      </w:r>
      <w:r w:rsidR="00B72687">
        <w:t xml:space="preserve"> </w:t>
      </w:r>
      <w:r w:rsidR="006E5CD2">
        <w:t xml:space="preserve"> </w:t>
      </w:r>
      <w:r w:rsidR="0036337A">
        <w:t xml:space="preserve"> </w:t>
      </w:r>
      <w:r w:rsidR="001A4619">
        <w:t xml:space="preserve"> </w:t>
      </w:r>
    </w:p>
    <w:p w:rsidR="00206F05" w:rsidRDefault="00206F05">
      <w:pPr>
        <w:pStyle w:val="Heading1"/>
      </w:pPr>
      <w:r>
        <w:t>FUTURE WORK</w:t>
      </w:r>
    </w:p>
    <w:p w:rsidR="00206F05" w:rsidRDefault="00206F05" w:rsidP="00206F05">
      <w:r>
        <w:t xml:space="preserve">As a follow up to this research, different fitness functions could be explored that may be better suited to specific applications than the simple fitness method used here. An appropriate goal could be to find a fitness function that more accurately represents the way the human ear and brain hear and interpret audio. Such a scheme may incorporate a logarithmic function to attempt to model how humans experience subjective loudness. Alternatively, the fitness function could be tuned to optimize vocal patterns that are most useful to a particular speech recognition system, as to improve the quality of voice commands given to, for example, a mobile phone while driving. </w:t>
      </w:r>
    </w:p>
    <w:p w:rsidR="00206F05" w:rsidRDefault="00206F05" w:rsidP="00206F05">
      <w:r>
        <w:t>In an even larger expansion of this research, different combinations of noise reduction algorithms could be evolved using a Genetic Programming approach. This would allow the structure of the processing system</w:t>
      </w:r>
      <w:r w:rsidR="0053635B">
        <w:t xml:space="preserve"> to itself be</w:t>
      </w:r>
      <w:r>
        <w:t xml:space="preserve"> subject to evolution, instead of being set up in advance as was done in this case</w:t>
      </w:r>
      <w:r w:rsidR="0053635B">
        <w:t xml:space="preserve"> (shown in Figure 2)</w:t>
      </w:r>
      <w:r>
        <w:t xml:space="preserve">. In this scenario, classical algorithms such as the ones used in this paper and other noise reduction algorithms could be </w:t>
      </w:r>
      <w:r>
        <w:lastRenderedPageBreak/>
        <w:t xml:space="preserve">combined with simpler operations such as addition and multiplication. </w:t>
      </w:r>
      <w:r w:rsidR="0053635B">
        <w:t>The audio input could be fed into these evolved structures and the output compared to the clean audio. Such a</w:t>
      </w:r>
      <w:r>
        <w:t xml:space="preserve"> system could in theory find an overall best method for reducing noise using all known techniques. </w:t>
      </w:r>
    </w:p>
    <w:p w:rsidR="00510E75" w:rsidRDefault="00206F05" w:rsidP="000E2071">
      <w:r>
        <w:t>Finally, the audio samples that were used could be varied. In order to fully test the robustness of this approach, additional audio files including different voices, multiple voices, and different noise situations should be tested.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Yann Soon, Soo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P., "Improved Signal-to-Noise Ratio 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t>Modeling and Simulation Design</w:t>
      </w:r>
      <w:r w:rsidR="002D6A57">
        <w:t>. AK Peters Ltd., Natick, MA.</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7" w:history="1">
        <w:r w:rsidRPr="00B42C30">
          <w:rPr>
            <w:rStyle w:val="Hyperlink"/>
            <w:color w:val="auto"/>
            <w:u w:val="none"/>
          </w:rPr>
          <w:t>https://commons.wikimedia.org/wiki/</w:t>
        </w:r>
      </w:hyperlink>
      <w:r>
        <w:t xml:space="preserve"> </w:t>
      </w:r>
      <w:r w:rsidRPr="00B42C30">
        <w:t>File:Noise_Gate_Attack_Hold_Release.svg</w:t>
      </w:r>
    </w:p>
    <w:p w:rsidR="00B303CD" w:rsidRDefault="00377AE0" w:rsidP="00DA70EA">
      <w:pPr>
        <w:pStyle w:val="References"/>
      </w:pPr>
      <w:r w:rsidRPr="00377AE0">
        <w:t>Hansen, N. The CMA Evolution Strategy: A Tutorial. November 24, 2010.</w:t>
      </w:r>
      <w:r>
        <w:t xml:space="preserve"> </w:t>
      </w:r>
      <w:hyperlink r:id="rId18" w:history="1">
        <w:r w:rsidRPr="00377AE0">
          <w:rPr>
            <w:rStyle w:val="Hyperlink"/>
            <w:color w:val="auto"/>
            <w:u w:val="none"/>
          </w:rPr>
          <w:t>http://citeseerx.ist.psu.edu/viewdoc/</w:t>
        </w:r>
      </w:hyperlink>
      <w:r w:rsidRPr="00377AE0">
        <w:t xml:space="preserve"> </w:t>
      </w:r>
      <w:proofErr w:type="spellStart"/>
      <w:r w:rsidRPr="00377AE0">
        <w:t>download?doi</w:t>
      </w:r>
      <w:proofErr w:type="spellEnd"/>
      <w:r w:rsidRPr="00377AE0">
        <w:t>=10.1.1.139.7369&amp;rep=rep1&amp;type=pdf</w:t>
      </w:r>
    </w:p>
    <w:p w:rsidR="008B197E" w:rsidRDefault="00B303CD" w:rsidP="00510E75">
      <w:pPr>
        <w:pStyle w:val="References"/>
        <w:sectPr w:rsidR="008B197E" w:rsidSect="003B4153">
          <w:type w:val="continuous"/>
          <w:pgSz w:w="12240" w:h="15840" w:code="1"/>
          <w:pgMar w:top="1080" w:right="1080" w:bottom="1440" w:left="1080" w:header="720" w:footer="720" w:gutter="0"/>
          <w:cols w:num="2" w:space="475"/>
        </w:sectPr>
      </w:pPr>
      <w:r w:rsidRPr="00B303CD">
        <w:rPr>
          <w:rStyle w:val="Hyperlink"/>
          <w:color w:val="auto"/>
          <w:u w:val="none"/>
        </w:rPr>
        <w:t>Angus, Jamie and Howard, David. Acoustics and Psychoacoustics. 4th Ed. ISBN-13: 978-0240521756</w:t>
      </w:r>
      <w:r>
        <w:rPr>
          <w:rStyle w:val="Hyperlink"/>
          <w:color w:val="auto"/>
          <w:u w:val="none"/>
        </w:rPr>
        <w:t>.</w:t>
      </w:r>
      <w:bookmarkStart w:id="10" w:name="_GoBack"/>
      <w:bookmarkEnd w:id="10"/>
    </w:p>
    <w:p w:rsidR="008B197E" w:rsidRDefault="008B197E" w:rsidP="009177D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225" w:rsidRDefault="004D4225">
      <w:r>
        <w:separator/>
      </w:r>
    </w:p>
  </w:endnote>
  <w:endnote w:type="continuationSeparator" w:id="0">
    <w:p w:rsidR="004D4225" w:rsidRDefault="004D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2B" w:rsidRDefault="00BA7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732B" w:rsidRDefault="00BA7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225" w:rsidRDefault="004D4225">
      <w:r>
        <w:separator/>
      </w:r>
    </w:p>
  </w:footnote>
  <w:footnote w:type="continuationSeparator" w:id="0">
    <w:p w:rsidR="004D4225" w:rsidRDefault="004D4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4F96"/>
    <w:rsid w:val="00016D54"/>
    <w:rsid w:val="00022BE7"/>
    <w:rsid w:val="00033175"/>
    <w:rsid w:val="00033844"/>
    <w:rsid w:val="000355F6"/>
    <w:rsid w:val="0004286E"/>
    <w:rsid w:val="0005761E"/>
    <w:rsid w:val="00076550"/>
    <w:rsid w:val="00090C6D"/>
    <w:rsid w:val="000917C8"/>
    <w:rsid w:val="0009634A"/>
    <w:rsid w:val="00097055"/>
    <w:rsid w:val="000A6043"/>
    <w:rsid w:val="000C5A3D"/>
    <w:rsid w:val="000D6D96"/>
    <w:rsid w:val="000E0729"/>
    <w:rsid w:val="000E2071"/>
    <w:rsid w:val="000E2A2D"/>
    <w:rsid w:val="000E4786"/>
    <w:rsid w:val="00107BCE"/>
    <w:rsid w:val="00113450"/>
    <w:rsid w:val="00122432"/>
    <w:rsid w:val="00131E88"/>
    <w:rsid w:val="001378B9"/>
    <w:rsid w:val="00143DBE"/>
    <w:rsid w:val="001469E6"/>
    <w:rsid w:val="0015244A"/>
    <w:rsid w:val="001578EE"/>
    <w:rsid w:val="00172159"/>
    <w:rsid w:val="00191242"/>
    <w:rsid w:val="001A4619"/>
    <w:rsid w:val="001C707F"/>
    <w:rsid w:val="001D7FF1"/>
    <w:rsid w:val="001E4A9D"/>
    <w:rsid w:val="001F03CD"/>
    <w:rsid w:val="001F6DF2"/>
    <w:rsid w:val="00206035"/>
    <w:rsid w:val="00206F05"/>
    <w:rsid w:val="00224765"/>
    <w:rsid w:val="0022525C"/>
    <w:rsid w:val="00225B97"/>
    <w:rsid w:val="00230C4F"/>
    <w:rsid w:val="00242B48"/>
    <w:rsid w:val="00243359"/>
    <w:rsid w:val="002451BB"/>
    <w:rsid w:val="0026429F"/>
    <w:rsid w:val="00276401"/>
    <w:rsid w:val="0027698B"/>
    <w:rsid w:val="00276E3A"/>
    <w:rsid w:val="002801AD"/>
    <w:rsid w:val="002C1AE2"/>
    <w:rsid w:val="002D2C9C"/>
    <w:rsid w:val="002D6A57"/>
    <w:rsid w:val="002E237C"/>
    <w:rsid w:val="002F2CB4"/>
    <w:rsid w:val="002F4834"/>
    <w:rsid w:val="00301C1F"/>
    <w:rsid w:val="00330B74"/>
    <w:rsid w:val="003405ED"/>
    <w:rsid w:val="003424E9"/>
    <w:rsid w:val="0036337A"/>
    <w:rsid w:val="00375299"/>
    <w:rsid w:val="00377A65"/>
    <w:rsid w:val="00377AE0"/>
    <w:rsid w:val="0039557D"/>
    <w:rsid w:val="003B0642"/>
    <w:rsid w:val="003B0F65"/>
    <w:rsid w:val="003B4153"/>
    <w:rsid w:val="003C08FE"/>
    <w:rsid w:val="003E3258"/>
    <w:rsid w:val="003F40D2"/>
    <w:rsid w:val="00417545"/>
    <w:rsid w:val="00435698"/>
    <w:rsid w:val="004446AB"/>
    <w:rsid w:val="00474255"/>
    <w:rsid w:val="0049113C"/>
    <w:rsid w:val="0049236E"/>
    <w:rsid w:val="004A2814"/>
    <w:rsid w:val="004B2792"/>
    <w:rsid w:val="004C098D"/>
    <w:rsid w:val="004D4225"/>
    <w:rsid w:val="004D68FC"/>
    <w:rsid w:val="004E6F0D"/>
    <w:rsid w:val="0050495B"/>
    <w:rsid w:val="00510E75"/>
    <w:rsid w:val="00516136"/>
    <w:rsid w:val="00530129"/>
    <w:rsid w:val="00531B81"/>
    <w:rsid w:val="0053635B"/>
    <w:rsid w:val="005500F4"/>
    <w:rsid w:val="00571CED"/>
    <w:rsid w:val="005842F9"/>
    <w:rsid w:val="005942CE"/>
    <w:rsid w:val="005B6A93"/>
    <w:rsid w:val="005C5621"/>
    <w:rsid w:val="005C7641"/>
    <w:rsid w:val="005D125C"/>
    <w:rsid w:val="005D28A1"/>
    <w:rsid w:val="005F40EC"/>
    <w:rsid w:val="005F7CA6"/>
    <w:rsid w:val="00603A4D"/>
    <w:rsid w:val="006064E0"/>
    <w:rsid w:val="006068C1"/>
    <w:rsid w:val="00611ADE"/>
    <w:rsid w:val="0061710B"/>
    <w:rsid w:val="00623957"/>
    <w:rsid w:val="00626079"/>
    <w:rsid w:val="0062758A"/>
    <w:rsid w:val="00640388"/>
    <w:rsid w:val="00662C8B"/>
    <w:rsid w:val="00666467"/>
    <w:rsid w:val="0068547D"/>
    <w:rsid w:val="0069356A"/>
    <w:rsid w:val="00697A36"/>
    <w:rsid w:val="006A044B"/>
    <w:rsid w:val="006A1FA3"/>
    <w:rsid w:val="006B7A14"/>
    <w:rsid w:val="006D2D87"/>
    <w:rsid w:val="006D451E"/>
    <w:rsid w:val="006D64DD"/>
    <w:rsid w:val="006E5CD2"/>
    <w:rsid w:val="006F73F8"/>
    <w:rsid w:val="00725F64"/>
    <w:rsid w:val="00737114"/>
    <w:rsid w:val="00745203"/>
    <w:rsid w:val="0074769A"/>
    <w:rsid w:val="00751A25"/>
    <w:rsid w:val="00774951"/>
    <w:rsid w:val="007839FA"/>
    <w:rsid w:val="00787583"/>
    <w:rsid w:val="00793DF2"/>
    <w:rsid w:val="007C08CF"/>
    <w:rsid w:val="007C3600"/>
    <w:rsid w:val="007C38CB"/>
    <w:rsid w:val="007C5A1F"/>
    <w:rsid w:val="007C71B9"/>
    <w:rsid w:val="007D37D3"/>
    <w:rsid w:val="007E4397"/>
    <w:rsid w:val="008225FC"/>
    <w:rsid w:val="0082277A"/>
    <w:rsid w:val="0083078B"/>
    <w:rsid w:val="00830CB6"/>
    <w:rsid w:val="008536AF"/>
    <w:rsid w:val="0087467E"/>
    <w:rsid w:val="00876379"/>
    <w:rsid w:val="00892491"/>
    <w:rsid w:val="00893FFA"/>
    <w:rsid w:val="008B0897"/>
    <w:rsid w:val="008B197E"/>
    <w:rsid w:val="008B1A77"/>
    <w:rsid w:val="008C4998"/>
    <w:rsid w:val="008C5CB5"/>
    <w:rsid w:val="008D15CD"/>
    <w:rsid w:val="008E6CEA"/>
    <w:rsid w:val="008F2196"/>
    <w:rsid w:val="008F7414"/>
    <w:rsid w:val="009055EA"/>
    <w:rsid w:val="009170CC"/>
    <w:rsid w:val="009177D2"/>
    <w:rsid w:val="00917E53"/>
    <w:rsid w:val="009206D3"/>
    <w:rsid w:val="00941EFD"/>
    <w:rsid w:val="00942C4B"/>
    <w:rsid w:val="0096644A"/>
    <w:rsid w:val="0097295B"/>
    <w:rsid w:val="00980CAC"/>
    <w:rsid w:val="00997543"/>
    <w:rsid w:val="009A2B08"/>
    <w:rsid w:val="009B701B"/>
    <w:rsid w:val="009D7B5B"/>
    <w:rsid w:val="009F334B"/>
    <w:rsid w:val="009F7F1B"/>
    <w:rsid w:val="00A105B5"/>
    <w:rsid w:val="00A216F7"/>
    <w:rsid w:val="00A2769E"/>
    <w:rsid w:val="00A31669"/>
    <w:rsid w:val="00A31800"/>
    <w:rsid w:val="00A36BBC"/>
    <w:rsid w:val="00A40DBD"/>
    <w:rsid w:val="00A42072"/>
    <w:rsid w:val="00A45B4D"/>
    <w:rsid w:val="00A60B73"/>
    <w:rsid w:val="00A615ED"/>
    <w:rsid w:val="00A66E61"/>
    <w:rsid w:val="00A7337B"/>
    <w:rsid w:val="00A7528E"/>
    <w:rsid w:val="00A94C8A"/>
    <w:rsid w:val="00AA718F"/>
    <w:rsid w:val="00AB6FEB"/>
    <w:rsid w:val="00AB7536"/>
    <w:rsid w:val="00AC7037"/>
    <w:rsid w:val="00AD3C83"/>
    <w:rsid w:val="00AE1171"/>
    <w:rsid w:val="00AE2664"/>
    <w:rsid w:val="00B031BD"/>
    <w:rsid w:val="00B303CD"/>
    <w:rsid w:val="00B41651"/>
    <w:rsid w:val="00B42C30"/>
    <w:rsid w:val="00B43E34"/>
    <w:rsid w:val="00B5198D"/>
    <w:rsid w:val="00B606DF"/>
    <w:rsid w:val="00B63F89"/>
    <w:rsid w:val="00B72687"/>
    <w:rsid w:val="00B91AA9"/>
    <w:rsid w:val="00B9242B"/>
    <w:rsid w:val="00B96EBD"/>
    <w:rsid w:val="00BA732B"/>
    <w:rsid w:val="00BB4EB8"/>
    <w:rsid w:val="00BB77EA"/>
    <w:rsid w:val="00BC4C60"/>
    <w:rsid w:val="00BF08A2"/>
    <w:rsid w:val="00BF2669"/>
    <w:rsid w:val="00BF3697"/>
    <w:rsid w:val="00BF375D"/>
    <w:rsid w:val="00BF7CA7"/>
    <w:rsid w:val="00C1528D"/>
    <w:rsid w:val="00C17ACE"/>
    <w:rsid w:val="00C27636"/>
    <w:rsid w:val="00C42DF6"/>
    <w:rsid w:val="00C7584B"/>
    <w:rsid w:val="00CA0E3C"/>
    <w:rsid w:val="00CB4646"/>
    <w:rsid w:val="00CC70B8"/>
    <w:rsid w:val="00CD0FC4"/>
    <w:rsid w:val="00CD7E8B"/>
    <w:rsid w:val="00CD7EC6"/>
    <w:rsid w:val="00CE2F9F"/>
    <w:rsid w:val="00D15453"/>
    <w:rsid w:val="00D3292B"/>
    <w:rsid w:val="00D37CC5"/>
    <w:rsid w:val="00D405C9"/>
    <w:rsid w:val="00D44EC1"/>
    <w:rsid w:val="00D51E62"/>
    <w:rsid w:val="00D63BEE"/>
    <w:rsid w:val="00D91DF7"/>
    <w:rsid w:val="00DA59DC"/>
    <w:rsid w:val="00DA70EA"/>
    <w:rsid w:val="00DB7AD4"/>
    <w:rsid w:val="00DC1F1C"/>
    <w:rsid w:val="00DE68BA"/>
    <w:rsid w:val="00E00CAC"/>
    <w:rsid w:val="00E073C7"/>
    <w:rsid w:val="00E1751C"/>
    <w:rsid w:val="00E23D15"/>
    <w:rsid w:val="00E26518"/>
    <w:rsid w:val="00E31446"/>
    <w:rsid w:val="00E3178B"/>
    <w:rsid w:val="00E42054"/>
    <w:rsid w:val="00E71C1B"/>
    <w:rsid w:val="00E73D70"/>
    <w:rsid w:val="00E82C8F"/>
    <w:rsid w:val="00E86D11"/>
    <w:rsid w:val="00E96DF1"/>
    <w:rsid w:val="00EC1F6A"/>
    <w:rsid w:val="00ED3D93"/>
    <w:rsid w:val="00ED7387"/>
    <w:rsid w:val="00EF215E"/>
    <w:rsid w:val="00EF449A"/>
    <w:rsid w:val="00F01FF9"/>
    <w:rsid w:val="00F06793"/>
    <w:rsid w:val="00F068C7"/>
    <w:rsid w:val="00F25FA1"/>
    <w:rsid w:val="00F34659"/>
    <w:rsid w:val="00F4566A"/>
    <w:rsid w:val="00F50B82"/>
    <w:rsid w:val="00F50CDE"/>
    <w:rsid w:val="00F5619A"/>
    <w:rsid w:val="00F566F4"/>
    <w:rsid w:val="00F67BCD"/>
    <w:rsid w:val="00F96495"/>
    <w:rsid w:val="00FA402B"/>
    <w:rsid w:val="00FC5CD0"/>
    <w:rsid w:val="00FE055A"/>
    <w:rsid w:val="00FE59FF"/>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 w:type="character" w:customStyle="1" w:styleId="a-size-base">
    <w:name w:val="a-size-base"/>
    <w:basedOn w:val="DefaultParagraphFont"/>
    <w:rsid w:val="00B303CD"/>
  </w:style>
  <w:style w:type="character" w:customStyle="1" w:styleId="apple-converted-space">
    <w:name w:val="apple-converted-space"/>
    <w:basedOn w:val="DefaultParagraphFont"/>
    <w:rsid w:val="00B30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 w:type="character" w:customStyle="1" w:styleId="a-size-base">
    <w:name w:val="a-size-base"/>
    <w:basedOn w:val="DefaultParagraphFont"/>
    <w:rsid w:val="00B303CD"/>
  </w:style>
  <w:style w:type="character" w:customStyle="1" w:styleId="apple-converted-space">
    <w:name w:val="apple-converted-space"/>
    <w:basedOn w:val="DefaultParagraphFont"/>
    <w:rsid w:val="00B3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iteseerx.ist.psu.edu/view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mmons.wikimedia.org/wik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8EA6E-3075-4146-AA4A-1DDF5657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22578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210068857</cp:lastModifiedBy>
  <cp:revision>178</cp:revision>
  <cp:lastPrinted>2011-01-13T15:51:00Z</cp:lastPrinted>
  <dcterms:created xsi:type="dcterms:W3CDTF">2015-08-07T14:17:00Z</dcterms:created>
  <dcterms:modified xsi:type="dcterms:W3CDTF">2015-12-08T03:03:00Z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