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Document.xml" ContentType="application/vnd.openxmlformats-officedocument.wordprocessingml.commentsIds+xml"/>
  <Override PartName="/word/peopleDocument.xml" ContentType="application/vnd.openxmlformats-officedocument.wordprocessingml.people+xml"/>
  <Override PartName="/word/commentsExtensibleDocument.xml" ContentType="application/vnd.openxmlformats-officedocument.wordprocessingml.commentsExtensible+xml"/>
  <Override PartName="/word/commentsDocument.xml" ContentType="application/vnd.openxmlformats-officedocument.wordprocessingml.comments+xml"/>
  <Override PartName="/word/commentsExtendedDocument.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1427F8" w14:textId="44813543" w:rsidR="00FA6CA1" w:rsidRDefault="00000000">
      <w:pPr>
        <w:pStyle w:val="NormalWeb"/>
        <w:spacing w:before="0" w:beforeAutospacing="0" w:after="120" w:afterAutospacing="0" w:line="360" w:lineRule="auto"/>
        <w:jc w:val="center"/>
        <w:rPr>
          <w:rFonts w:ascii="Arial" w:hAnsi="Arial" w:cs="Arial"/>
        </w:rPr>
      </w:pPr>
      <w:r>
        <w:rPr>
          <w:rFonts w:ascii="Arial" w:hAnsi="Arial" w:cs="Arial"/>
          <w:color w:val="000000"/>
          <w:shd w:val="clear" w:color="auto" w:fill="FFFFFF"/>
        </w:rPr>
        <w:t>Attention-Based Deep</w:t>
      </w:r>
      <w:r>
        <w:rPr>
          <w:rFonts w:ascii="Arial" w:hAnsi="Arial" w:cs="Arial"/>
        </w:rPr>
        <w:t xml:space="preserve"> Multi-Instance Learning for Detecting Bioactive Conformers in Receptor- and Alignment-Independent Conformational-Ensemble-Based 3D-QSAR Pipeline</w:t>
      </w:r>
    </w:p>
    <w:p w14:paraId="585D53D1" w14:textId="4521AAC5" w:rsidR="005766B4" w:rsidRPr="005766B4" w:rsidRDefault="00000000" w:rsidP="003F17F1">
      <w:pPr>
        <w:spacing w:after="0" w:line="360" w:lineRule="auto"/>
        <w:ind w:firstLine="426"/>
        <w:rPr>
          <w:rFonts w:ascii="Arial" w:hAnsi="Arial" w:cs="Arial"/>
          <w:b/>
          <w:bCs/>
        </w:rPr>
      </w:pPr>
      <w:r>
        <w:rPr>
          <w:rFonts w:ascii="Arial" w:hAnsi="Arial" w:cs="Arial"/>
          <w:b/>
          <w:bCs/>
        </w:rPr>
        <w:t>Abstract:</w:t>
      </w:r>
    </w:p>
    <w:p w14:paraId="3E69CC43" w14:textId="32A690FC" w:rsidR="005766B4" w:rsidRDefault="005766B4" w:rsidP="008A4B76">
      <w:pPr>
        <w:spacing w:line="360" w:lineRule="auto"/>
        <w:ind w:firstLine="426"/>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Multi-instance learning (MIL) has demonstrated competitive performance in molecular activity prediction, including QSAR modeling. In molecular MIL, each compound is represented by its conformational ensemble, and the model predicts the biological activity while assigning an importance score to each conformer. The analysis of these conformer-level scores is known as key instance detection (KID). The highest-scoring conformer, that is, the key instance, is assumed to contribute the most to the predicted activity and is therefore interpreted as biologically relevant. Herein, we challenge this assumption in the context of receptor-independent and alignment-independent, conformer-ensemble-based three-dimensional (3D) QSAR modeling of beta-secretase 1 (BACE1) inhibitory activity. We introduce MILKID, a specialized MIL framework for evaluating and interpreting the KID. MILKID uses attention-based deep learning for conformer-level importance estimation, defines a KID evaluation protocol and metrics, and investigates the chemical relevance of KID.</w:t>
      </w:r>
    </w:p>
    <w:p w14:paraId="14453B55" w14:textId="77777777" w:rsidR="00FA6CA1" w:rsidRDefault="00000000">
      <w:pPr>
        <w:spacing w:line="360" w:lineRule="auto"/>
        <w:jc w:val="both"/>
        <w:rPr>
          <w:rFonts w:ascii="Arial" w:hAnsi="Arial" w:cs="Arial"/>
        </w:rPr>
      </w:pPr>
      <w:r>
        <w:rPr>
          <w:rFonts w:ascii="Arial" w:hAnsi="Arial" w:cs="Arial"/>
          <w:noProof/>
        </w:rPr>
        <mc:AlternateContent>
          <mc:Choice Requires="wpg">
            <w:drawing>
              <wp:inline distT="0" distB="0" distL="0" distR="0" wp14:anchorId="7745A00C" wp14:editId="4519F4F4">
                <wp:extent cx="5943600" cy="2064385"/>
                <wp:effectExtent l="0" t="0" r="0" b="5715"/>
                <wp:docPr id="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62409" name="Graphic 370462409"/>
                        <pic:cNvPicPr>
                          <a:picLocks noChangeAspect="1"/>
                        </pic:cNvPicPr>
                      </pic:nvPicPr>
                      <pic:blipFill>
                        <a:blip r:embed="rId8"/>
                        <a:stretch/>
                      </pic:blipFill>
                      <pic:spPr bwMode="auto">
                        <a:xfrm>
                          <a:off x="0" y="0"/>
                          <a:ext cx="5943600" cy="2064385"/>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468.0pt;height:162.5pt;mso-wrap-distance-left:0.0pt;mso-wrap-distance-top:0.0pt;mso-wrap-distance-right:0.0pt;mso-wrap-distance-bottom:0.0pt;" stroked="false">
                <v:path textboxrect="0,0,0,0"/>
                <v:imagedata r:id="rId12" o:title=""/>
              </v:shape>
            </w:pict>
          </mc:Fallback>
        </mc:AlternateContent>
      </w:r>
    </w:p>
    <w:p w14:paraId="3F01EE7E" w14:textId="77777777" w:rsidR="00FA6CA1" w:rsidRDefault="00000000">
      <w:pPr>
        <w:pStyle w:val="ListParagraph"/>
        <w:numPr>
          <w:ilvl w:val="0"/>
          <w:numId w:val="1"/>
        </w:numPr>
        <w:spacing w:line="360" w:lineRule="auto"/>
        <w:rPr>
          <w:rFonts w:ascii="Arial" w:hAnsi="Arial" w:cs="Arial"/>
          <w:b/>
          <w:bCs/>
        </w:rPr>
      </w:pPr>
      <w:r>
        <w:rPr>
          <w:rFonts w:ascii="Arial" w:hAnsi="Arial" w:cs="Arial"/>
          <w:b/>
          <w:bCs/>
        </w:rPr>
        <w:t>Introduction</w:t>
      </w:r>
    </w:p>
    <w:p w14:paraId="564CBD40" w14:textId="28B3A1BA" w:rsidR="00025BC5" w:rsidRPr="00025BC5" w:rsidRDefault="00000000" w:rsidP="00025BC5">
      <w:pPr>
        <w:pStyle w:val="Heading2"/>
        <w:numPr>
          <w:ilvl w:val="1"/>
          <w:numId w:val="1"/>
        </w:numPr>
        <w:tabs>
          <w:tab w:val="num" w:pos="360"/>
        </w:tabs>
        <w:spacing w:before="240" w:after="120"/>
        <w:ind w:left="1077" w:hanging="652"/>
        <w:rPr>
          <w:rFonts w:ascii="Arial" w:hAnsi="Arial" w:cs="Arial"/>
          <w:color w:val="000000" w:themeColor="text1"/>
          <w:sz w:val="24"/>
          <w:szCs w:val="24"/>
        </w:rPr>
      </w:pPr>
      <w:bookmarkStart w:id="0" w:name="_Toc190985093"/>
      <w:bookmarkStart w:id="1" w:name="_Toc193658847"/>
      <w:r>
        <w:rPr>
          <w:rFonts w:ascii="Arial" w:hAnsi="Arial" w:cs="Arial"/>
          <w:color w:val="000000" w:themeColor="text1"/>
          <w:sz w:val="24"/>
          <w:szCs w:val="24"/>
        </w:rPr>
        <w:t xml:space="preserve">Bioactive Conformer </w:t>
      </w:r>
      <w:bookmarkEnd w:id="0"/>
      <w:bookmarkEnd w:id="1"/>
      <w:r>
        <w:rPr>
          <w:rFonts w:ascii="Arial" w:hAnsi="Arial" w:cs="Arial"/>
          <w:color w:val="000000" w:themeColor="text1"/>
          <w:sz w:val="24"/>
          <w:szCs w:val="24"/>
        </w:rPr>
        <w:t>Detection: The Context</w:t>
      </w:r>
      <w:bookmarkStart w:id="2" w:name="OLE_LINK1"/>
    </w:p>
    <w:p w14:paraId="11BE7885" w14:textId="755F1961" w:rsidR="00025BC5" w:rsidRDefault="00C77315">
      <w:pPr>
        <w:spacing w:line="360" w:lineRule="auto"/>
        <w:ind w:firstLine="426"/>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Protein-ligand interactions depend on </w:t>
      </w:r>
      <w:r>
        <w:rPr>
          <w:rFonts w:ascii="Arial" w:hAnsi="Arial" w:cs="Arial"/>
          <w:color w:val="000000"/>
          <w:highlight w:val="green"/>
          <w:shd w:val="clear" w:color="auto" w:fill="FFFFFF"/>
          <w14:ligatures w14:val="none"/>
        </w:rPr>
        <w:t xml:space="preserve">the target-bound conformation adopted by the ligand, which is referred to as the </w:t>
      </w:r>
      <w:r>
        <w:rPr>
          <w:rFonts w:ascii="Arial" w:hAnsi="Arial" w:cs="Arial"/>
          <w:i/>
          <w:iCs/>
          <w:color w:val="000000"/>
          <w:highlight w:val="green"/>
          <w:shd w:val="clear" w:color="auto" w:fill="FFFFFF"/>
          <w14:ligatures w14:val="none"/>
        </w:rPr>
        <w:t>bioactive conformer</w:t>
      </w:r>
      <w:r>
        <w:rPr>
          <w:rFonts w:ascii="Arial" w:hAnsi="Arial" w:cs="Arial"/>
          <w:color w:val="000000"/>
          <w:shd w:val="clear" w:color="auto" w:fill="FFFFFF"/>
          <w14:ligatures w14:val="none"/>
        </w:rPr>
        <w:t xml:space="preserve">. Consequently, the bioactive </w:t>
      </w:r>
      <w:r>
        <w:rPr>
          <w:rFonts w:ascii="Arial" w:hAnsi="Arial" w:cs="Arial"/>
          <w:color w:val="000000"/>
          <w:shd w:val="clear" w:color="auto" w:fill="FFFFFF"/>
          <w14:ligatures w14:val="none"/>
        </w:rPr>
        <w:lastRenderedPageBreak/>
        <w:t>conformer provides a structural basis for rationalizing ligand potency. This principle underlies 3D-QSAR, introduced by Cramer et al. [1].</w:t>
      </w:r>
    </w:p>
    <w:p w14:paraId="7DEDF955" w14:textId="074EF401" w:rsidR="00FA6CA1" w:rsidRPr="00A762DB" w:rsidRDefault="00A548C1" w:rsidP="00A762DB">
      <w:pPr>
        <w:spacing w:line="360" w:lineRule="auto"/>
        <w:ind w:firstLine="426"/>
        <w:jc w:val="both"/>
        <w:rPr>
          <w:rFonts w:ascii="Arial" w:hAnsi="Arial" w:cs="Arial"/>
          <w:color w:val="000000"/>
          <w:highlight w:val="lightGray"/>
          <w:shd w:val="clear" w:color="auto" w:fill="FFFFFF"/>
          <w14:ligatures w14:val="none"/>
        </w:rPr>
      </w:pPr>
      <w:r>
        <w:rPr>
          <w:rFonts w:ascii="Arial" w:hAnsi="Arial" w:cs="Arial"/>
          <w:color w:val="000000"/>
          <w:shd w:val="clear" w:color="auto" w:fill="FFFFFF"/>
          <w14:ligatures w14:val="none"/>
        </w:rPr>
        <w:t xml:space="preserve">The 3D-QSAR methods aim to correlate a molecular 3D structure with its biological activity. Receptor-independent (RI) 3D-QSAR methods, unlike receptor-dependent (RD) approaches [31, 32], establish these correlations solely from ligand-derived 3D representations without explicitly encoding target information. As a result, the bioactive conformer, its binding pose, and its binding mode remain unknown and must therefore be inferred. Consequently, identifying the </w:t>
      </w:r>
      <w:r>
        <w:rPr>
          <w:rFonts w:ascii="Arial" w:hAnsi="Arial" w:cs="Arial"/>
          <w:color w:val="000000"/>
          <w:highlight w:val="lightGray"/>
          <w:shd w:val="clear" w:color="auto" w:fill="FFFFFF"/>
          <w14:ligatures w14:val="none"/>
        </w:rPr>
        <w:t>bioactive conformers</w:t>
      </w:r>
      <w:r>
        <w:rPr>
          <w:rFonts w:ascii="Arial" w:hAnsi="Arial" w:cs="Arial"/>
          <w:color w:val="000000"/>
          <w:shd w:val="clear" w:color="auto" w:fill="FFFFFF"/>
          <w14:ligatures w14:val="none"/>
        </w:rPr>
        <w:t xml:space="preserve"> is critical for RI 3D-QSAR methods, as several hypotheses may appear equally plausible, whereas others may not be biologically sensible.</w:t>
      </w:r>
    </w:p>
    <w:p w14:paraId="4D3FE4EF" w14:textId="7AD18CF7" w:rsidR="00D77449" w:rsidRDefault="00FE7E91" w:rsidP="00100244">
      <w:pPr>
        <w:spacing w:line="360" w:lineRule="auto"/>
        <w:ind w:firstLine="426"/>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Early RI 3D-QSAR methods, such as Comparative Molecular Field Analysis (CoMFA) [1], emerged in the late 1980s. They utilize 3D descriptors derived from grid-based molecular fields generated by aligning training-set molecules to a reference compound [14] or a pharmacophore [15]. Model performance and its interpretation, in turn, are shaped by the chosen molecular alignment protocol [9]. These approaches also require selecting a </w:t>
      </w:r>
      <w:r>
        <w:rPr>
          <w:rFonts w:ascii="Arial" w:hAnsi="Arial" w:cs="Arial"/>
          <w:i/>
          <w:iCs/>
          <w:color w:val="000000"/>
          <w:highlight w:val="lightGray"/>
          <w:shd w:val="clear" w:color="auto" w:fill="FFFFFF"/>
          <w14:ligatures w14:val="none"/>
        </w:rPr>
        <w:t>representative conformer</w:t>
      </w:r>
      <w:r>
        <w:rPr>
          <w:rFonts w:ascii="Arial" w:hAnsi="Arial" w:cs="Arial"/>
          <w:color w:val="000000"/>
          <w:shd w:val="clear" w:color="auto" w:fill="FFFFFF"/>
          <w14:ligatures w14:val="none"/>
        </w:rPr>
        <w:t xml:space="preserve"> for each compound. </w:t>
      </w:r>
      <w:bookmarkEnd w:id="2"/>
      <w:r>
        <w:rPr>
          <w:rFonts w:ascii="Arial" w:hAnsi="Arial" w:cs="Arial"/>
          <w:color w:val="000000"/>
          <w:shd w:val="clear" w:color="auto" w:fill="FFFFFF"/>
          <w14:ligatures w14:val="none"/>
        </w:rPr>
        <w:t>Such estimates are usually based on the minimum-energy geometry, which depends on the chosen force field and solvation model [36]. However, this is not always a reliable approximation, as ligands may undergo conformational changes upon binding and, therefore, do not necessarily bind in their lowest-energy geometry [81]. Alternative options include a docking-derived pose or a conformer selected based on similarity to an experimental pose, both of which are receptor-informed assumptions [37]. As a result, the factors mentioned can lead to variation in the predictive performance and explainability of the alignment-dependent RI 3D-QSAR model [13].</w:t>
      </w:r>
    </w:p>
    <w:p w14:paraId="0E9941C8" w14:textId="11C41F4A" w:rsidR="005F36FB" w:rsidRDefault="002D4F42" w:rsidP="002064D3">
      <w:pPr>
        <w:spacing w:line="360" w:lineRule="auto"/>
        <w:ind w:firstLine="426"/>
        <w:jc w:val="both"/>
        <w:rPr>
          <w:rFonts w:ascii="Arial" w:hAnsi="Arial" w:cs="Arial"/>
          <w:color w:val="000000"/>
          <w:shd w:val="clear" w:color="auto" w:fill="FFFFFF"/>
          <w14:ligatures w14:val="none"/>
        </w:rPr>
      </w:pPr>
      <w:bookmarkStart w:id="3" w:name="OLE_LINK21"/>
      <w:r>
        <w:rPr>
          <w:rFonts w:ascii="Arial" w:hAnsi="Arial" w:cs="Arial"/>
          <w:color w:val="000000"/>
          <w:shd w:val="clear" w:color="auto" w:fill="FFFFFF"/>
          <w14:ligatures w14:val="none"/>
        </w:rPr>
        <w:t xml:space="preserve">Alignment-independent RI 3D-QSAR methods do not require explicit ligand superimposition. Instead, they rely on roto-translation invariant descriptors or embeddings [3–8]. However, these encodings remain geometry-dependent, and a </w:t>
      </w:r>
      <w:r>
        <w:rPr>
          <w:rFonts w:ascii="Arial" w:hAnsi="Arial" w:cs="Arial"/>
          <w:color w:val="000000"/>
          <w:highlight w:val="lightGray"/>
          <w:shd w:val="clear" w:color="auto" w:fill="FFFFFF"/>
          <w14:ligatures w14:val="none"/>
        </w:rPr>
        <w:t>representative conformer</w:t>
      </w:r>
      <w:r>
        <w:rPr>
          <w:rFonts w:ascii="Arial" w:hAnsi="Arial" w:cs="Arial"/>
          <w:color w:val="000000"/>
          <w:shd w:val="clear" w:color="auto" w:fill="FFFFFF"/>
          <w14:ligatures w14:val="none"/>
        </w:rPr>
        <w:t xml:space="preserve"> must be selected to build a model. </w:t>
      </w:r>
      <w:bookmarkEnd w:id="3"/>
      <w:r>
        <w:rPr>
          <w:rFonts w:ascii="Arial" w:hAnsi="Arial" w:cs="Arial"/>
          <w:color w:val="000000"/>
          <w:shd w:val="clear" w:color="auto" w:fill="FFFFFF"/>
          <w14:ligatures w14:val="none"/>
        </w:rPr>
        <w:t>Moreover, enforcing the roto-translation invariance of the encoding often complicates feature-based model explainability, as discussed in ref. [67].</w:t>
      </w:r>
    </w:p>
    <w:p w14:paraId="05254735" w14:textId="7FD1F7A7" w:rsidR="00FA6CA1" w:rsidRPr="00030A50" w:rsidRDefault="00B765D8" w:rsidP="00405204">
      <w:pPr>
        <w:spacing w:line="360" w:lineRule="auto"/>
        <w:ind w:firstLine="426"/>
        <w:jc w:val="both"/>
        <w:rPr>
          <w:rFonts w:ascii="Arial" w:hAnsi="Arial" w:cs="Arial"/>
          <w:color w:val="000000"/>
          <w:shd w:val="clear" w:color="auto" w:fill="FFFFFF"/>
          <w14:ligatures w14:val="none"/>
        </w:rPr>
      </w:pPr>
      <w:bookmarkStart w:id="4" w:name="OLE_LINK17"/>
      <w:bookmarkStart w:id="5" w:name="OLE_LINK2"/>
      <w:r>
        <w:rPr>
          <w:rFonts w:ascii="Arial" w:hAnsi="Arial" w:cs="Arial"/>
          <w:color w:val="000000"/>
          <w:shd w:val="clear" w:color="auto" w:fill="FFFFFF"/>
          <w14:ligatures w14:val="none"/>
        </w:rPr>
        <w:lastRenderedPageBreak/>
        <w:t xml:space="preserve">4D-QSAR [11, 12] methods lift the need for selecting a </w:t>
      </w:r>
      <w:r>
        <w:rPr>
          <w:rFonts w:ascii="Arial" w:hAnsi="Arial" w:cs="Arial"/>
          <w:color w:val="000000"/>
          <w:highlight w:val="lightGray"/>
          <w:shd w:val="clear" w:color="auto" w:fill="FFFFFF"/>
          <w14:ligatures w14:val="none"/>
        </w:rPr>
        <w:t>representative conformer</w:t>
      </w:r>
      <w:r>
        <w:rPr>
          <w:rFonts w:ascii="Arial" w:hAnsi="Arial" w:cs="Arial"/>
          <w:color w:val="000000"/>
          <w:shd w:val="clear" w:color="auto" w:fill="FFFFFF"/>
          <w14:ligatures w14:val="none"/>
        </w:rPr>
        <w:t xml:space="preserve"> and explicitly account for the molecular conformational ensemble. The ensemble typically comprises multiple local-minimum geometries sampled across the molecule’s potential energy surface (PES) [16]. Information from multiple molecular conformers is then aggregated into a single feature vector for downstream regression or classification tasks. However, the aggregation scheme in this scenario is </w:t>
      </w:r>
      <w:r>
        <w:rPr>
          <w:rFonts w:ascii="Arial" w:hAnsi="Arial" w:cs="Arial"/>
          <w:color w:val="000000" w:themeColor="text1"/>
          <w:shd w:val="clear" w:color="auto" w:fill="FFFFFF"/>
          <w14:ligatures w14:val="none"/>
        </w:rPr>
        <w:t>predefined, meaning that it is heuristic; for example, conformers may be weighted by their Boltzmann populations at thermal equilibrium. Moreover, most 4D-QSAR-compliant descriptors remain alignment-dependent [12].</w:t>
      </w:r>
    </w:p>
    <w:p w14:paraId="56DC34F9" w14:textId="07022EB4" w:rsidR="009C152C" w:rsidRPr="009C152C" w:rsidRDefault="00000000" w:rsidP="009C152C">
      <w:pPr>
        <w:pStyle w:val="Heading2"/>
        <w:numPr>
          <w:ilvl w:val="1"/>
          <w:numId w:val="1"/>
        </w:numPr>
        <w:tabs>
          <w:tab w:val="num" w:pos="360"/>
        </w:tabs>
        <w:spacing w:before="240" w:after="120"/>
        <w:ind w:left="1077" w:hanging="652"/>
        <w:rPr>
          <w:rFonts w:ascii="Arial" w:hAnsi="Arial" w:cs="Arial"/>
          <w:color w:val="000000" w:themeColor="text1"/>
          <w:sz w:val="24"/>
          <w:szCs w:val="24"/>
        </w:rPr>
      </w:pPr>
      <w:r>
        <w:rPr>
          <w:rFonts w:ascii="Arial" w:hAnsi="Arial" w:cs="Arial"/>
          <w:color w:val="000000" w:themeColor="text1"/>
          <w:sz w:val="24"/>
          <w:szCs w:val="24"/>
        </w:rPr>
        <w:t>MIL for Bioactive Conformer Detection</w:t>
      </w:r>
    </w:p>
    <w:p w14:paraId="5D613170" w14:textId="5F36DFAD" w:rsidR="0094645D" w:rsidRDefault="00B765D8" w:rsidP="00051493">
      <w:pPr>
        <w:spacing w:line="360" w:lineRule="auto"/>
        <w:ind w:firstLine="426"/>
        <w:jc w:val="both"/>
        <w:rPr>
          <w:rFonts w:ascii="Arial" w:hAnsi="Arial" w:cs="Arial"/>
          <w:color w:val="000000" w:themeColor="text1"/>
          <w:shd w:val="clear" w:color="auto" w:fill="FFFFFF"/>
          <w14:ligatures w14:val="none"/>
        </w:rPr>
      </w:pPr>
      <w:r>
        <w:rPr>
          <w:rFonts w:ascii="Arial" w:hAnsi="Arial" w:cs="Arial"/>
          <w:color w:val="000000" w:themeColor="text1"/>
          <w:shd w:val="clear" w:color="auto" w:fill="FFFFFF"/>
          <w14:ligatures w14:val="none"/>
        </w:rPr>
        <w:t xml:space="preserve">Similar to 4D-QSAR methods, </w:t>
      </w:r>
      <w:r>
        <w:rPr>
          <w:rFonts w:ascii="Arial" w:hAnsi="Arial" w:cs="Arial"/>
          <w:i/>
          <w:iCs/>
          <w:color w:val="000000" w:themeColor="text1"/>
          <w:shd w:val="clear" w:color="auto" w:fill="FFFFFF"/>
          <w14:ligatures w14:val="none"/>
        </w:rPr>
        <w:t>Multi-Instance Learning</w:t>
      </w:r>
      <w:r>
        <w:rPr>
          <w:rFonts w:ascii="Arial" w:hAnsi="Arial" w:cs="Arial"/>
          <w:color w:val="000000" w:themeColor="text1"/>
          <w:shd w:val="clear" w:color="auto" w:fill="FFFFFF"/>
          <w14:ligatures w14:val="none"/>
        </w:rPr>
        <w:t xml:space="preserve"> (MIL) [35] algorithms can utilize conformational ensembles as input. In the MIL formalism, a molecular conformational ensemble is referred to as </w:t>
      </w:r>
      <w:r>
        <w:rPr>
          <w:rFonts w:ascii="Arial" w:hAnsi="Arial" w:cs="Arial"/>
          <w:i/>
          <w:iCs/>
          <w:color w:val="000000" w:themeColor="text1"/>
          <w:shd w:val="clear" w:color="auto" w:fill="FFFFFF"/>
          <w14:ligatures w14:val="none"/>
        </w:rPr>
        <w:t>a bag</w:t>
      </w:r>
      <w:r>
        <w:rPr>
          <w:rFonts w:ascii="Arial" w:hAnsi="Arial" w:cs="Arial"/>
          <w:color w:val="000000" w:themeColor="text1"/>
          <w:shd w:val="clear" w:color="auto" w:fill="FFFFFF"/>
          <w14:ligatures w14:val="none"/>
        </w:rPr>
        <w:t xml:space="preserve">, with the conformers within it termed </w:t>
      </w:r>
      <w:r>
        <w:rPr>
          <w:rFonts w:ascii="Arial" w:hAnsi="Arial" w:cs="Arial"/>
          <w:i/>
          <w:iCs/>
          <w:color w:val="000000" w:themeColor="text1"/>
          <w:shd w:val="clear" w:color="auto" w:fill="FFFFFF"/>
          <w14:ligatures w14:val="none"/>
        </w:rPr>
        <w:t>instances</w:t>
      </w:r>
      <w:r>
        <w:rPr>
          <w:rFonts w:ascii="Arial" w:hAnsi="Arial" w:cs="Arial"/>
          <w:color w:val="000000" w:themeColor="text1"/>
          <w:shd w:val="clear" w:color="auto" w:fill="FFFFFF"/>
          <w14:ligatures w14:val="none"/>
        </w:rPr>
        <w:t>. An experimental label, such as binding affinity or activity, is assigned to the entire bag, whereas individual conformers remain unlabeled. In contrast to 4D-QSAR, MIL maintains conformer-level granularity during training by preserving instance-level descriptors [38] or embeddings [39]. This, in turn, allows data-driven strategies, such as support vector machines with multiple-instance kernels [40] or attention-based deep learning architectures [41, 42], to dynamically identify the conformer(s) responsible for the observed biological activity. These model-selected conformers may receive higher relative instance-</w:t>
      </w:r>
      <w:r>
        <w:rPr>
          <w:rFonts w:ascii="Arial" w:hAnsi="Arial" w:cs="Arial"/>
          <w:i/>
          <w:iCs/>
          <w:color w:val="000000" w:themeColor="text1"/>
          <w:shd w:val="clear" w:color="auto" w:fill="FFFFFF"/>
          <w14:ligatures w14:val="none"/>
        </w:rPr>
        <w:t>importance scores</w:t>
      </w:r>
      <w:r>
        <w:rPr>
          <w:rFonts w:ascii="Arial" w:hAnsi="Arial" w:cs="Arial"/>
          <w:color w:val="000000" w:themeColor="text1"/>
          <w:shd w:val="clear" w:color="auto" w:fill="FFFFFF"/>
          <w14:ligatures w14:val="none"/>
        </w:rPr>
        <w:t xml:space="preserve">, such as attention weights, and thus contribute more to the aggregated molecular representation used for the prediction. </w:t>
      </w:r>
      <w:r>
        <w:rPr>
          <w:rFonts w:ascii="Arial" w:hAnsi="Arial" w:cs="Arial"/>
          <w:color w:val="000000" w:themeColor="text1"/>
          <w:highlight w:val="green"/>
          <w:shd w:val="clear" w:color="auto" w:fill="FFFFFF"/>
          <w14:ligatures w14:val="none"/>
        </w:rPr>
        <w:t xml:space="preserve">We subsequently referred to the conformers with the highest model-derived </w:t>
      </w:r>
      <w:bookmarkStart w:id="6" w:name="OLE_LINK20"/>
      <w:r>
        <w:rPr>
          <w:rFonts w:ascii="Arial" w:hAnsi="Arial" w:cs="Arial"/>
          <w:color w:val="000000" w:themeColor="text1"/>
          <w:highlight w:val="green"/>
          <w:shd w:val="clear" w:color="auto" w:fill="FFFFFF"/>
          <w14:ligatures w14:val="none"/>
        </w:rPr>
        <w:t>importance scores as</w:t>
      </w:r>
      <w:bookmarkEnd w:id="6"/>
      <w:r>
        <w:rPr>
          <w:rFonts w:ascii="Arial" w:hAnsi="Arial" w:cs="Arial"/>
          <w:color w:val="000000" w:themeColor="text1"/>
          <w:highlight w:val="green"/>
          <w:shd w:val="clear" w:color="auto" w:fill="FFFFFF"/>
          <w14:ligatures w14:val="none"/>
        </w:rPr>
        <w:t xml:space="preserve"> </w:t>
      </w:r>
      <w:r>
        <w:rPr>
          <w:rFonts w:ascii="Arial" w:hAnsi="Arial" w:cs="Arial"/>
          <w:i/>
          <w:iCs/>
          <w:color w:val="000000" w:themeColor="text1"/>
          <w:highlight w:val="green"/>
          <w:shd w:val="clear" w:color="auto" w:fill="FFFFFF"/>
          <w14:ligatures w14:val="none"/>
        </w:rPr>
        <w:t>key instances</w:t>
      </w:r>
      <w:r>
        <w:rPr>
          <w:rFonts w:ascii="Arial" w:hAnsi="Arial" w:cs="Arial"/>
          <w:color w:val="000000" w:themeColor="text1"/>
          <w:highlight w:val="green"/>
          <w:shd w:val="clear" w:color="auto" w:fill="FFFFFF"/>
          <w14:ligatures w14:val="none"/>
        </w:rPr>
        <w:t>.</w:t>
      </w:r>
    </w:p>
    <w:p w14:paraId="35194365" w14:textId="63C724DB" w:rsidR="0098185E" w:rsidRDefault="004041E7" w:rsidP="00051493">
      <w:pPr>
        <w:spacing w:line="360" w:lineRule="auto"/>
        <w:ind w:firstLine="426"/>
        <w:jc w:val="both"/>
        <w:rPr>
          <w:rFonts w:ascii="Arial" w:hAnsi="Arial" w:cs="Arial"/>
          <w:color w:val="000000" w:themeColor="text1"/>
          <w:shd w:val="clear" w:color="auto" w:fill="FFFFFF"/>
          <w14:ligatures w14:val="none"/>
        </w:rPr>
      </w:pPr>
      <w:r>
        <w:rPr>
          <w:rFonts w:ascii="Arial" w:hAnsi="Arial" w:cs="Arial"/>
          <w:color w:val="000000" w:themeColor="text1"/>
          <w:shd w:val="clear" w:color="auto" w:fill="FFFFFF"/>
          <w14:ligatures w14:val="none"/>
        </w:rPr>
        <w:t>MIL-optimized conformer weighting consequently offers a conformer-level explanation of model predictions, yielding data-driven hypotheses about bioactive conformer(s) while addressing the feature-based interpretability limitations of the roto-translation invariant encodings.</w:t>
      </w:r>
    </w:p>
    <w:p w14:paraId="524EA916" w14:textId="2A88962D" w:rsidR="0098185E" w:rsidRDefault="0098185E" w:rsidP="0098185E">
      <w:pPr>
        <w:rPr>
          <w:rFonts w:ascii="Arial" w:hAnsi="Arial" w:cs="Arial"/>
          <w:color w:val="000000" w:themeColor="text1"/>
          <w:shd w:val="clear" w:color="auto" w:fill="FFFFFF"/>
          <w14:ligatures w14:val="none"/>
        </w:rPr>
      </w:pPr>
      <w:r>
        <w:rPr>
          <w:rFonts w:ascii="Arial" w:hAnsi="Arial" w:cs="Arial"/>
          <w:color w:val="000000" w:themeColor="text1"/>
          <w:shd w:val="clear" w:color="auto" w:fill="FFFFFF"/>
          <w14:ligatures w14:val="none"/>
        </w:rPr>
        <w:br w:type="page"/>
      </w:r>
    </w:p>
    <w:bookmarkEnd w:id="4"/>
    <w:p w14:paraId="74FFB307" w14:textId="1D34FB98" w:rsidR="00FA6CA1" w:rsidRDefault="008D28CD">
      <w:pPr>
        <w:pStyle w:val="Heading2"/>
        <w:numPr>
          <w:ilvl w:val="1"/>
          <w:numId w:val="1"/>
        </w:numPr>
        <w:tabs>
          <w:tab w:val="num" w:pos="360"/>
        </w:tabs>
        <w:spacing w:before="240" w:after="120"/>
        <w:ind w:left="1077" w:hanging="652"/>
        <w:rPr>
          <w:rFonts w:ascii="Arial" w:hAnsi="Arial" w:cs="Arial"/>
          <w:color w:val="000000" w:themeColor="text1"/>
          <w:sz w:val="24"/>
          <w:szCs w:val="24"/>
        </w:rPr>
      </w:pPr>
      <w:r>
        <w:rPr>
          <w:rFonts w:ascii="Arial" w:hAnsi="Arial" w:cs="Arial"/>
          <w:color w:val="000000" w:themeColor="text1"/>
          <w:sz w:val="24"/>
          <w:szCs w:val="24"/>
        </w:rPr>
        <w:lastRenderedPageBreak/>
        <w:t>MILKID: Modeling Framework</w:t>
      </w:r>
    </w:p>
    <w:p w14:paraId="32D9725B" w14:textId="3459F742" w:rsidR="00306D02" w:rsidRDefault="00875F29" w:rsidP="00221E46">
      <w:pPr>
        <w:spacing w:line="360" w:lineRule="auto"/>
        <w:ind w:firstLine="426"/>
        <w:jc w:val="both"/>
        <w:rPr>
          <w:rFonts w:ascii="Arial" w:hAnsi="Arial" w:cs="Arial"/>
          <w:color w:val="000000" w:themeColor="text1"/>
          <w:shd w:val="clear" w:color="auto" w:fill="FFFFFF"/>
          <w14:ligatures w14:val="none"/>
        </w:rPr>
      </w:pPr>
      <w:r>
        <w:rPr>
          <w:rFonts w:ascii="Arial" w:hAnsi="Arial" w:cs="Arial"/>
          <w:color w:val="000000" w:themeColor="text1"/>
          <w:shd w:val="clear" w:color="auto" w:fill="FFFFFF"/>
          <w14:ligatures w14:val="none"/>
        </w:rPr>
        <w:t xml:space="preserve">Various approaches </w:t>
      </w:r>
      <w:r>
        <w:rPr>
          <w:rFonts w:ascii="Arial" w:hAnsi="Arial" w:cs="Arial"/>
          <w:color w:val="000000"/>
          <w:shd w:val="clear" w:color="auto" w:fill="FFFFFF"/>
          <w14:ligatures w14:val="none"/>
        </w:rPr>
        <w:t xml:space="preserve">[69,70], including </w:t>
      </w:r>
      <w:r>
        <w:rPr>
          <w:rFonts w:ascii="Arial" w:hAnsi="Arial" w:cs="Arial"/>
          <w:color w:val="000000" w:themeColor="text1"/>
          <w:shd w:val="clear" w:color="auto" w:fill="FFFFFF"/>
          <w14:ligatures w14:val="none"/>
        </w:rPr>
        <w:t>MIL, have been explored for QSAR modeling using conformational ensembles</w:t>
      </w:r>
      <w:r>
        <w:rPr>
          <w:rFonts w:ascii="Arial" w:hAnsi="Arial" w:cs="Arial"/>
          <w:color w:val="000000"/>
          <w:shd w:val="clear" w:color="auto" w:fill="FFFFFF"/>
          <w14:ligatures w14:val="none"/>
        </w:rPr>
        <w:t xml:space="preserve">. </w:t>
      </w:r>
      <w:r>
        <w:rPr>
          <w:rFonts w:ascii="Arial" w:hAnsi="Arial" w:cs="Arial"/>
          <w:color w:val="000000" w:themeColor="text1"/>
          <w:shd w:val="clear" w:color="auto" w:fill="FFFFFF"/>
          <w14:ligatures w14:val="none"/>
        </w:rPr>
        <w:t xml:space="preserve">Here, we propose MILKID, an end-to-end MIL framework for constructing 3D-QSAR models and assessing both their accuracy and the relevance of their KID in a receptor- and alignment-independent modeling context. </w:t>
      </w:r>
    </w:p>
    <w:p w14:paraId="5F312518" w14:textId="3E84ED12" w:rsidR="000B6353" w:rsidRDefault="00C10F75" w:rsidP="00B2726A">
      <w:pPr>
        <w:spacing w:line="360" w:lineRule="auto"/>
        <w:ind w:firstLine="426"/>
        <w:jc w:val="both"/>
        <w:rPr>
          <w:rFonts w:ascii="Arial" w:hAnsi="Arial" w:cs="Arial"/>
          <w:color w:val="000000" w:themeColor="text1"/>
          <w:shd w:val="clear" w:color="auto" w:fill="FFFFFF"/>
          <w14:ligatures w14:val="none"/>
        </w:rPr>
      </w:pPr>
      <w:r>
        <w:rPr>
          <w:rFonts w:ascii="Arial" w:hAnsi="Arial" w:cs="Arial"/>
          <w:color w:val="000000" w:themeColor="text1"/>
          <w:shd w:val="clear" w:color="auto" w:fill="FFFFFF"/>
          <w14:ligatures w14:val="none"/>
        </w:rPr>
        <w:t xml:space="preserve">The overall MILKID inference workflow is shown in </w:t>
      </w:r>
      <w:r>
        <w:rPr>
          <w:rFonts w:ascii="Arial" w:hAnsi="Arial" w:cs="Arial"/>
          <w:b/>
          <w:bCs/>
          <w:color w:val="000000" w:themeColor="text1"/>
          <w:highlight w:val="lightGray"/>
          <w:shd w:val="clear" w:color="auto" w:fill="FFFFFF"/>
          <w14:ligatures w14:val="none"/>
        </w:rPr>
        <w:t>Figure 1A</w:t>
      </w:r>
      <w:r>
        <w:rPr>
          <w:rFonts w:ascii="Arial" w:hAnsi="Arial" w:cs="Arial"/>
          <w:color w:val="000000" w:themeColor="text1"/>
          <w:shd w:val="clear" w:color="auto" w:fill="FFFFFF"/>
          <w14:ligatures w14:val="none"/>
        </w:rPr>
        <w:t xml:space="preserve">, while the model architecture is depicted in </w:t>
      </w:r>
      <w:r>
        <w:rPr>
          <w:rFonts w:ascii="Arial" w:hAnsi="Arial" w:cs="Arial"/>
          <w:b/>
          <w:bCs/>
          <w:color w:val="000000" w:themeColor="text1"/>
          <w:highlight w:val="lightGray"/>
          <w:shd w:val="clear" w:color="auto" w:fill="FFFFFF"/>
          <w14:ligatures w14:val="none"/>
        </w:rPr>
        <w:t>Figure 1B</w:t>
      </w:r>
      <w:r>
        <w:rPr>
          <w:rFonts w:ascii="Arial" w:hAnsi="Arial" w:cs="Arial"/>
          <w:color w:val="000000" w:themeColor="text1"/>
          <w:shd w:val="clear" w:color="auto" w:fill="FFFFFF"/>
          <w14:ligatures w14:val="none"/>
        </w:rPr>
        <w:t xml:space="preserve">. Each molecule is represented as a bag of conformers, that is, its conformational ensemble. Each conformer is encoded using 3D roto-translation invariant descriptors. The MIL model takes the resulting bag as input and outputs (i) a molecule-level prediction and (ii) conformer-level relative importance scores, which reflect the influence of each conformer on the prediction. The model-derived conformer weighting is then analyzed in a post hoc KID evaluation protocol, as depicted in </w:t>
      </w:r>
      <w:r>
        <w:rPr>
          <w:rFonts w:ascii="Arial" w:hAnsi="Arial" w:cs="Arial"/>
          <w:b/>
          <w:bCs/>
          <w:color w:val="000000" w:themeColor="text1"/>
          <w:highlight w:val="lightGray"/>
          <w:shd w:val="clear" w:color="auto" w:fill="FFFFFF"/>
          <w14:ligatures w14:val="none"/>
        </w:rPr>
        <w:t>Figure 1C</w:t>
      </w:r>
      <w:r>
        <w:rPr>
          <w:rFonts w:ascii="Arial" w:hAnsi="Arial" w:cs="Arial"/>
          <w:color w:val="000000" w:themeColor="text1"/>
          <w:shd w:val="clear" w:color="auto" w:fill="FFFFFF"/>
          <w14:ligatures w14:val="none"/>
        </w:rPr>
        <w:t>. We demonstrated this framework on a structurally diverse set of BACE1 ligands with experimentally determined bioactive poses (i.e., bioactive conformers) spanning five major and eight minor congeneric series. This diversity at the series level represents a key extension of our findings compared to those of previous studies.</w:t>
      </w:r>
    </w:p>
    <w:p w14:paraId="3377A297" w14:textId="14717433" w:rsidR="00293BFB" w:rsidRDefault="00293BFB" w:rsidP="00293BFB">
      <w:pPr>
        <w:rPr>
          <w:rFonts w:ascii="Arial" w:hAnsi="Arial" w:cs="Arial"/>
          <w:color w:val="000000" w:themeColor="text1"/>
          <w:shd w:val="clear" w:color="auto" w:fill="FFFFFF"/>
          <w14:ligatures w14:val="none"/>
        </w:rPr>
      </w:pPr>
      <w:r>
        <w:rPr>
          <w:rFonts w:ascii="Arial" w:hAnsi="Arial" w:cs="Arial"/>
          <w:color w:val="000000" w:themeColor="text1"/>
          <w:shd w:val="clear" w:color="auto" w:fill="FFFFFF"/>
          <w14:ligatures w14:val="none"/>
        </w:rPr>
        <w:br w:type="page"/>
      </w:r>
    </w:p>
    <w:p w14:paraId="7758EDA4" w14:textId="172FF69D" w:rsidR="00C72A6A" w:rsidRDefault="00C72A6A" w:rsidP="00C72A6A">
      <w:pPr>
        <w:spacing w:line="360" w:lineRule="auto"/>
        <w:jc w:val="both"/>
        <w:rPr>
          <w:rFonts w:ascii="Arial" w:hAnsi="Arial" w:cs="Arial"/>
          <w:color w:val="000000" w:themeColor="text1"/>
          <w:shd w:val="clear" w:color="auto" w:fill="FFFFFF"/>
          <w14:ligatures w14:val="none"/>
        </w:rPr>
      </w:pPr>
      <w:r>
        <w:rPr>
          <w:rFonts w:ascii="Arial" w:hAnsi="Arial" w:cs="Arial"/>
          <w:noProof/>
          <w:color w:val="000000"/>
          <w:shd w:val="clear" w:color="auto" w:fill="FFFFFF"/>
        </w:rPr>
        <w:lastRenderedPageBreak/>
        <w:drawing>
          <wp:inline distT="0" distB="0" distL="0" distR="0" wp14:anchorId="26148FF9" wp14:editId="1A1FD684">
            <wp:extent cx="5943600" cy="3639185"/>
            <wp:effectExtent l="0" t="0" r="0" b="5715"/>
            <wp:docPr id="1122022729"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23194" name="Graphic 753223194"/>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3639185"/>
                    </a:xfrm>
                    <a:prstGeom prst="rect">
                      <a:avLst/>
                    </a:prstGeom>
                  </pic:spPr>
                </pic:pic>
              </a:graphicData>
            </a:graphic>
          </wp:inline>
        </w:drawing>
      </w:r>
    </w:p>
    <w:p w14:paraId="756DD0D3" w14:textId="45F80BA0" w:rsidR="00986C93" w:rsidRPr="00F52C0C" w:rsidRDefault="00EE7F25" w:rsidP="00986C93">
      <w:pPr>
        <w:spacing w:line="360" w:lineRule="auto"/>
        <w:jc w:val="both"/>
        <w:rPr>
          <w:rFonts w:ascii="Arial" w:hAnsi="Arial" w:cs="Arial"/>
          <w:color w:val="000000" w:themeColor="text1"/>
          <w:shd w:val="clear" w:color="auto" w:fill="FFFFFF"/>
          <w14:ligatures w14:val="none"/>
        </w:rPr>
      </w:pPr>
      <w:r>
        <w:rPr>
          <w:rFonts w:ascii="Arial" w:hAnsi="Arial" w:cs="Arial"/>
          <w:b/>
          <w:bCs/>
          <w:color w:val="000000" w:themeColor="text1"/>
          <w:shd w:val="clear" w:color="auto" w:fill="FFFFFF"/>
          <w14:ligatures w14:val="none"/>
        </w:rPr>
        <w:t xml:space="preserve">Figure 1. </w:t>
      </w:r>
      <w:r>
        <w:rPr>
          <w:rFonts w:ascii="Arial" w:hAnsi="Arial" w:cs="Arial"/>
          <w:color w:val="000000" w:themeColor="text1"/>
          <w:shd w:val="clear" w:color="auto" w:fill="FFFFFF"/>
          <w14:ligatures w14:val="none"/>
        </w:rPr>
        <w:t>Overview of the MILKID Framework. (A) MILKID model inference workflow: conformers are futurized and assembled into bags that serve as input to a trained MILKID model. The model predicts the molecule-level endpoint (pIC50) and provides conformer-level attention scores, which are interpreted as relative instance importance. (B) Model architecture: conformer descriptors are processed by an instance encoder, aggregated into a bag-level representation via an attention-based MIL pooling layer, and used for the final bioactivity prediction. (C) Post hoc KID evaluation protocol: attention-ranked conformers are compared with experimentally observed bioactive poses to assess whether the model assigns high importance to bioactive-like conformers. KID performance is then quantified using top-k (k=1, 3, 5) recovery metrics.</w:t>
      </w:r>
    </w:p>
    <w:bookmarkEnd w:id="5"/>
    <w:p w14:paraId="1A045208" w14:textId="77777777" w:rsidR="00FA6CA1" w:rsidRDefault="00000000" w:rsidP="007F0309">
      <w:pPr>
        <w:pStyle w:val="ListParagraph"/>
        <w:numPr>
          <w:ilvl w:val="0"/>
          <w:numId w:val="1"/>
        </w:numPr>
        <w:spacing w:after="0" w:line="360" w:lineRule="auto"/>
        <w:rPr>
          <w:rFonts w:ascii="Arial" w:hAnsi="Arial" w:cs="Arial"/>
          <w:b/>
          <w:bCs/>
        </w:rPr>
      </w:pPr>
      <w:r>
        <w:rPr>
          <w:rFonts w:ascii="Arial" w:hAnsi="Arial" w:cs="Arial"/>
          <w:b/>
          <w:bCs/>
        </w:rPr>
        <w:t>Related work</w:t>
      </w:r>
    </w:p>
    <w:p w14:paraId="32CBB301" w14:textId="497A6FBA" w:rsidR="00FA6CA1" w:rsidRDefault="00586245">
      <w:pPr>
        <w:spacing w:line="360" w:lineRule="auto"/>
        <w:ind w:firstLine="426"/>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Here, we focus on MIL studies that explicitly define KID as a model-validation task and assess the biological relevance of key instances qualitatively and quantitatively.</w:t>
      </w:r>
    </w:p>
    <w:p w14:paraId="63DC6C60" w14:textId="7EDDF8BF" w:rsidR="00BB641A" w:rsidRDefault="00D55068" w:rsidP="00314AA0">
      <w:pPr>
        <w:spacing w:line="360" w:lineRule="auto"/>
        <w:ind w:firstLine="426"/>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Dietterich et al. [35] were the first to formalize an MIL framework for molecular activity prediction. Specifically, they observed that for MIL to be successful, the data must satisfy </w:t>
      </w:r>
      <w:r>
        <w:rPr>
          <w:rFonts w:ascii="Arial" w:hAnsi="Arial" w:cs="Arial"/>
          <w:color w:val="000000"/>
          <w:shd w:val="clear" w:color="auto" w:fill="FFFFFF"/>
          <w14:ligatures w14:val="none"/>
        </w:rPr>
        <w:lastRenderedPageBreak/>
        <w:t xml:space="preserve">a constraint known as the </w:t>
      </w:r>
      <w:r>
        <w:rPr>
          <w:rFonts w:ascii="Arial" w:hAnsi="Arial" w:cs="Arial"/>
          <w:i/>
          <w:iCs/>
          <w:color w:val="000000"/>
          <w:shd w:val="clear" w:color="auto" w:fill="FFFFFF"/>
          <w14:ligatures w14:val="none"/>
        </w:rPr>
        <w:t>standard MI assumption</w:t>
      </w:r>
      <w:r>
        <w:rPr>
          <w:rFonts w:ascii="Arial" w:hAnsi="Arial" w:cs="Arial"/>
          <w:color w:val="000000"/>
          <w:shd w:val="clear" w:color="auto" w:fill="FFFFFF"/>
          <w14:ligatures w14:val="none"/>
        </w:rPr>
        <w:t xml:space="preserve">: a positive bag — here, an active molecule represented by multiple conformers — must contain at least one positive instance, that is, a bioactive-like conformer. </w:t>
      </w:r>
      <w:r>
        <w:rPr>
          <w:rFonts w:ascii="Arial" w:hAnsi="Arial" w:cs="Arial"/>
          <w:color w:val="000000"/>
          <w:highlight w:val="green"/>
          <w:shd w:val="clear" w:color="auto" w:fill="FFFFFF"/>
          <w14:ligatures w14:val="none"/>
        </w:rPr>
        <w:t>A bioactive-like conformer is analogous to, but distinct from, the experimental pose (bioactive conformer), as defined in Section 3.2.</w:t>
      </w:r>
      <w:r>
        <w:rPr>
          <w:rFonts w:ascii="Arial" w:hAnsi="Arial" w:cs="Arial"/>
          <w:color w:val="000000"/>
          <w:shd w:val="clear" w:color="auto" w:fill="FFFFFF"/>
          <w14:ligatures w14:val="none"/>
        </w:rPr>
        <w:t xml:space="preserve"> Although the KID task was implicit in the original MIL formulation, its role as an explicit model validation task was established only in subsequent studies.</w:t>
      </w:r>
    </w:p>
    <w:p w14:paraId="5B0B0C97" w14:textId="78BD4881" w:rsidR="006F3A13" w:rsidRDefault="006F3A13" w:rsidP="00314AA0">
      <w:pPr>
        <w:spacing w:line="360" w:lineRule="auto"/>
        <w:ind w:firstLine="426"/>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Fu et al. [17] first formalized KID as an explicit model validation task in the MIL-based RI 3D-QSAR context. They applied MILES [18] to develop a binary classification model using alignment-independent 3D pharmacophore fingerprints as conformer-level descriptors. In addition to bag-level prediction, they assessed whether the bioactive conformers inserted into the bags were among the MILES-derived key instances. However, this qualitative protocol did not assess whether the MIL model could </w:t>
      </w:r>
      <w:r>
        <w:rPr>
          <w:rFonts w:ascii="Arial" w:hAnsi="Arial" w:cs="Arial"/>
          <w:i/>
          <w:iCs/>
          <w:color w:val="000000"/>
          <w:shd w:val="clear" w:color="auto" w:fill="FFFFFF"/>
          <w14:ligatures w14:val="none"/>
        </w:rPr>
        <w:t>de novo</w:t>
      </w:r>
      <w:r>
        <w:rPr>
          <w:rFonts w:ascii="Arial" w:hAnsi="Arial" w:cs="Arial"/>
          <w:color w:val="000000"/>
          <w:shd w:val="clear" w:color="auto" w:fill="FFFFFF"/>
          <w14:ligatures w14:val="none"/>
        </w:rPr>
        <w:t xml:space="preserve"> retrieve a </w:t>
      </w:r>
      <w:r>
        <w:rPr>
          <w:rFonts w:ascii="Arial" w:hAnsi="Arial" w:cs="Arial"/>
          <w:color w:val="000000"/>
          <w:highlight w:val="lightGray"/>
          <w:shd w:val="clear" w:color="auto" w:fill="FFFFFF"/>
          <w14:ligatures w14:val="none"/>
        </w:rPr>
        <w:t>bioactive-like conformer</w:t>
      </w:r>
      <w:r>
        <w:rPr>
          <w:rFonts w:ascii="Arial" w:hAnsi="Arial" w:cs="Arial"/>
          <w:color w:val="000000"/>
          <w:shd w:val="clear" w:color="auto" w:fill="FFFFFF"/>
          <w14:ligatures w14:val="none"/>
        </w:rPr>
        <w:t xml:space="preserve"> from the bag. Yet the scope of the study was limited by the experimental structural data available for the GSK-3β dataset the authors used.</w:t>
      </w:r>
    </w:p>
    <w:p w14:paraId="1FAC07A2" w14:textId="09386428" w:rsidR="00F50701" w:rsidRDefault="004178E9" w:rsidP="004178E9">
      <w:pPr>
        <w:spacing w:line="360" w:lineRule="auto"/>
        <w:ind w:firstLine="426"/>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Zhao et al. [19] further formalized the qualitative evaluation of KID relevance using experimental GSK-3β structural data. They rigidly fit key instances into receptor grids derived from co-crystal structures and compared the obtained poses with native ones. Additionally, the authors retrieved the model-derived binding mode using pharmacophore fingerprints shared by key instances, as well as the key-instance-derived bioactive shape using ROCS [71].</w:t>
      </w:r>
    </w:p>
    <w:p w14:paraId="614B79E7" w14:textId="0958E614" w:rsidR="00CE5BE0" w:rsidRDefault="000A7F05" w:rsidP="005B2F11">
      <w:pPr>
        <w:spacing w:line="360" w:lineRule="auto"/>
        <w:ind w:firstLine="426"/>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The adoption of the attention mechanism [73] in MIL marked a methodological advancement toward quantitative KID analysis. In the formulation of Ilse et al. [72], attention acts as a trainable permutation-invariant pooling operator that aggregates instance embeddings into a bag-level representation while assigning attention weights, that is, relative importance scores, to individual instances. These weights enable a quantitative assessment of the extent to which the model prioritizes bioactive-like conformers. </w:t>
      </w:r>
    </w:p>
    <w:p w14:paraId="3194B6F7" w14:textId="346AAF86" w:rsidR="0030079A" w:rsidRDefault="00AC51B4" w:rsidP="00A21226">
      <w:pPr>
        <w:spacing w:line="360" w:lineRule="auto"/>
        <w:ind w:firstLine="426"/>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Chuang and Keiser [74] demonstrated this concept on a synthetic classification benchmark. Biaryl ligands with at most one rotatable bond were represented as </w:t>
      </w:r>
      <w:r>
        <w:rPr>
          <w:rFonts w:ascii="Arial" w:hAnsi="Arial" w:cs="Arial"/>
          <w:color w:val="000000"/>
          <w:shd w:val="clear" w:color="auto" w:fill="FFFFFF"/>
          <w14:ligatures w14:val="none"/>
        </w:rPr>
        <w:lastRenderedPageBreak/>
        <w:t xml:space="preserve">conformer bags and labeled positive when at least one conformer satisfied a predefined torsion-angle criterion for bidentate coordination, i.e., contained at least one bioactive-like conformer. This design provided a hidden conformer-level ground truth, which was used only for KID evaluation. KID was quantified by ranking the conformers according to their attention weights and measuring the </w:t>
      </w:r>
      <w:r>
        <w:rPr>
          <w:rFonts w:ascii="Arial" w:hAnsi="Arial" w:cs="Arial"/>
          <w:i/>
          <w:iCs/>
          <w:color w:val="000000"/>
          <w:shd w:val="clear" w:color="auto" w:fill="FFFFFF"/>
          <w14:ligatures w14:val="none"/>
        </w:rPr>
        <w:t>top-k recovery rate</w:t>
      </w:r>
      <w:r>
        <w:rPr>
          <w:rFonts w:ascii="Arial" w:hAnsi="Arial" w:cs="Arial"/>
          <w:color w:val="000000"/>
          <w:shd w:val="clear" w:color="auto" w:fill="FFFFFF"/>
          <w14:ligatures w14:val="none"/>
        </w:rPr>
        <w:t>, defined as the fraction of molecules for which at least one bioactive-like conformer was ranked among the top-k key instances.</w:t>
      </w:r>
    </w:p>
    <w:p w14:paraId="64D08B7B" w14:textId="7BE70E4E" w:rsidR="00D02057" w:rsidRDefault="00D02057" w:rsidP="006E1FCE">
      <w:pPr>
        <w:spacing w:line="360" w:lineRule="auto"/>
        <w:ind w:firstLine="426"/>
        <w:jc w:val="both"/>
        <w:rPr>
          <w:rFonts w:ascii="Arial" w:hAnsi="Arial" w:cs="Arial"/>
          <w:color w:val="000000"/>
          <w:shd w:val="clear" w:color="auto" w:fill="FFFFFF"/>
          <w14:ligatures w14:val="none"/>
        </w:rPr>
      </w:pPr>
      <w:bookmarkStart w:id="7" w:name="OLE_LINK3"/>
      <w:r>
        <w:rPr>
          <w:rFonts w:ascii="Arial" w:hAnsi="Arial" w:cs="Arial"/>
          <w:color w:val="000000"/>
          <w:shd w:val="clear" w:color="auto" w:fill="FFFFFF"/>
          <w14:ligatures w14:val="none"/>
        </w:rPr>
        <w:t>Zankov et al. [42] further assessed attention weights to quantify KID performance using ChEMBL [75] regression activity data. They relaxed the bioactive-like criterion from a single torsion angle to a root-mean-square deviation (RMSD) comparison between the generated conformers and the bioactive ones. They also introduced a random ranking baseline for the top-k recovery metric to assess whether key instances were identified beyond chance. However, the influence of KID evaluation hyperparameters, such as the RMSD threshold used to define bioactive-like conformers, on KID performance has not been thoroughly examined.</w:t>
      </w:r>
    </w:p>
    <w:bookmarkEnd w:id="7"/>
    <w:p w14:paraId="0310992C" w14:textId="77777777" w:rsidR="00FA6CA1" w:rsidRDefault="00000000" w:rsidP="007F0309">
      <w:pPr>
        <w:pStyle w:val="ListParagraph"/>
        <w:numPr>
          <w:ilvl w:val="0"/>
          <w:numId w:val="1"/>
        </w:numPr>
        <w:spacing w:after="0" w:line="360" w:lineRule="auto"/>
        <w:rPr>
          <w:rFonts w:ascii="Arial" w:hAnsi="Arial" w:cs="Arial"/>
          <w:b/>
          <w:bCs/>
        </w:rPr>
      </w:pPr>
      <w:r>
        <w:rPr>
          <w:rFonts w:ascii="Arial" w:hAnsi="Arial" w:cs="Arial"/>
          <w:b/>
          <w:bCs/>
        </w:rPr>
        <w:t>Materials and Methods</w:t>
      </w:r>
    </w:p>
    <w:p w14:paraId="26CD2F0B" w14:textId="3918FCB5" w:rsidR="00E74898" w:rsidRPr="00E74898" w:rsidRDefault="00000000" w:rsidP="00E74898">
      <w:pPr>
        <w:pStyle w:val="Heading2"/>
        <w:numPr>
          <w:ilvl w:val="1"/>
          <w:numId w:val="1"/>
        </w:numPr>
        <w:tabs>
          <w:tab w:val="num" w:pos="360"/>
        </w:tabs>
        <w:spacing w:before="240" w:after="120"/>
        <w:ind w:left="1077" w:hanging="652"/>
        <w:rPr>
          <w:rFonts w:ascii="Arial" w:hAnsi="Arial" w:cs="Arial"/>
          <w:color w:val="000000" w:themeColor="text1"/>
          <w:sz w:val="24"/>
          <w:szCs w:val="24"/>
        </w:rPr>
      </w:pPr>
      <w:r>
        <w:rPr>
          <w:rFonts w:ascii="Arial" w:hAnsi="Arial" w:cs="Arial"/>
          <w:color w:val="000000" w:themeColor="text1"/>
          <w:sz w:val="24"/>
          <w:szCs w:val="24"/>
        </w:rPr>
        <w:t>Data Set</w:t>
      </w:r>
    </w:p>
    <w:p w14:paraId="204CCEB0" w14:textId="1650E7E8" w:rsidR="00A63281" w:rsidRDefault="00D930E5" w:rsidP="00DF40FE">
      <w:pPr>
        <w:spacing w:line="360" w:lineRule="auto"/>
        <w:ind w:firstLine="426"/>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The BACE-1 dataset, originally collected and described by Subramanian et al. [45], comprises 1544 synthetic inhibitors with experimentally measured inhibitory activity against β-secretase 1 (BACE-1), </w:t>
      </w:r>
      <w:r>
        <w:rPr>
          <w:rFonts w:ascii="Arial" w:hAnsi="Arial" w:cs="Arial"/>
          <w:color w:val="000000"/>
          <w:shd w:val="clear" w:color="auto" w:fill="FFFFFF"/>
          <w14:ligatures w14:val="none"/>
        </w:rPr>
        <w:sym w:font="Symbol" w:char="F0BE"/>
      </w:r>
      <w:r>
        <w:rPr>
          <w:rFonts w:ascii="Arial" w:hAnsi="Arial" w:cs="Arial"/>
          <w:color w:val="000000"/>
          <w:shd w:val="clear" w:color="auto" w:fill="FFFFFF"/>
          <w14:ligatures w14:val="none"/>
        </w:rPr>
        <w:t xml:space="preserve"> which is an aspartyl protease involved in amyloid precursor protein (APP) processing [82]. The dataset structure is illustrated in </w:t>
      </w:r>
      <w:r>
        <w:rPr>
          <w:rFonts w:ascii="Arial" w:hAnsi="Arial" w:cs="Arial"/>
          <w:b/>
          <w:bCs/>
          <w:color w:val="000000"/>
          <w:highlight w:val="lightGray"/>
          <w:shd w:val="clear" w:color="auto" w:fill="FFFFFF"/>
          <w14:ligatures w14:val="none"/>
        </w:rPr>
        <w:t>Figure 2.</w:t>
      </w:r>
    </w:p>
    <w:p w14:paraId="1C6B55A0" w14:textId="4AAC815E" w:rsidR="00FA6CA1" w:rsidRDefault="00000000" w:rsidP="00654764">
      <w:pPr>
        <w:spacing w:line="360" w:lineRule="auto"/>
        <w:ind w:firstLine="426"/>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The BACE_X_IC50 subset consists of 205 inhibitors with both co-crystal structures and half-maximal inhibitory concentration (IC50) values. The BACE_IC50 subset contains 1270 molecules with reported IC50 values; although their binding modes are not reported, they were approximated by aligning them to structural analogs from BACE_X_IC50. The BACE_X subset comprises the remaining 69 co-crystallized inhibitors without associated IC50 labels. However, 44 of these have alternative activity labels, such as the inhibition constant (Ki) or dissociation constant (Kd).</w:t>
      </w:r>
    </w:p>
    <w:p w14:paraId="5CC09259" w14:textId="1DC07D6C" w:rsidR="00FA6CA1" w:rsidRDefault="00030AAB">
      <w:pPr>
        <w:spacing w:line="360" w:lineRule="auto"/>
        <w:jc w:val="both"/>
        <w:rPr>
          <w:rFonts w:ascii="Arial" w:hAnsi="Arial" w:cs="Arial"/>
          <w:color w:val="000000"/>
          <w:shd w:val="clear" w:color="auto" w:fill="FFFFFF"/>
          <w14:ligatures w14:val="none"/>
        </w:rPr>
      </w:pPr>
      <w:r>
        <w:rPr>
          <w:rFonts w:ascii="Arial" w:hAnsi="Arial" w:cs="Arial"/>
          <w:noProof/>
          <w:color w:val="000000"/>
          <w:shd w:val="clear" w:color="auto" w:fill="FFFFFF"/>
        </w:rPr>
        <w:lastRenderedPageBreak/>
        <w:drawing>
          <wp:inline distT="0" distB="0" distL="0" distR="0" wp14:anchorId="7C9848DC" wp14:editId="05034023">
            <wp:extent cx="5943600" cy="2511425"/>
            <wp:effectExtent l="0" t="0" r="0" b="3175"/>
            <wp:docPr id="1089310999"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10999" name="Graphic 1089310999"/>
                    <pic:cNvPicPr/>
                  </pic:nvPicPr>
                  <pic:blipFill>
                    <a:blip r:embed="rId15">
                      <a:extLst>
                        <a:ext uri="{96DAC541-7B7A-43D3-8B79-37D633B846F1}">
                          <asvg:svgBlip xmlns:asvg="http://schemas.microsoft.com/office/drawing/2016/SVG/main" r:embed="rId16"/>
                        </a:ext>
                      </a:extLst>
                    </a:blip>
                    <a:stretch>
                      <a:fillRect/>
                    </a:stretch>
                  </pic:blipFill>
                  <pic:spPr>
                    <a:xfrm>
                      <a:off x="0" y="0"/>
                      <a:ext cx="5943600" cy="2511425"/>
                    </a:xfrm>
                    <a:prstGeom prst="rect">
                      <a:avLst/>
                    </a:prstGeom>
                  </pic:spPr>
                </pic:pic>
              </a:graphicData>
            </a:graphic>
          </wp:inline>
        </w:drawing>
      </w:r>
    </w:p>
    <w:p w14:paraId="6C07FF7B" w14:textId="44803FB7" w:rsidR="00B226F7" w:rsidRDefault="008F01F0" w:rsidP="009837DC">
      <w:pPr>
        <w:spacing w:line="360" w:lineRule="auto"/>
        <w:jc w:val="center"/>
        <w:rPr>
          <w:rFonts w:ascii="Arial" w:hAnsi="Arial" w:cs="Arial"/>
          <w:color w:val="000000"/>
          <w:shd w:val="clear" w:color="auto" w:fill="FFFFFF"/>
          <w14:ligatures w14:val="none"/>
        </w:rPr>
      </w:pPr>
      <w:r>
        <w:rPr>
          <w:rFonts w:ascii="Arial" w:hAnsi="Arial" w:cs="Arial"/>
          <w:b/>
          <w:bCs/>
          <w:color w:val="000000"/>
          <w:shd w:val="clear" w:color="auto" w:fill="FFFFFF"/>
          <w14:ligatures w14:val="none"/>
        </w:rPr>
        <w:t>Figure 2.</w:t>
      </w:r>
      <w:r>
        <w:rPr>
          <w:rFonts w:ascii="Arial" w:hAnsi="Arial" w:cs="Arial"/>
          <w:color w:val="000000"/>
          <w:shd w:val="clear" w:color="auto" w:fill="FFFFFF"/>
          <w14:ligatures w14:val="none"/>
        </w:rPr>
        <w:t xml:space="preserve"> BACE-1 subset-split mapping scheme.</w:t>
      </w:r>
    </w:p>
    <w:p w14:paraId="4764DA19" w14:textId="77777777" w:rsidR="000A7F05" w:rsidRDefault="00B525A9" w:rsidP="00A017F9">
      <w:pPr>
        <w:spacing w:line="360" w:lineRule="auto"/>
        <w:ind w:firstLine="426"/>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The BACE_X_IC50 and BACE_IC50 subsets were used to train the MILKID models and select the most predictive ones, as assessed through an internal validation procedure. From these subsets, we defined two data splits: </w:t>
      </w:r>
    </w:p>
    <w:p w14:paraId="715E59D1" w14:textId="77777777" w:rsidR="000A7F05" w:rsidRDefault="00B525A9" w:rsidP="000A7F05">
      <w:pPr>
        <w:pStyle w:val="ListParagraph"/>
        <w:numPr>
          <w:ilvl w:val="0"/>
          <w:numId w:val="20"/>
        </w:numPr>
        <w:spacing w:line="360" w:lineRule="auto"/>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Split_1 reproduced the original data split reported by Subramanian et al. [45] (1475 data points), enabling direct comparison with previously published 3D alignment-dependent and -independent models, and was used as is. </w:t>
      </w:r>
    </w:p>
    <w:p w14:paraId="70970E8F" w14:textId="4E92D0BA" w:rsidR="00534342" w:rsidRPr="000A7F05" w:rsidRDefault="00B525A9" w:rsidP="000A7F05">
      <w:pPr>
        <w:pStyle w:val="ListParagraph"/>
        <w:numPr>
          <w:ilvl w:val="0"/>
          <w:numId w:val="20"/>
        </w:numPr>
        <w:spacing w:line="360" w:lineRule="auto"/>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Split_2 (809 data points) was used for 3D-fingerprint selection, MILKID model hyperparameter optimization (HPO), and KID analysis. The KID Test Set was held out for external evaluation and consisted of BACE_X compounds that met two criteria: pKi or pKd &gt; 7.0 and fewer than 10 rotatable bonds (nRotB).</w:t>
      </w:r>
    </w:p>
    <w:p w14:paraId="32C84D28" w14:textId="2408E6A1" w:rsidR="00487400" w:rsidRDefault="00807047" w:rsidP="0037527B">
      <w:pPr>
        <w:spacing w:after="0" w:line="360" w:lineRule="auto"/>
        <w:jc w:val="both"/>
        <w:rPr>
          <w:rFonts w:ascii="Arial" w:hAnsi="Arial" w:cs="Arial"/>
          <w:color w:val="000000"/>
          <w:shd w:val="clear" w:color="auto" w:fill="FFFFFF"/>
          <w14:ligatures w14:val="none"/>
        </w:rPr>
      </w:pPr>
      <w:r>
        <w:rPr>
          <w:rFonts w:ascii="Arial" w:hAnsi="Arial" w:cs="Arial"/>
          <w:i/>
          <w:iCs/>
          <w:color w:val="000000"/>
          <w:shd w:val="clear" w:color="auto" w:fill="FFFFFF"/>
          <w14:ligatures w14:val="none"/>
        </w:rPr>
        <w:t>Split_2 Construction and Preprocessing:</w:t>
      </w:r>
    </w:p>
    <w:p w14:paraId="448D9F6C" w14:textId="73700FAB" w:rsidR="00487400" w:rsidRPr="00487400" w:rsidRDefault="002519AF" w:rsidP="00487400">
      <w:pPr>
        <w:pStyle w:val="ListParagraph"/>
        <w:numPr>
          <w:ilvl w:val="0"/>
          <w:numId w:val="13"/>
        </w:numPr>
        <w:spacing w:line="360" w:lineRule="auto"/>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Compounds from the BACE_X_IC50 and BACE_IC50 subsets containing more than 10 rotatable bonds were filtered out. </w:t>
      </w:r>
    </w:p>
    <w:p w14:paraId="5A6CBC13" w14:textId="14C7A25F" w:rsidR="0037527B" w:rsidRDefault="00BF64D8" w:rsidP="0037527B">
      <w:pPr>
        <w:pStyle w:val="ListParagraph"/>
        <w:numPr>
          <w:ilvl w:val="0"/>
          <w:numId w:val="13"/>
        </w:numPr>
        <w:spacing w:line="360" w:lineRule="auto"/>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The remaining compounds were manually assigned to the congeneric series (CS). CS were retained only if they included at least one compound with an associated bioactive conformer and spanned an activity range of &gt;3 log units.</w:t>
      </w:r>
    </w:p>
    <w:p w14:paraId="32FF4131" w14:textId="297DA2F2" w:rsidR="00E96E3C" w:rsidRPr="00225E47" w:rsidRDefault="00BF64D8" w:rsidP="00225E47">
      <w:pPr>
        <w:pStyle w:val="ListParagraph"/>
        <w:numPr>
          <w:ilvl w:val="0"/>
          <w:numId w:val="13"/>
        </w:numPr>
        <w:spacing w:line="360" w:lineRule="auto"/>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lastRenderedPageBreak/>
        <w:t>Their charge states were standardized using Open Babel with the -h option to generate the dominant protonation state at pH 7.4 [49] and, where necessary, adjusted to ensure consistent charge assignments within each series.</w:t>
      </w:r>
    </w:p>
    <w:p w14:paraId="7AD93B8F" w14:textId="1E7FD45F" w:rsidR="002519AF" w:rsidRPr="00225E47" w:rsidRDefault="00AF1462" w:rsidP="00225E47">
      <w:pPr>
        <w:spacing w:line="360" w:lineRule="auto"/>
        <w:ind w:left="426"/>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This procedure yielded 13 congeneric series comprising 809 ligands; their names and summary statistics are reported in </w:t>
      </w:r>
      <w:r>
        <w:rPr>
          <w:rFonts w:ascii="Arial" w:hAnsi="Arial" w:cs="Arial"/>
          <w:b/>
          <w:bCs/>
          <w:color w:val="000000"/>
          <w:highlight w:val="lightGray"/>
          <w:shd w:val="clear" w:color="auto" w:fill="FFFFFF"/>
          <w14:ligatures w14:val="none"/>
        </w:rPr>
        <w:t>Table S2.</w:t>
      </w:r>
    </w:p>
    <w:p w14:paraId="3629CDA6" w14:textId="77777777" w:rsidR="00C47D90" w:rsidRDefault="000905F6" w:rsidP="00C47D90">
      <w:pPr>
        <w:spacing w:after="0" w:line="360" w:lineRule="auto"/>
        <w:jc w:val="both"/>
        <w:rPr>
          <w:rFonts w:ascii="Arial" w:hAnsi="Arial" w:cs="Arial"/>
          <w:i/>
          <w:iCs/>
          <w:color w:val="000000"/>
          <w:shd w:val="clear" w:color="auto" w:fill="FFFFFF"/>
          <w14:ligatures w14:val="none"/>
        </w:rPr>
      </w:pPr>
      <w:bookmarkStart w:id="8" w:name="OLE_LINK5"/>
      <w:r>
        <w:rPr>
          <w:rFonts w:ascii="Arial" w:hAnsi="Arial" w:cs="Arial"/>
          <w:i/>
          <w:iCs/>
          <w:color w:val="000000"/>
          <w:shd w:val="clear" w:color="auto" w:fill="FFFFFF"/>
          <w14:ligatures w14:val="none"/>
        </w:rPr>
        <w:t xml:space="preserve">Split_2 Partitioning: </w:t>
      </w:r>
    </w:p>
    <w:p w14:paraId="24FF94B4" w14:textId="0D61EF6C" w:rsidR="001B011D" w:rsidRPr="001B011D" w:rsidRDefault="00AF1462" w:rsidP="001B011D">
      <w:pPr>
        <w:pStyle w:val="ListParagraph"/>
        <w:numPr>
          <w:ilvl w:val="0"/>
          <w:numId w:val="14"/>
        </w:numPr>
        <w:spacing w:line="360" w:lineRule="auto"/>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The compounds were then encoded with Morgan fingerprints (radius = 2, 2048 bits) and clustered using the Butina algorithm with a </w:t>
      </w:r>
      <w:bookmarkStart w:id="9" w:name="OLE_LINK6"/>
      <w:r>
        <w:rPr>
          <w:rFonts w:ascii="Arial" w:hAnsi="Arial" w:cs="Arial"/>
          <w:color w:val="000000"/>
          <w:shd w:val="clear" w:color="auto" w:fill="FFFFFF"/>
          <w14:ligatures w14:val="none"/>
        </w:rPr>
        <w:t>Tanimoto similarity</w:t>
      </w:r>
      <w:bookmarkEnd w:id="9"/>
      <w:r>
        <w:rPr>
          <w:rFonts w:ascii="Arial" w:hAnsi="Arial" w:cs="Arial"/>
          <w:color w:val="000000"/>
          <w:shd w:val="clear" w:color="auto" w:fill="FFFFFF"/>
          <w14:ligatures w14:val="none"/>
        </w:rPr>
        <w:t xml:space="preserve"> cutoff of 0.75. This divided each CS into two or more clusters of closely related compounds.</w:t>
      </w:r>
    </w:p>
    <w:p w14:paraId="520E813B" w14:textId="502755B5" w:rsidR="00B073C0" w:rsidRDefault="00EC696D" w:rsidP="00333413">
      <w:pPr>
        <w:pStyle w:val="ListParagraph"/>
        <w:numPr>
          <w:ilvl w:val="0"/>
          <w:numId w:val="14"/>
        </w:numPr>
        <w:spacing w:line="360" w:lineRule="auto"/>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The resulting clusters within each CS were then assigned to either the training or validation set. This ensured that each CS was represented in both the training and validation sets. Additionally, the validation set was enriched with active compounds containing bioactive conformers to support the subsequent KID evaluation.</w:t>
      </w:r>
    </w:p>
    <w:p w14:paraId="4F4F989E" w14:textId="4E0A11AD" w:rsidR="00FD0E7F" w:rsidRPr="009E5B79" w:rsidRDefault="007E4949" w:rsidP="009E5B79">
      <w:pPr>
        <w:spacing w:line="360" w:lineRule="auto"/>
        <w:ind w:left="360"/>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This procedure resulted in an 80/20 Split_2 partition comprising 647 training compounds (286 active, 361 inactive; 39 experimental poses, 13 CS) and 162 validation compounds (93 active, 69 inactive; 53 experimental poses, 13 CS). </w:t>
      </w:r>
      <w:bookmarkEnd w:id="8"/>
      <w:r>
        <w:rPr>
          <w:rFonts w:ascii="Arial" w:hAnsi="Arial" w:cs="Arial"/>
          <w:color w:val="000000"/>
          <w:shd w:val="clear" w:color="auto" w:fill="FFFFFF"/>
          <w14:ligatures w14:val="none"/>
        </w:rPr>
        <w:t xml:space="preserve">The corresponding t-SNE projections supporting both the CS assignment and the train/validation set assignment within Split_2 are shown in </w:t>
      </w:r>
      <w:r>
        <w:rPr>
          <w:rFonts w:ascii="Arial" w:hAnsi="Arial" w:cs="Arial"/>
          <w:b/>
          <w:bCs/>
          <w:color w:val="000000"/>
          <w:highlight w:val="lightGray"/>
          <w:shd w:val="clear" w:color="auto" w:fill="FFFFFF"/>
          <w14:ligatures w14:val="none"/>
        </w:rPr>
        <w:t>Figure 3</w:t>
      </w:r>
      <w:r>
        <w:rPr>
          <w:rFonts w:ascii="Arial" w:hAnsi="Arial" w:cs="Arial"/>
          <w:color w:val="000000"/>
          <w:shd w:val="clear" w:color="auto" w:fill="FFFFFF"/>
          <w14:ligatures w14:val="none"/>
        </w:rPr>
        <w:t>.</w:t>
      </w:r>
    </w:p>
    <w:p w14:paraId="2C58B44C" w14:textId="0857EAB1" w:rsidR="007324D5" w:rsidRDefault="00C67C86" w:rsidP="0000087E">
      <w:pPr>
        <w:spacing w:line="360" w:lineRule="auto"/>
        <w:ind w:left="360"/>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A 2D baseline using Morgan fingerprints (radius = 2, 2048 bits) and a Light Gradient Boosting Machine (LightGBM) regressor [83] was employed to compare the performance of the predefined Split_2 partition with that obtained from repeated randomized cross-validation. The results are presented in </w:t>
      </w:r>
      <w:r>
        <w:rPr>
          <w:rFonts w:ascii="Arial" w:hAnsi="Arial" w:cs="Arial"/>
          <w:b/>
          <w:bCs/>
          <w:color w:val="000000"/>
          <w:highlight w:val="lightGray"/>
          <w:shd w:val="clear" w:color="auto" w:fill="FFFFFF"/>
          <w14:ligatures w14:val="none"/>
        </w:rPr>
        <w:t>Table S3.</w:t>
      </w:r>
    </w:p>
    <w:p w14:paraId="3A71955F" w14:textId="4029B45A" w:rsidR="00FA6CA1" w:rsidRDefault="00000000" w:rsidP="00C86F16">
      <w:pPr>
        <w:spacing w:line="360" w:lineRule="auto"/>
        <w:jc w:val="both"/>
        <w:rPr>
          <w:rFonts w:ascii="Arial" w:hAnsi="Arial" w:cs="Arial"/>
          <w:color w:val="000000"/>
          <w:shd w:val="clear" w:color="auto" w:fill="FFFFFF"/>
          <w14:ligatures w14:val="none"/>
        </w:rPr>
      </w:pPr>
      <w:r>
        <w:rPr>
          <w:rFonts w:ascii="Arial" w:hAnsi="Arial" w:cs="Arial"/>
          <w:noProof/>
          <w:color w:val="000000"/>
        </w:rPr>
        <w:lastRenderedPageBreak/>
        <mc:AlternateContent>
          <mc:Choice Requires="wps">
            <w:drawing>
              <wp:anchor distT="0" distB="0" distL="114300" distR="114300" simplePos="0" relativeHeight="251659264" behindDoc="0" locked="0" layoutInCell="1" allowOverlap="1" wp14:anchorId="0AD8DB04" wp14:editId="652A9D5E">
                <wp:simplePos x="0" y="0"/>
                <wp:positionH relativeFrom="column">
                  <wp:posOffset>1512570</wp:posOffset>
                </wp:positionH>
                <wp:positionV relativeFrom="paragraph">
                  <wp:posOffset>415925</wp:posOffset>
                </wp:positionV>
                <wp:extent cx="364671" cy="163285"/>
                <wp:effectExtent l="0" t="0" r="0" b="0"/>
                <wp:wrapNone/>
                <wp:docPr id="3" name="Zone de texte 1"/>
                <wp:cNvGraphicFramePr/>
                <a:graphic xmlns:a="http://schemas.openxmlformats.org/drawingml/2006/main">
                  <a:graphicData uri="http://schemas.microsoft.com/office/word/2010/wordprocessingShape">
                    <wps:wsp>
                      <wps:cNvSpPr txBox="1"/>
                      <wps:spPr bwMode="auto">
                        <a:xfrm>
                          <a:off x="0" y="0"/>
                          <a:ext cx="364671" cy="163285"/>
                        </a:xfrm>
                        <a:prstGeom prst="rect">
                          <a:avLst/>
                        </a:prstGeom>
                        <a:noFill/>
                        <a:ln w="6350">
                          <a:noFill/>
                        </a:ln>
                      </wps:spPr>
                      <wps:txbx>
                        <w:txbxContent>
                          <w:p w14:paraId="6DE36460" w14:textId="35C0A55D" w:rsidR="00FA6CA1" w:rsidRDefault="00FA6CA1">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D8DB04" id="_x0000_t202" coordsize="21600,21600" o:spt="202" path="m,l,21600r21600,l21600,xe">
                <v:stroke joinstyle="miter"/>
                <v:path gradientshapeok="t" o:connecttype="rect"/>
              </v:shapetype>
              <v:shape id="Zone de texte 1" o:spid="_x0000_s1026" type="#_x0000_t202" style="position:absolute;left:0;text-align:left;margin-left:119.1pt;margin-top:32.75pt;width:28.7pt;height:1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" filled="f" stroked="f" strokeweight=".5pt">
                <v:textbox>
                  <w:txbxContent>
                    <w:p w14:paraId="6DE36460" w14:textId="35C0A55D" w:rsidR="00FA6CA1" w:rsidRDefault="00FA6CA1">
                      <w:pPr>
                        <w:rPr>
                          <w:lang w:val="fr-FR"/>
                        </w:rPr>
                      </w:pPr>
                    </w:p>
                  </w:txbxContent>
                </v:textbox>
              </v:shape>
            </w:pict>
          </mc:Fallback>
        </mc:AlternateContent>
      </w:r>
      <w:r>
        <w:rPr>
          <w:rFonts w:ascii="Arial" w:hAnsi="Arial" w:cs="Arial"/>
          <w:noProof/>
          <w:color w:val="000000"/>
          <w:shd w:val="clear" w:color="auto" w:fill="FFFFFF"/>
        </w:rPr>
        <w:drawing>
          <wp:inline distT="0" distB="0" distL="0" distR="0" wp14:anchorId="1AF8AAA7" wp14:editId="6E6765DC">
            <wp:extent cx="5943600" cy="4179570"/>
            <wp:effectExtent l="0" t="0" r="0" b="0"/>
            <wp:docPr id="4" name="Picture 5" descr="A screenshot of a computer scree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58846" name="Picture 5" descr="A screenshot of a computer screen  AI-generated content may be incorrect."/>
                    <pic:cNvPicPr>
                      <a:picLocks noChangeAspect="1"/>
                    </pic:cNvPicPr>
                  </pic:nvPicPr>
                  <pic:blipFill>
                    <a:blip r:embed="rId17"/>
                    <a:stretch/>
                  </pic:blipFill>
                  <pic:spPr bwMode="auto">
                    <a:xfrm>
                      <a:off x="0" y="0"/>
                      <a:ext cx="5943600" cy="4179570"/>
                    </a:xfrm>
                    <a:prstGeom prst="rect">
                      <a:avLst/>
                    </a:prstGeom>
                  </pic:spPr>
                </pic:pic>
              </a:graphicData>
            </a:graphic>
          </wp:inline>
        </w:drawing>
      </w:r>
    </w:p>
    <w:p w14:paraId="478E9C41" w14:textId="4AA08EFE" w:rsidR="00FA6CA1" w:rsidRDefault="0013032D" w:rsidP="004E0A9C">
      <w:pPr>
        <w:spacing w:line="360" w:lineRule="auto"/>
        <w:jc w:val="both"/>
        <w:rPr>
          <w:rFonts w:ascii="Arial" w:hAnsi="Arial" w:cs="Arial"/>
          <w:color w:val="000000"/>
          <w:shd w:val="clear" w:color="auto" w:fill="FFFFFF"/>
          <w14:ligatures w14:val="none"/>
        </w:rPr>
      </w:pPr>
      <w:r>
        <w:rPr>
          <w:rFonts w:ascii="Arial" w:hAnsi="Arial" w:cs="Arial"/>
          <w:b/>
          <w:bCs/>
          <w:color w:val="000000"/>
          <w:shd w:val="clear" w:color="auto" w:fill="FFFFFF"/>
          <w14:ligatures w14:val="none"/>
        </w:rPr>
        <w:t>Figure 3.</w:t>
      </w:r>
      <w:r>
        <w:rPr>
          <w:rFonts w:ascii="Arial" w:hAnsi="Arial" w:cs="Arial"/>
          <w:color w:val="000000"/>
          <w:shd w:val="clear" w:color="auto" w:fill="FFFFFF"/>
          <w14:ligatures w14:val="none"/>
        </w:rPr>
        <w:t xml:space="preserve"> t-SNE (Morgan </w:t>
      </w:r>
      <w:r w:rsidR="00DF40FE">
        <w:rPr>
          <w:rFonts w:ascii="Arial" w:hAnsi="Arial" w:cs="Arial"/>
          <w:color w:val="000000"/>
          <w:shd w:val="clear" w:color="auto" w:fill="FFFFFF"/>
          <w14:ligatures w14:val="none"/>
        </w:rPr>
        <w:t>fingerprints</w:t>
      </w:r>
      <w:r>
        <w:rPr>
          <w:rFonts w:ascii="Arial" w:hAnsi="Arial" w:cs="Arial"/>
          <w:color w:val="000000"/>
          <w:shd w:val="clear" w:color="auto" w:fill="FFFFFF"/>
          <w14:ligatures w14:val="none"/>
        </w:rPr>
        <w:t>) projection of the Split_2 training and validation sets. (A) Chemical space colored by the congeneric series. (B) The same projection colored by split assignment. (C) Medoid representatives of the five major congeneric series with color tags.</w:t>
      </w:r>
    </w:p>
    <w:p w14:paraId="066F4FF6" w14:textId="2955C572" w:rsidR="00007861" w:rsidRDefault="00007861">
      <w:pPr>
        <w:pStyle w:val="Heading2"/>
        <w:numPr>
          <w:ilvl w:val="1"/>
          <w:numId w:val="1"/>
        </w:numPr>
        <w:tabs>
          <w:tab w:val="num" w:pos="360"/>
        </w:tabs>
        <w:spacing w:before="240" w:after="120"/>
        <w:ind w:left="1077" w:hanging="652"/>
        <w:rPr>
          <w:rFonts w:ascii="Arial" w:hAnsi="Arial" w:cs="Arial"/>
          <w:color w:val="000000" w:themeColor="text1"/>
          <w:sz w:val="24"/>
          <w:szCs w:val="24"/>
        </w:rPr>
      </w:pPr>
      <w:r>
        <w:rPr>
          <w:rFonts w:ascii="Arial" w:hAnsi="Arial" w:cs="Arial"/>
          <w:color w:val="000000" w:themeColor="text1"/>
          <w:sz w:val="24"/>
          <w:szCs w:val="24"/>
        </w:rPr>
        <w:t>MIL Bag Composition and Analysis</w:t>
      </w:r>
    </w:p>
    <w:p w14:paraId="26368670" w14:textId="1BC9C3E1" w:rsidR="00D56A94" w:rsidRPr="00D56A94" w:rsidRDefault="00D56A94" w:rsidP="00D56A94">
      <w:pPr>
        <w:spacing w:after="0"/>
        <w:ind w:left="426"/>
        <w:rPr>
          <w:rFonts w:ascii="Arial" w:hAnsi="Arial" w:cs="Arial"/>
        </w:rPr>
      </w:pPr>
      <w:r>
        <w:rPr>
          <w:rFonts w:ascii="Arial" w:hAnsi="Arial" w:cs="Arial"/>
        </w:rPr>
        <w:t>Bag Composition:</w:t>
      </w:r>
    </w:p>
    <w:p w14:paraId="108320FC" w14:textId="6BDFC553" w:rsidR="00043B24" w:rsidRPr="00043B24" w:rsidRDefault="00D56A94" w:rsidP="00043B24">
      <w:pPr>
        <w:pStyle w:val="ListParagraph"/>
        <w:numPr>
          <w:ilvl w:val="0"/>
          <w:numId w:val="15"/>
        </w:numPr>
        <w:spacing w:after="0" w:line="360" w:lineRule="auto"/>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For each molecule represented as an isomeric SMILES, we generated up to 200 conformers using the iCon conformer generator [76] as implemented in LigandScout [77], with an RMSD pruning threshold </w:t>
      </w:r>
      <w:r w:rsidRPr="00C803DB">
        <w:rPr>
          <w:rFonts w:ascii="Arial" w:hAnsi="Arial" w:cs="Arial"/>
          <w:color w:val="000000"/>
          <w:shd w:val="clear" w:color="auto" w:fill="FFFFFF"/>
          <w14:ligatures w14:val="none"/>
        </w:rPr>
        <w:t>of 0.5 Å and</w:t>
      </w:r>
      <w:r>
        <w:rPr>
          <w:rFonts w:ascii="Arial" w:hAnsi="Arial" w:cs="Arial"/>
          <w:color w:val="000000"/>
          <w:shd w:val="clear" w:color="auto" w:fill="FFFFFF"/>
          <w14:ligatures w14:val="none"/>
        </w:rPr>
        <w:t xml:space="preserve"> an energy window of 6 kcal/mol. </w:t>
      </w:r>
    </w:p>
    <w:p w14:paraId="41FEED3B" w14:textId="6FE6C805" w:rsidR="0044302F" w:rsidRPr="008D5E64" w:rsidRDefault="00EB1F21" w:rsidP="008D5E64">
      <w:pPr>
        <w:pStyle w:val="ListParagraph"/>
        <w:numPr>
          <w:ilvl w:val="0"/>
          <w:numId w:val="15"/>
        </w:numPr>
        <w:spacing w:after="0" w:line="360" w:lineRule="auto"/>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We represented each conformer by a 348-dimensional 3D descriptor vector, obtained by concatenating GETAWAY [57], ElectroShape [56], and USRCAT [66] fingerprints computed with scikit-fingerprints [55]. Fingerprint selection and postprocessing procedures are described in </w:t>
      </w:r>
      <w:r>
        <w:rPr>
          <w:rFonts w:ascii="Arial" w:hAnsi="Arial" w:cs="Arial"/>
          <w:b/>
          <w:bCs/>
          <w:color w:val="000000"/>
          <w:highlight w:val="lightGray"/>
          <w:shd w:val="clear" w:color="auto" w:fill="FFFFFF"/>
          <w14:ligatures w14:val="none"/>
        </w:rPr>
        <w:t>the Supporting Information.</w:t>
      </w:r>
    </w:p>
    <w:p w14:paraId="74949B33" w14:textId="18D334D6" w:rsidR="0044302F" w:rsidRPr="004C60AB" w:rsidRDefault="0044302F" w:rsidP="004C60AB">
      <w:pPr>
        <w:spacing w:after="0"/>
        <w:ind w:left="426"/>
        <w:rPr>
          <w:rFonts w:ascii="Arial" w:hAnsi="Arial" w:cs="Arial"/>
        </w:rPr>
      </w:pPr>
      <w:r>
        <w:rPr>
          <w:rFonts w:ascii="Arial" w:hAnsi="Arial" w:cs="Arial"/>
        </w:rPr>
        <w:lastRenderedPageBreak/>
        <w:t>Bag Analysis:</w:t>
      </w:r>
    </w:p>
    <w:p w14:paraId="48F4FEEA" w14:textId="70038C5B" w:rsidR="00E20B74" w:rsidRDefault="00CA333D" w:rsidP="00397F59">
      <w:pPr>
        <w:pStyle w:val="ListParagraph"/>
        <w:numPr>
          <w:ilvl w:val="0"/>
          <w:numId w:val="19"/>
        </w:numPr>
        <w:spacing w:after="0" w:line="360" w:lineRule="auto"/>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For molecules with a known bioactive conformer, each generated conformer was compared with the corresponding reference bioactive conformer using two heavy-atom rigid alignment metrics. RMSD quantifies the average positional deviation between mapped atoms in Å, whereas the Crippen O3A [78] overlay score additionally accounts for the Wildman-Crippen atom contributions to logP and molar refractivity [79]. The O3A scores were further normalized within each bag to obtain comparable values across the bags.</w:t>
      </w:r>
    </w:p>
    <w:p w14:paraId="6DC018AE" w14:textId="14AAC6CA" w:rsidR="00662FD2" w:rsidRDefault="00DA0C5C" w:rsidP="00397F59">
      <w:pPr>
        <w:pStyle w:val="ListParagraph"/>
        <w:numPr>
          <w:ilvl w:val="0"/>
          <w:numId w:val="19"/>
        </w:numPr>
        <w:spacing w:after="0" w:line="360" w:lineRule="auto"/>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Conformers were classified as bioactive-like if they satisfied a predefined alignment metric threshold T: RMSD ≤ T or normalized O3A ≥ T.</w:t>
      </w:r>
    </w:p>
    <w:p w14:paraId="2119868A" w14:textId="4675BCD4" w:rsidR="00662FD2" w:rsidRDefault="00662FD2" w:rsidP="00397F59">
      <w:pPr>
        <w:pStyle w:val="ListParagraph"/>
        <w:numPr>
          <w:ilvl w:val="0"/>
          <w:numId w:val="19"/>
        </w:numPr>
        <w:spacing w:after="0" w:line="360" w:lineRule="auto"/>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The </w:t>
      </w:r>
      <w:r>
        <w:rPr>
          <w:rFonts w:ascii="Arial" w:hAnsi="Arial" w:cs="Arial"/>
          <w:i/>
          <w:iCs/>
          <w:color w:val="000000"/>
          <w:shd w:val="clear" w:color="auto" w:fill="FFFFFF"/>
          <w14:ligatures w14:val="none"/>
        </w:rPr>
        <w:t>success rate</w:t>
      </w:r>
      <w:r>
        <w:rPr>
          <w:rFonts w:ascii="Arial" w:hAnsi="Arial" w:cs="Arial"/>
          <w:color w:val="000000"/>
          <w:shd w:val="clear" w:color="auto" w:fill="FFFFFF"/>
          <w14:ligatures w14:val="none"/>
        </w:rPr>
        <w:t xml:space="preserve"> of the conformer generation step was defined at the dataset level as the fraction of molecules for which at least one bioactive-like conformer was generated (successful bags). Only successful bags were considered for subsequent KID evaluation, in accordance with the standard MI assumption described above.</w:t>
      </w:r>
    </w:p>
    <w:p w14:paraId="36720B30" w14:textId="218755BA" w:rsidR="00662FD2" w:rsidRPr="00F52B6B" w:rsidRDefault="00043B24" w:rsidP="00397F59">
      <w:pPr>
        <w:pStyle w:val="ListParagraph"/>
        <w:numPr>
          <w:ilvl w:val="0"/>
          <w:numId w:val="19"/>
        </w:numPr>
        <w:spacing w:after="0" w:line="360" w:lineRule="auto"/>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The </w:t>
      </w:r>
      <w:r>
        <w:rPr>
          <w:rFonts w:ascii="Arial" w:hAnsi="Arial" w:cs="Arial"/>
          <w:i/>
          <w:iCs/>
          <w:color w:val="000000"/>
          <w:shd w:val="clear" w:color="auto" w:fill="FFFFFF"/>
          <w14:ligatures w14:val="none"/>
        </w:rPr>
        <w:t>witness rate</w:t>
      </w:r>
      <w:r>
        <w:rPr>
          <w:rFonts w:ascii="Arial" w:hAnsi="Arial" w:cs="Arial"/>
          <w:color w:val="000000"/>
          <w:shd w:val="clear" w:color="auto" w:fill="FFFFFF"/>
          <w14:ligatures w14:val="none"/>
        </w:rPr>
        <w:t xml:space="preserve"> was defined on the successful bags as the fraction of bioactive-like conformers within each bag. </w:t>
      </w:r>
    </w:p>
    <w:p w14:paraId="6A1A4B9D" w14:textId="61F6E652" w:rsidR="00043B24" w:rsidRPr="00662FD2" w:rsidRDefault="00E20B1D" w:rsidP="00F52B6B">
      <w:pPr>
        <w:spacing w:before="240" w:line="360" w:lineRule="auto"/>
        <w:ind w:left="426"/>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The per-molecule distribution of the generated conformers and the witness rates obtained for Split_2 are presented in </w:t>
      </w:r>
      <w:r>
        <w:rPr>
          <w:rFonts w:ascii="Arial" w:hAnsi="Arial" w:cs="Arial"/>
          <w:b/>
          <w:bCs/>
          <w:color w:val="000000"/>
          <w:highlight w:val="lightGray"/>
          <w:shd w:val="clear" w:color="auto" w:fill="FFFFFF"/>
          <w14:ligatures w14:val="none"/>
        </w:rPr>
        <w:t>Figure 4.</w:t>
      </w:r>
      <w:r>
        <w:rPr>
          <w:rFonts w:ascii="Arial" w:hAnsi="Arial" w:cs="Arial"/>
          <w:color w:val="000000"/>
          <w:shd w:val="clear" w:color="auto" w:fill="FFFFFF"/>
          <w14:ligatures w14:val="none"/>
        </w:rPr>
        <w:t xml:space="preserve"> The similarity-metric threshold T, i.e., the bioactive-like criterion, was treated as a hyperparameter during the KID performance evaluation. In addition, the witness rate was used to estimate the random baseline for the top-k recovery rate.</w:t>
      </w:r>
    </w:p>
    <w:p w14:paraId="5DBC577B" w14:textId="21EEF99F" w:rsidR="00593B38" w:rsidRPr="000D20E1" w:rsidRDefault="001C60BD" w:rsidP="000D20E1">
      <w:pPr>
        <w:pStyle w:val="Heading2"/>
        <w:numPr>
          <w:ilvl w:val="1"/>
          <w:numId w:val="1"/>
        </w:numPr>
        <w:tabs>
          <w:tab w:val="num" w:pos="360"/>
        </w:tabs>
        <w:spacing w:before="240" w:after="120"/>
        <w:ind w:left="1077" w:hanging="652"/>
        <w:rPr>
          <w:rFonts w:ascii="Arial" w:hAnsi="Arial" w:cs="Arial"/>
          <w:color w:val="000000" w:themeColor="text1"/>
          <w:sz w:val="24"/>
          <w:szCs w:val="24"/>
        </w:rPr>
      </w:pPr>
      <w:r>
        <w:rPr>
          <w:rFonts w:ascii="Arial" w:hAnsi="Arial" w:cs="Arial"/>
          <w:color w:val="000000" w:themeColor="text1"/>
          <w:sz w:val="24"/>
          <w:szCs w:val="24"/>
        </w:rPr>
        <w:t>MIL Algorithm</w:t>
      </w:r>
    </w:p>
    <w:p w14:paraId="5D759835" w14:textId="77777777" w:rsidR="00232A42" w:rsidRDefault="00000000">
      <w:pPr>
        <w:spacing w:line="360" w:lineRule="auto"/>
        <w:ind w:firstLine="426"/>
        <w:jc w:val="both"/>
        <w:rPr>
          <w:rFonts w:ascii="Arial" w:hAnsi="Arial" w:cs="Arial"/>
          <w:color w:val="000000"/>
        </w:rPr>
      </w:pPr>
      <w:r>
        <w:rPr>
          <w:rFonts w:ascii="Arial" w:hAnsi="Arial" w:cs="Arial"/>
          <w:color w:val="000000"/>
          <w:shd w:val="clear" w:color="auto" w:fill="FFFFFF"/>
        </w:rPr>
        <w:t xml:space="preserve">The MIL model is a permutation-invariant regression network over conformer ensembles. Each molecule is represented as an unordered bag of its conformers, and the model predicts a single molecule-level activity (pIC50). A molecule </w:t>
      </w:r>
      <m:oMath>
        <m:r>
          <w:rPr>
            <w:rFonts w:ascii="Cambria Math" w:hAnsi="Cambria Math"/>
          </w:rPr>
          <m:t>b</m:t>
        </m:r>
      </m:oMath>
      <w:r>
        <w:rPr>
          <w:rFonts w:ascii="Arial" w:hAnsi="Arial" w:cs="Arial"/>
          <w:color w:val="000000"/>
          <w:shd w:val="clear" w:color="auto" w:fill="FFFFFF"/>
        </w:rPr>
        <w:t xml:space="preserve"> is a set of conformer descriptor vectors, and the network outputs a scalar prediction:</w:t>
      </w:r>
    </w:p>
    <w:p w14:paraId="035D0AF7" w14:textId="77777777" w:rsidR="00232A42" w:rsidRDefault="00000000">
      <w:pPr>
        <w:spacing w:line="360" w:lineRule="auto"/>
        <w:jc w:val="center"/>
        <w:rPr>
          <w:rFonts w:ascii="Arial" w:hAnsi="Arial" w:cs="Arial"/>
        </w:rPr>
      </w:pPr>
      <m:oMath>
        <m:sSub>
          <m:sSubPr>
            <m:ctrlPr>
              <w:rPr>
                <w:rFonts w:ascii="Cambria Math" w:hAnsi="Cambria Math"/>
              </w:rPr>
            </m:ctrlPr>
          </m:sSubPr>
          <m:e>
            <m:r>
              <m:rPr>
                <m:scr m:val="script"/>
                <m:sty m:val="p"/>
              </m:rPr>
              <w:rPr>
                <w:rFonts w:ascii="Cambria Math" w:hAnsi="Cambria Math"/>
              </w:rPr>
              <m:t>X</m:t>
            </m:r>
          </m:e>
          <m:sub>
            <m:r>
              <w:rPr>
                <w:rFonts w:ascii="Cambria Math" w:hAnsi="Cambria Math"/>
              </w:rPr>
              <m:t>b</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x</m:t>
            </m:r>
          </m:e>
          <m:sub>
            <m:r>
              <w:rPr>
                <w:rFonts w:ascii="Cambria Math" w:hAnsi="Cambria Math"/>
              </w:rPr>
              <m:t>b</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x</m:t>
            </m:r>
          </m:e>
          <m:sub>
            <m:r>
              <w:rPr>
                <w:rFonts w:ascii="Cambria Math" w:hAnsi="Cambria Math"/>
              </w:rPr>
              <m:t>b</m:t>
            </m:r>
            <m:r>
              <m:rPr>
                <m:sty m:val="p"/>
              </m:rPr>
              <w:rPr>
                <w:rFonts w:ascii="Cambria Math" w:hAnsi="Cambria Math"/>
              </w:rPr>
              <m:t>,</m:t>
            </m:r>
            <m:r>
              <w:rPr>
                <w:rFonts w:ascii="Cambria Math" w:hAnsi="Cambria Math"/>
              </w:rPr>
              <m:t>n</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F</m:t>
            </m:r>
          </m:sup>
        </m:sSup>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b</m:t>
            </m:r>
          </m:sub>
        </m:sSub>
        <m:r>
          <m:rPr>
            <m:scr m:val="double-struck"/>
            <m:sty m:val="p"/>
          </m:rPr>
          <w:rPr>
            <w:rFonts w:ascii="Cambria Math" w:hAnsi="Cambria Math"/>
          </w:rPr>
          <m:t>∈R</m:t>
        </m:r>
      </m:oMath>
      <w:r>
        <w:rPr>
          <w:rFonts w:ascii="Arial" w:hAnsi="Arial" w:cs="Arial"/>
          <w:color w:val="000000"/>
          <w:shd w:val="clear" w:color="auto" w:fill="FFFFFF"/>
        </w:rPr>
        <w:t>  (1)</w:t>
      </w:r>
    </w:p>
    <w:p w14:paraId="7C8E3766" w14:textId="0E7CC38F" w:rsidR="00232A42" w:rsidRDefault="00271E53">
      <w:pPr>
        <w:spacing w:line="360" w:lineRule="auto"/>
        <w:ind w:firstLine="426"/>
        <w:jc w:val="both"/>
        <w:rPr>
          <w:rFonts w:ascii="Arial" w:hAnsi="Arial" w:cs="Arial"/>
          <w:color w:val="000000"/>
        </w:rPr>
      </w:pPr>
      <w:r w:rsidRPr="00271E53">
        <w:rPr>
          <w:rFonts w:ascii="Arial" w:hAnsi="Arial" w:cs="Arial"/>
          <w:color w:val="000000"/>
          <w:shd w:val="clear" w:color="auto" w:fill="FFFFFF"/>
        </w:rPr>
        <w:lastRenderedPageBreak/>
        <w:t xml:space="preserve">The forward pass consists of </w:t>
      </w:r>
      <w:r>
        <w:rPr>
          <w:rFonts w:ascii="Arial" w:hAnsi="Arial" w:cs="Arial"/>
          <w:color w:val="000000"/>
          <w:shd w:val="clear" w:color="auto" w:fill="FFFFFF"/>
        </w:rPr>
        <w:t>three</w:t>
      </w:r>
      <w:r w:rsidRPr="00271E53">
        <w:rPr>
          <w:rFonts w:ascii="Arial" w:hAnsi="Arial" w:cs="Arial"/>
          <w:color w:val="000000"/>
          <w:shd w:val="clear" w:color="auto" w:fill="FFFFFF"/>
        </w:rPr>
        <w:t xml:space="preserve"> stages (Figure 1B): (1</w:t>
      </w:r>
      <w:r>
        <w:rPr>
          <w:rFonts w:ascii="Arial" w:hAnsi="Arial" w:cs="Arial"/>
          <w:color w:val="000000"/>
          <w:shd w:val="clear" w:color="auto" w:fill="FFFFFF"/>
        </w:rPr>
        <w:t>a</w:t>
      </w:r>
      <w:r w:rsidRPr="00271E53">
        <w:rPr>
          <w:rFonts w:ascii="Arial" w:hAnsi="Arial" w:cs="Arial"/>
          <w:color w:val="000000"/>
          <w:shd w:val="clear" w:color="auto" w:fill="FFFFFF"/>
        </w:rPr>
        <w:t>) a shared encoder maps each conformer to a feature vector, (</w:t>
      </w:r>
      <w:r>
        <w:rPr>
          <w:rFonts w:ascii="Arial" w:hAnsi="Arial" w:cs="Arial"/>
          <w:color w:val="000000"/>
          <w:shd w:val="clear" w:color="auto" w:fill="FFFFFF"/>
        </w:rPr>
        <w:t>1b</w:t>
      </w:r>
      <w:r w:rsidRPr="00271E53">
        <w:rPr>
          <w:rFonts w:ascii="Arial" w:hAnsi="Arial" w:cs="Arial"/>
          <w:color w:val="000000"/>
          <w:shd w:val="clear" w:color="auto" w:fill="FFFFFF"/>
        </w:rPr>
        <w:t>) self-attention contextualizes conformers within each bag, (</w:t>
      </w:r>
      <w:r>
        <w:rPr>
          <w:rFonts w:ascii="Arial" w:hAnsi="Arial" w:cs="Arial"/>
          <w:color w:val="000000"/>
          <w:shd w:val="clear" w:color="auto" w:fill="FFFFFF"/>
        </w:rPr>
        <w:t>2</w:t>
      </w:r>
      <w:r w:rsidRPr="00271E53">
        <w:rPr>
          <w:rFonts w:ascii="Arial" w:hAnsi="Arial" w:cs="Arial"/>
          <w:color w:val="000000"/>
          <w:shd w:val="clear" w:color="auto" w:fill="FFFFFF"/>
        </w:rPr>
        <w:t>) a hierarchical cluster–instance attention module aggregates the variable-size set of conformers into a single bag representation, and (</w:t>
      </w:r>
      <w:r>
        <w:rPr>
          <w:rFonts w:ascii="Arial" w:hAnsi="Arial" w:cs="Arial"/>
          <w:color w:val="000000"/>
          <w:shd w:val="clear" w:color="auto" w:fill="FFFFFF"/>
        </w:rPr>
        <w:t>3</w:t>
      </w:r>
      <w:r w:rsidRPr="00271E53">
        <w:rPr>
          <w:rFonts w:ascii="Arial" w:hAnsi="Arial" w:cs="Arial"/>
          <w:color w:val="000000"/>
          <w:shd w:val="clear" w:color="auto" w:fill="FFFFFF"/>
        </w:rPr>
        <w:t>) a predictor maps this representation to the bag-level output. For batching, bags are padded to the same size, and a binary mask ensures that padded conformers are ignored during both attention and aggregation.</w:t>
      </w:r>
    </w:p>
    <w:p w14:paraId="76F03784" w14:textId="77777777" w:rsidR="00232A42" w:rsidRDefault="00000000">
      <w:pPr>
        <w:spacing w:line="360" w:lineRule="auto"/>
        <w:ind w:firstLine="426"/>
        <w:jc w:val="both"/>
        <w:rPr>
          <w:rFonts w:ascii="Arial" w:hAnsi="Arial" w:cs="Arial"/>
          <w:color w:val="000000"/>
        </w:rPr>
      </w:pPr>
      <w:r>
        <w:rPr>
          <w:rFonts w:ascii="Arial" w:hAnsi="Arial" w:cs="Arial"/>
          <w:b/>
          <w:bCs/>
          <w:color w:val="000000"/>
          <w:shd w:val="clear" w:color="auto" w:fill="FFFFFF"/>
        </w:rPr>
        <w:t>Instance encoder.</w:t>
      </w:r>
      <w:r>
        <w:rPr>
          <w:rFonts w:ascii="Arial" w:hAnsi="Arial" w:cs="Arial"/>
          <w:color w:val="000000"/>
          <w:shd w:val="clear" w:color="auto" w:fill="FFFFFF"/>
        </w:rPr>
        <w:t xml:space="preserve"> A shared encoder maps each conformer descriptor independently to a </w:t>
      </w:r>
      <m:oMath>
        <m:r>
          <w:rPr>
            <w:rFonts w:ascii="Cambria Math" w:hAnsi="Cambria Math"/>
          </w:rPr>
          <m:t>D</m:t>
        </m:r>
      </m:oMath>
      <w:r>
        <w:rPr>
          <w:rFonts w:ascii="Arial" w:hAnsi="Arial" w:cs="Arial"/>
          <w:color w:val="000000"/>
          <w:shd w:val="clear" w:color="auto" w:fill="FFFFFF"/>
        </w:rPr>
        <w:t xml:space="preserve"> = 256 latent embedding, so the stage is permutation-equivariant. It is a pre-LayerNorm residual MLP with </w:t>
      </w:r>
      <m:oMath>
        <m:r>
          <w:rPr>
            <w:rFonts w:ascii="Cambria Math" w:hAnsi="Cambria Math"/>
          </w:rPr>
          <m:t>L</m:t>
        </m:r>
      </m:oMath>
      <w:r>
        <w:rPr>
          <w:rFonts w:ascii="Arial" w:hAnsi="Arial" w:cs="Arial"/>
          <w:color w:val="000000"/>
          <w:shd w:val="clear" w:color="auto" w:fill="FFFFFF"/>
        </w:rPr>
        <w:t xml:space="preserve"> = 3 SwiGLU-gated feed-forward blocks and LayerScale residual scaling </w:t>
      </w:r>
      <m:oMath>
        <m:sSub>
          <m:sSubPr>
            <m:ctrlPr>
              <w:rPr>
                <w:rFonts w:ascii="Cambria Math" w:hAnsi="Cambria Math"/>
              </w:rPr>
            </m:ctrlPr>
          </m:sSubPr>
          <m:e>
            <m:r>
              <m:rPr>
                <m:sty m:val="bi"/>
              </m:rPr>
              <w:rPr>
                <w:rFonts w:ascii="Cambria Math" w:hAnsi="Cambria Math"/>
              </w:rPr>
              <m:t>γ</m:t>
            </m:r>
          </m:e>
          <m:sub>
            <m:r>
              <w:rPr>
                <w:rFonts w:ascii="Cambria Math" w:hAnsi="Cambria Math"/>
              </w:rPr>
              <m:t>l</m:t>
            </m:r>
          </m:sub>
        </m:sSub>
      </m:oMath>
      <w:r>
        <w:rPr>
          <w:rFonts w:ascii="Arial" w:hAnsi="Arial" w:cs="Arial"/>
          <w:color w:val="000000"/>
          <w:shd w:val="clear" w:color="auto" w:fill="FFFFFF"/>
        </w:rPr>
        <w:t>:</w:t>
      </w:r>
    </w:p>
    <w:p w14:paraId="7712C178" w14:textId="77777777" w:rsidR="00232A42" w:rsidRDefault="00000000">
      <w:pPr>
        <w:spacing w:line="360" w:lineRule="auto"/>
        <w:jc w:val="center"/>
        <w:rPr>
          <w:rFonts w:ascii="Arial" w:hAnsi="Arial" w:cs="Arial"/>
        </w:rPr>
      </w:pPr>
      <m:oMath>
        <m:sSup>
          <m:sSupPr>
            <m:ctrlPr>
              <w:rPr>
                <w:rFonts w:ascii="Cambria Math" w:hAnsi="Cambria Math"/>
              </w:rPr>
            </m:ctrlPr>
          </m:sSupPr>
          <m:e>
            <m:r>
              <m:rPr>
                <m:sty m:val="bi"/>
              </m:rPr>
              <w:rPr>
                <w:rFonts w:ascii="Cambria Math" w:hAnsi="Cambria Math"/>
              </w:rPr>
              <m:t>h</m:t>
            </m:r>
          </m:e>
          <m:sup>
            <m:r>
              <w:rPr>
                <w:rFonts w:ascii="Cambria Math" w:hAnsi="Cambria Math"/>
              </w:rPr>
              <m:t>0</m:t>
            </m:r>
          </m:sup>
        </m:sSup>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m:rPr>
                <m:sty m:val="p"/>
              </m:rPr>
              <w:rPr>
                <w:rFonts w:ascii="Cambria Math" w:hAnsi="Cambria Math"/>
              </w:rPr>
              <m:t>in</m:t>
            </m:r>
          </m:sub>
        </m:sSub>
        <m:r>
          <w:rPr>
            <w:rFonts w:ascii="Cambria Math" w:hAnsi="Cambria Math"/>
          </w:rPr>
          <m:t> </m:t>
        </m:r>
        <m:sSub>
          <m:sSubPr>
            <m:ctrlPr>
              <w:rPr>
                <w:rFonts w:ascii="Cambria Math" w:hAnsi="Cambria Math"/>
              </w:rPr>
            </m:ctrlPr>
          </m:sSubPr>
          <m:e>
            <m:r>
              <m:rPr>
                <m:sty m:val="bi"/>
              </m:rPr>
              <w:rPr>
                <w:rFonts w:ascii="Cambria Math" w:hAnsi="Cambria Math"/>
              </w:rPr>
              <m:t>x</m:t>
            </m:r>
          </m:e>
          <m:sub>
            <m:r>
              <w:rPr>
                <w:rFonts w:ascii="Cambria Math" w:hAnsi="Cambria Math"/>
              </w:rPr>
              <m:t>b</m:t>
            </m:r>
            <m:r>
              <m:rPr>
                <m:sty m:val="p"/>
              </m:rPr>
              <w:rPr>
                <w:rFonts w:ascii="Cambria Math" w:hAnsi="Cambria Math"/>
              </w:rPr>
              <m:t>,</m:t>
            </m:r>
            <m:r>
              <w:rPr>
                <w:rFonts w:ascii="Cambria Math" w:hAnsi="Cambria Math"/>
              </w:rPr>
              <m:t>n</m:t>
            </m:r>
          </m:sub>
        </m:sSub>
        <m:r>
          <m:rPr>
            <m:sty m:val="p"/>
          </m:rPr>
          <w:rPr>
            <w:rFonts w:ascii="Cambria Math" w:hAnsi="Cambria Math"/>
          </w:rPr>
          <m:t>,</m:t>
        </m:r>
        <m:r>
          <w:rPr>
            <w:rFonts w:ascii="Cambria Math" w:hAnsi="Cambria Math"/>
          </w:rPr>
          <m:t> </m:t>
        </m:r>
        <m:sSup>
          <m:sSupPr>
            <m:ctrlPr>
              <w:rPr>
                <w:rFonts w:ascii="Cambria Math" w:hAnsi="Cambria Math"/>
              </w:rPr>
            </m:ctrlPr>
          </m:sSupPr>
          <m:e>
            <m:r>
              <m:rPr>
                <m:sty m:val="bi"/>
              </m:rPr>
              <w:rPr>
                <w:rFonts w:ascii="Cambria Math" w:hAnsi="Cambria Math"/>
              </w:rPr>
              <m:t>h</m:t>
            </m:r>
          </m:e>
          <m:sup>
            <m:r>
              <w:rPr>
                <w:rFonts w:ascii="Cambria Math" w:hAnsi="Cambria Math"/>
              </w:rPr>
              <m:t>l</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h</m:t>
            </m:r>
          </m:e>
          <m:sup>
            <m:r>
              <w:rPr>
                <w:rFonts w:ascii="Cambria Math" w:hAnsi="Cambria Math"/>
              </w:rPr>
              <m:t>l</m:t>
            </m:r>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m:rPr>
                <m:sty m:val="bi"/>
              </m:rPr>
              <w:rPr>
                <w:rFonts w:ascii="Cambria Math" w:hAnsi="Cambria Math"/>
              </w:rPr>
              <m:t>γ</m:t>
            </m:r>
          </m:e>
          <m:sub>
            <m:r>
              <w:rPr>
                <w:rFonts w:ascii="Cambria Math" w:hAnsi="Cambria Math"/>
              </w:rPr>
              <m:t>l</m:t>
            </m:r>
          </m:sub>
        </m:sSub>
        <m:r>
          <m:rPr>
            <m:sty m:val="p"/>
          </m:rPr>
          <w:rPr>
            <w:rFonts w:ascii="Cambria Math" w:hAnsi="Cambria Math"/>
          </w:rPr>
          <m:t>⊙FFN(LN(</m:t>
        </m:r>
        <m:sSup>
          <m:sSupPr>
            <m:ctrlPr>
              <w:rPr>
                <w:rFonts w:ascii="Cambria Math" w:hAnsi="Cambria Math"/>
              </w:rPr>
            </m:ctrlPr>
          </m:sSupPr>
          <m:e>
            <m:r>
              <m:rPr>
                <m:sty m:val="bi"/>
              </m:rPr>
              <w:rPr>
                <w:rFonts w:ascii="Cambria Math" w:hAnsi="Cambria Math"/>
              </w:rPr>
              <m:t>h</m:t>
            </m:r>
          </m:e>
          <m:sup>
            <m:r>
              <w:rPr>
                <w:rFonts w:ascii="Cambria Math" w:hAnsi="Cambria Math"/>
              </w:rPr>
              <m:t>l</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e</m:t>
            </m:r>
          </m:e>
          <m:sub>
            <m:r>
              <w:rPr>
                <w:rFonts w:ascii="Cambria Math" w:hAnsi="Cambria Math"/>
              </w:rPr>
              <m:t>b</m:t>
            </m:r>
            <m:r>
              <m:rPr>
                <m:sty m:val="p"/>
              </m:rPr>
              <w:rPr>
                <w:rFonts w:ascii="Cambria Math" w:hAnsi="Cambria Math"/>
              </w:rPr>
              <m:t>,</m:t>
            </m:r>
            <m:r>
              <w:rPr>
                <w:rFonts w:ascii="Cambria Math" w:hAnsi="Cambria Math"/>
              </w:rPr>
              <m:t>n</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h</m:t>
            </m:r>
          </m:e>
          <m:sup>
            <m:r>
              <w:rPr>
                <w:rFonts w:ascii="Cambria Math" w:hAnsi="Cambria Math"/>
              </w:rPr>
              <m:t>L</m:t>
            </m:r>
          </m:sup>
        </m:sSup>
      </m:oMath>
      <w:r>
        <w:rPr>
          <w:rFonts w:ascii="Arial" w:hAnsi="Arial" w:cs="Arial"/>
          <w:color w:val="000000"/>
          <w:shd w:val="clear" w:color="auto" w:fill="FFFFFF"/>
        </w:rPr>
        <w:t>  (2)</w:t>
      </w:r>
    </w:p>
    <w:p w14:paraId="688CA61C" w14:textId="77777777" w:rsidR="00232A42" w:rsidRDefault="00000000">
      <w:pPr>
        <w:spacing w:line="360" w:lineRule="auto"/>
        <w:jc w:val="center"/>
        <w:rPr>
          <w:rFonts w:ascii="Arial" w:hAnsi="Arial" w:cs="Arial"/>
        </w:rPr>
      </w:pPr>
      <m:oMath>
        <m:r>
          <m:rPr>
            <m:sty m:val="p"/>
          </m:rPr>
          <w:rPr>
            <w:rFonts w:ascii="Cambria Math" w:hAnsi="Cambria Math"/>
          </w:rPr>
          <m:t>FFN(</m:t>
        </m:r>
        <m:r>
          <m:rPr>
            <m:sty m:val="bi"/>
          </m:rPr>
          <w:rPr>
            <w:rFonts w:ascii="Cambria Math" w:hAnsi="Cambria Math"/>
          </w:rPr>
          <m:t>u</m:t>
        </m:r>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2</m:t>
            </m:r>
          </m:sub>
        </m:sSub>
        <m:d>
          <m:dPr>
            <m:ctrlPr>
              <w:rPr>
                <w:rFonts w:ascii="Cambria Math" w:hAnsi="Cambria Math"/>
              </w:rPr>
            </m:ctrlPr>
          </m:dPr>
          <m:e>
            <m:r>
              <m:rPr>
                <m:sty m:val="p"/>
              </m:rPr>
              <w:rPr>
                <w:rFonts w:ascii="Cambria Math" w:hAnsi="Cambria Math"/>
              </w:rPr>
              <m:t>SiLU(</m:t>
            </m:r>
            <m:sSubSup>
              <m:sSubSupPr>
                <m:ctrlPr>
                  <w:rPr>
                    <w:rFonts w:ascii="Cambria Math" w:hAnsi="Cambria Math"/>
                  </w:rPr>
                </m:ctrlPr>
              </m:sSubSupPr>
              <m:e>
                <m:r>
                  <m:rPr>
                    <m:sty m:val="bi"/>
                  </m:rPr>
                  <w:rPr>
                    <w:rFonts w:ascii="Cambria Math" w:hAnsi="Cambria Math"/>
                  </w:rPr>
                  <m:t>W</m:t>
                </m:r>
              </m:e>
              <m:sub>
                <m:r>
                  <w:rPr>
                    <w:rFonts w:ascii="Cambria Math" w:hAnsi="Cambria Math"/>
                  </w:rPr>
                  <m:t>1</m:t>
                </m:r>
              </m:sub>
              <m:sup>
                <m:r>
                  <w:rPr>
                    <w:rFonts w:ascii="Cambria Math" w:hAnsi="Cambria Math"/>
                  </w:rPr>
                  <m:t>g</m:t>
                </m:r>
              </m:sup>
            </m:sSubSup>
            <m:r>
              <m:rPr>
                <m:sty m:val="bi"/>
              </m:rPr>
              <w:rPr>
                <w:rFonts w:ascii="Cambria Math" w:hAnsi="Cambria Math"/>
              </w:rPr>
              <m:t>u</m:t>
            </m:r>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w:rPr>
                    <w:rFonts w:ascii="Cambria Math" w:hAnsi="Cambria Math"/>
                  </w:rPr>
                  <m:t>1</m:t>
                </m:r>
              </m:sub>
              <m:sup>
                <m:r>
                  <w:rPr>
                    <w:rFonts w:ascii="Cambria Math" w:hAnsi="Cambria Math"/>
                  </w:rPr>
                  <m:t>v</m:t>
                </m:r>
              </m:sup>
            </m:sSubSup>
            <m:r>
              <m:rPr>
                <m:sty m:val="bi"/>
              </m:rPr>
              <w:rPr>
                <w:rFonts w:ascii="Cambria Math" w:hAnsi="Cambria Math"/>
              </w:rPr>
              <m:t>u</m:t>
            </m:r>
          </m:e>
        </m:d>
      </m:oMath>
      <w:r>
        <w:rPr>
          <w:rFonts w:ascii="Arial" w:hAnsi="Arial" w:cs="Arial"/>
          <w:color w:val="000000"/>
          <w:shd w:val="clear" w:color="auto" w:fill="FFFFFF"/>
        </w:rPr>
        <w:t>  (3)</w:t>
      </w:r>
    </w:p>
    <w:p w14:paraId="23E7D8A7" w14:textId="77777777" w:rsidR="00232A42" w:rsidRDefault="00000000">
      <w:pPr>
        <w:spacing w:line="360" w:lineRule="auto"/>
        <w:ind w:firstLine="426"/>
        <w:jc w:val="both"/>
        <w:rPr>
          <w:rFonts w:ascii="Arial" w:hAnsi="Arial" w:cs="Arial"/>
          <w:color w:val="000000"/>
        </w:rPr>
      </w:pPr>
      <w:r>
        <w:rPr>
          <w:rFonts w:ascii="Arial" w:hAnsi="Arial" w:cs="Arial"/>
          <w:b/>
          <w:bCs/>
          <w:color w:val="000000"/>
          <w:shd w:val="clear" w:color="auto" w:fill="FFFFFF"/>
        </w:rPr>
        <w:t>Contextualizer.</w:t>
      </w:r>
      <w:r>
        <w:rPr>
          <w:rFonts w:ascii="Arial" w:hAnsi="Arial" w:cs="Arial"/>
          <w:color w:val="000000"/>
          <w:shd w:val="clear" w:color="auto" w:fill="FFFFFF"/>
        </w:rPr>
        <w:t xml:space="preserve"> A single masked multi-head self-attention block (2 heads, no positional encoding) lets conformers within the same bag exchange information, yielding contextualized embeddings </w:t>
      </w:r>
      <m:oMath>
        <m:sSub>
          <m:sSubPr>
            <m:ctrlPr>
              <w:rPr>
                <w:rFonts w:ascii="Cambria Math" w:hAnsi="Cambria Math"/>
              </w:rPr>
            </m:ctrlPr>
          </m:sSubPr>
          <m:e>
            <m:r>
              <m:rPr>
                <m:sty m:val="bi"/>
              </m:rPr>
              <w:rPr>
                <w:rFonts w:ascii="Cambria Math" w:hAnsi="Cambria Math"/>
              </w:rPr>
              <m:t>z</m:t>
            </m:r>
          </m:e>
          <m:sub>
            <m:r>
              <w:rPr>
                <w:rFonts w:ascii="Cambria Math" w:hAnsi="Cambria Math"/>
              </w:rPr>
              <m:t>b</m:t>
            </m:r>
            <m:r>
              <m:rPr>
                <m:sty m:val="p"/>
              </m:rPr>
              <w:rPr>
                <w:rFonts w:ascii="Cambria Math" w:hAnsi="Cambria Math"/>
              </w:rPr>
              <m:t>,</m:t>
            </m:r>
            <m:r>
              <w:rPr>
                <w:rFonts w:ascii="Cambria Math" w:hAnsi="Cambria Math"/>
              </w:rPr>
              <m:t>n</m:t>
            </m:r>
          </m:sub>
        </m:sSub>
      </m:oMath>
      <w:r>
        <w:rPr>
          <w:rFonts w:ascii="Arial" w:hAnsi="Arial" w:cs="Arial"/>
          <w:color w:val="000000"/>
          <w:shd w:val="clear" w:color="auto" w:fill="FFFFFF"/>
        </w:rPr>
        <w:t>:</w:t>
      </w:r>
    </w:p>
    <w:p w14:paraId="4D5173A9" w14:textId="77777777" w:rsidR="00232A42" w:rsidRDefault="00000000">
      <w:pPr>
        <w:spacing w:line="360" w:lineRule="auto"/>
        <w:jc w:val="center"/>
        <w:rPr>
          <w:rFonts w:ascii="Arial" w:hAnsi="Arial" w:cs="Arial"/>
        </w:rPr>
      </w:pPr>
      <m:oMath>
        <m:acc>
          <m:accPr>
            <m:chr m:val="̃"/>
            <m:ctrlPr>
              <w:rPr>
                <w:rFonts w:ascii="Cambria Math" w:hAnsi="Cambria Math"/>
              </w:rPr>
            </m:ctrlPr>
          </m:accPr>
          <m:e>
            <m:r>
              <m:rPr>
                <m:sty m:val="bi"/>
              </m:rPr>
              <w:rPr>
                <w:rFonts w:ascii="Cambria Math" w:hAnsi="Cambria Math"/>
              </w:rPr>
              <m:t>e</m:t>
            </m:r>
          </m:e>
        </m:acc>
        <m:r>
          <m:rPr>
            <m:sty m:val="p"/>
          </m:rPr>
          <w:rPr>
            <w:rFonts w:ascii="Cambria Math" w:hAnsi="Cambria Math"/>
          </w:rPr>
          <m:t>=</m:t>
        </m:r>
        <m:r>
          <m:rPr>
            <m:sty m:val="bi"/>
          </m:rPr>
          <w:rPr>
            <w:rFonts w:ascii="Cambria Math" w:hAnsi="Cambria Math"/>
          </w:rPr>
          <m:t>e</m:t>
        </m:r>
        <m:r>
          <m:rPr>
            <m:sty m:val="p"/>
          </m:rPr>
          <w:rPr>
            <w:rFonts w:ascii="Cambria Math" w:hAnsi="Cambria Math"/>
          </w:rPr>
          <m:t>+</m:t>
        </m:r>
        <m:sSub>
          <m:sSubPr>
            <m:ctrlPr>
              <w:rPr>
                <w:rFonts w:ascii="Cambria Math" w:hAnsi="Cambria Math"/>
              </w:rPr>
            </m:ctrlPr>
          </m:sSubPr>
          <m:e>
            <m:r>
              <m:rPr>
                <m:sty m:val="bi"/>
              </m:rPr>
              <w:rPr>
                <w:rFonts w:ascii="Cambria Math" w:hAnsi="Cambria Math"/>
              </w:rPr>
              <m:t>γ</m:t>
            </m:r>
          </m:e>
          <m:sub>
            <m:r>
              <w:rPr>
                <w:rFonts w:ascii="Cambria Math" w:hAnsi="Cambria Math"/>
              </w:rPr>
              <m:t>a</m:t>
            </m:r>
          </m:sub>
        </m:sSub>
        <m:r>
          <m:rPr>
            <m:sty m:val="p"/>
          </m:rPr>
          <w:rPr>
            <w:rFonts w:ascii="Cambria Math" w:hAnsi="Cambria Math"/>
          </w:rPr>
          <m:t>⊙MHA(LN(</m:t>
        </m:r>
        <m:r>
          <m:rPr>
            <m:sty m:val="bi"/>
          </m:rPr>
          <w:rPr>
            <w:rFonts w:ascii="Cambria Math" w:hAnsi="Cambria Math"/>
          </w:rPr>
          <m:t>e</m:t>
        </m:r>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z</m:t>
            </m:r>
          </m:e>
          <m:sub>
            <m:r>
              <w:rPr>
                <w:rFonts w:ascii="Cambria Math" w:hAnsi="Cambria Math"/>
              </w:rPr>
              <m:t>b</m:t>
            </m:r>
            <m:r>
              <m:rPr>
                <m:sty m:val="p"/>
              </m:rPr>
              <w:rPr>
                <w:rFonts w:ascii="Cambria Math" w:hAnsi="Cambria Math"/>
              </w:rPr>
              <m:t>,</m:t>
            </m:r>
            <m:r>
              <w:rPr>
                <w:rFonts w:ascii="Cambria Math" w:hAnsi="Cambria Math"/>
              </w:rPr>
              <m:t>n</m:t>
            </m:r>
          </m:sub>
        </m:sSub>
        <m:r>
          <m:rPr>
            <m:sty m:val="p"/>
          </m:rPr>
          <w:rPr>
            <w:rFonts w:ascii="Cambria Math" w:hAnsi="Cambria Math"/>
          </w:rPr>
          <m:t>=</m:t>
        </m:r>
        <m:acc>
          <m:accPr>
            <m:chr m:val="̃"/>
            <m:ctrlPr>
              <w:rPr>
                <w:rFonts w:ascii="Cambria Math" w:hAnsi="Cambria Math"/>
              </w:rPr>
            </m:ctrlPr>
          </m:accPr>
          <m:e>
            <m:r>
              <m:rPr>
                <m:sty m:val="bi"/>
              </m:rPr>
              <w:rPr>
                <w:rFonts w:ascii="Cambria Math" w:hAnsi="Cambria Math"/>
              </w:rPr>
              <m:t>e</m:t>
            </m:r>
          </m:e>
        </m:acc>
        <m:r>
          <m:rPr>
            <m:sty m:val="p"/>
          </m:rPr>
          <w:rPr>
            <w:rFonts w:ascii="Cambria Math" w:hAnsi="Cambria Math"/>
          </w:rPr>
          <m:t>+</m:t>
        </m:r>
        <m:sSub>
          <m:sSubPr>
            <m:ctrlPr>
              <w:rPr>
                <w:rFonts w:ascii="Cambria Math" w:hAnsi="Cambria Math"/>
              </w:rPr>
            </m:ctrlPr>
          </m:sSubPr>
          <m:e>
            <m:r>
              <m:rPr>
                <m:sty m:val="bi"/>
              </m:rPr>
              <w:rPr>
                <w:rFonts w:ascii="Cambria Math" w:hAnsi="Cambria Math"/>
              </w:rPr>
              <m:t>γ</m:t>
            </m:r>
          </m:e>
          <m:sub>
            <m:r>
              <w:rPr>
                <w:rFonts w:ascii="Cambria Math" w:hAnsi="Cambria Math"/>
              </w:rPr>
              <m:t>f</m:t>
            </m:r>
          </m:sub>
        </m:sSub>
        <m:r>
          <m:rPr>
            <m:sty m:val="p"/>
          </m:rPr>
          <w:rPr>
            <w:rFonts w:ascii="Cambria Math" w:hAnsi="Cambria Math"/>
          </w:rPr>
          <m:t>⊙FFN(LN(</m:t>
        </m:r>
        <m:acc>
          <m:accPr>
            <m:chr m:val="̃"/>
            <m:ctrlPr>
              <w:rPr>
                <w:rFonts w:ascii="Cambria Math" w:hAnsi="Cambria Math"/>
              </w:rPr>
            </m:ctrlPr>
          </m:accPr>
          <m:e>
            <m:r>
              <m:rPr>
                <m:sty m:val="bi"/>
              </m:rPr>
              <w:rPr>
                <w:rFonts w:ascii="Cambria Math" w:hAnsi="Cambria Math"/>
              </w:rPr>
              <m:t>e</m:t>
            </m:r>
          </m:e>
        </m:acc>
        <m:r>
          <m:rPr>
            <m:sty m:val="p"/>
          </m:rPr>
          <w:rPr>
            <w:rFonts w:ascii="Cambria Math" w:hAnsi="Cambria Math"/>
          </w:rPr>
          <m:t>))</m:t>
        </m:r>
      </m:oMath>
      <w:r>
        <w:rPr>
          <w:rFonts w:ascii="Arial" w:hAnsi="Arial" w:cs="Arial"/>
          <w:color w:val="000000"/>
          <w:shd w:val="clear" w:color="auto" w:fill="FFFFFF"/>
        </w:rPr>
        <w:t>  (4)</w:t>
      </w:r>
    </w:p>
    <w:p w14:paraId="63A60B9F" w14:textId="77777777" w:rsidR="00232A42" w:rsidRDefault="00000000">
      <w:pPr>
        <w:spacing w:line="360" w:lineRule="auto"/>
        <w:ind w:firstLine="426"/>
        <w:jc w:val="both"/>
        <w:rPr>
          <w:rFonts w:ascii="Arial" w:hAnsi="Arial" w:cs="Arial"/>
          <w:color w:val="000000"/>
        </w:rPr>
      </w:pPr>
      <w:r>
        <w:rPr>
          <w:rFonts w:ascii="Arial" w:hAnsi="Arial" w:cs="Arial"/>
          <w:b/>
          <w:bCs/>
          <w:color w:val="000000"/>
          <w:shd w:val="clear" w:color="auto" w:fill="FFFFFF"/>
        </w:rPr>
        <w:t xml:space="preserve">where </w:t>
      </w:r>
      <m:oMath>
        <m:sSub>
          <m:sSubPr>
            <m:ctrlPr>
              <w:rPr>
                <w:rFonts w:ascii="Cambria Math" w:hAnsi="Cambria Math"/>
              </w:rPr>
            </m:ctrlPr>
          </m:sSubPr>
          <m:e>
            <m:r>
              <m:rPr>
                <m:sty m:val="bi"/>
              </m:rPr>
              <w:rPr>
                <w:rFonts w:ascii="Cambria Math" w:hAnsi="Cambria Math"/>
              </w:rPr>
              <m:t>x</m:t>
            </m:r>
          </m:e>
          <m:sub>
            <m:r>
              <w:rPr>
                <w:rFonts w:ascii="Cambria Math" w:hAnsi="Cambria Math"/>
              </w:rPr>
              <m:t>b</m:t>
            </m:r>
            <m:r>
              <m:rPr>
                <m:sty m:val="p"/>
              </m:rPr>
              <w:rPr>
                <w:rFonts w:ascii="Cambria Math" w:hAnsi="Cambria Math"/>
              </w:rPr>
              <m:t>,</m:t>
            </m:r>
            <m:r>
              <w:rPr>
                <w:rFonts w:ascii="Cambria Math" w:hAnsi="Cambria Math"/>
              </w:rPr>
              <m:t>n</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F</m:t>
            </m:r>
          </m:sup>
        </m:sSup>
      </m:oMath>
      <w:r>
        <w:rPr>
          <w:rFonts w:ascii="Arial" w:hAnsi="Arial" w:cs="Arial"/>
          <w:color w:val="000000"/>
          <w:shd w:val="clear" w:color="auto" w:fill="FFFFFF"/>
        </w:rPr>
        <w:t xml:space="preserve"> is the descriptor of conformer </w:t>
      </w:r>
      <m:oMath>
        <m:r>
          <w:rPr>
            <w:rFonts w:ascii="Cambria Math" w:hAnsi="Cambria Math"/>
          </w:rPr>
          <m:t>n</m:t>
        </m:r>
      </m:oMath>
      <w:r>
        <w:rPr>
          <w:rFonts w:ascii="Arial" w:hAnsi="Arial" w:cs="Arial"/>
          <w:color w:val="000000"/>
          <w:shd w:val="clear" w:color="auto" w:fill="FFFFFF"/>
        </w:rPr>
        <w:t xml:space="preserve"> in molecule </w:t>
      </w:r>
      <m:oMath>
        <m:r>
          <w:rPr>
            <w:rFonts w:ascii="Cambria Math" w:hAnsi="Cambria Math"/>
          </w:rPr>
          <m:t>b</m:t>
        </m:r>
      </m:oMath>
      <w:r>
        <w:rPr>
          <w:rFonts w:ascii="Arial" w:hAnsi="Arial" w:cs="Arial"/>
          <w:color w:val="000000"/>
          <w:shd w:val="clear" w:color="auto" w:fill="FFFFFF"/>
        </w:rPr>
        <w:t xml:space="preserve">; </w:t>
      </w:r>
      <m:oMath>
        <m:sSup>
          <m:sSupPr>
            <m:ctrlPr>
              <w:rPr>
                <w:rFonts w:ascii="Cambria Math" w:hAnsi="Cambria Math"/>
              </w:rPr>
            </m:ctrlPr>
          </m:sSupPr>
          <m:e>
            <m:r>
              <m:rPr>
                <m:sty m:val="bi"/>
              </m:rPr>
              <w:rPr>
                <w:rFonts w:ascii="Cambria Math" w:hAnsi="Cambria Math"/>
              </w:rPr>
              <m:t>h</m:t>
            </m:r>
          </m:e>
          <m:sup>
            <m:r>
              <w:rPr>
                <w:rFonts w:ascii="Cambria Math" w:hAnsi="Cambria Math"/>
              </w:rPr>
              <m:t>l</m:t>
            </m:r>
          </m:sup>
        </m:sSup>
      </m:oMath>
      <w:r>
        <w:rPr>
          <w:rFonts w:ascii="Arial" w:hAnsi="Arial" w:cs="Arial"/>
          <w:color w:val="000000"/>
          <w:shd w:val="clear" w:color="auto" w:fill="FFFFFF"/>
        </w:rPr>
        <w:t xml:space="preserve"> the hidden state after residual block </w:t>
      </w:r>
      <m:oMath>
        <m:r>
          <w:rPr>
            <w:rFonts w:ascii="Cambria Math" w:hAnsi="Cambria Math"/>
          </w:rPr>
          <m:t>l</m:t>
        </m:r>
      </m:oMath>
      <w:r>
        <w:rPr>
          <w:rFonts w:ascii="Arial" w:hAnsi="Arial" w:cs="Arial"/>
          <w:color w:val="000000"/>
          <w:shd w:val="clear" w:color="auto" w:fill="FFFFFF"/>
        </w:rPr>
        <w:t xml:space="preserve"> (of </w:t>
      </w:r>
      <m:oMath>
        <m:r>
          <w:rPr>
            <w:rFonts w:ascii="Cambria Math" w:hAnsi="Cambria Math"/>
          </w:rPr>
          <m:t>L</m:t>
        </m:r>
      </m:oMath>
      <w:r>
        <w:rPr>
          <w:rFonts w:ascii="Arial" w:hAnsi="Arial" w:cs="Arial"/>
          <w:color w:val="000000"/>
          <w:shd w:val="clear" w:color="auto" w:fill="FFFFFF"/>
        </w:rPr>
        <w:t xml:space="preserve"> = 3); </w:t>
      </w:r>
      <m:oMath>
        <m:sSub>
          <m:sSubPr>
            <m:ctrlPr>
              <w:rPr>
                <w:rFonts w:ascii="Cambria Math" w:hAnsi="Cambria Math"/>
              </w:rPr>
            </m:ctrlPr>
          </m:sSubPr>
          <m:e>
            <m:r>
              <m:rPr>
                <m:sty m:val="bi"/>
              </m:rPr>
              <w:rPr>
                <w:rFonts w:ascii="Cambria Math" w:hAnsi="Cambria Math"/>
              </w:rPr>
              <m:t>e</m:t>
            </m:r>
          </m:e>
          <m:sub>
            <m:r>
              <w:rPr>
                <w:rFonts w:ascii="Cambria Math" w:hAnsi="Cambria Math"/>
              </w:rPr>
              <m:t>b</m:t>
            </m:r>
            <m:r>
              <m:rPr>
                <m:sty m:val="p"/>
              </m:rPr>
              <w:rPr>
                <w:rFonts w:ascii="Cambria Math" w:hAnsi="Cambria Math"/>
              </w:rPr>
              <m:t>,</m:t>
            </m:r>
            <m:r>
              <w:rPr>
                <w:rFonts w:ascii="Cambria Math" w:hAnsi="Cambria Math"/>
              </w:rPr>
              <m:t>n</m:t>
            </m:r>
          </m:sub>
        </m:sSub>
      </m:oMath>
      <w:r>
        <w:rPr>
          <w:rFonts w:ascii="Arial" w:hAnsi="Arial" w:cs="Arial"/>
          <w:color w:val="000000"/>
          <w:shd w:val="clear" w:color="auto" w:fill="FFFFFF"/>
        </w:rPr>
        <w:t xml:space="preserve"> and </w:t>
      </w:r>
      <m:oMath>
        <m:sSub>
          <m:sSubPr>
            <m:ctrlPr>
              <w:rPr>
                <w:rFonts w:ascii="Cambria Math" w:hAnsi="Cambria Math"/>
              </w:rPr>
            </m:ctrlPr>
          </m:sSubPr>
          <m:e>
            <m:r>
              <m:rPr>
                <m:sty m:val="bi"/>
              </m:rPr>
              <w:rPr>
                <w:rFonts w:ascii="Cambria Math" w:hAnsi="Cambria Math"/>
              </w:rPr>
              <m:t>z</m:t>
            </m:r>
          </m:e>
          <m:sub>
            <m:r>
              <w:rPr>
                <w:rFonts w:ascii="Cambria Math" w:hAnsi="Cambria Math"/>
              </w:rPr>
              <m:t>b</m:t>
            </m:r>
            <m:r>
              <m:rPr>
                <m:sty m:val="p"/>
              </m:rPr>
              <w:rPr>
                <w:rFonts w:ascii="Cambria Math" w:hAnsi="Cambria Math"/>
              </w:rPr>
              <m:t>,</m:t>
            </m:r>
            <m:r>
              <w:rPr>
                <w:rFonts w:ascii="Cambria Math" w:hAnsi="Cambria Math"/>
              </w:rPr>
              <m:t>n</m:t>
            </m:r>
          </m:sub>
        </m:sSub>
      </m:oMath>
      <w:r>
        <w:rPr>
          <w:rFonts w:ascii="Arial" w:hAnsi="Arial" w:cs="Arial"/>
          <w:color w:val="000000"/>
          <w:shd w:val="clear" w:color="auto" w:fill="FFFFFF"/>
        </w:rPr>
        <w:t xml:space="preserve"> the per-conformer and contextualized embeddings (dimension </w:t>
      </w:r>
      <m:oMath>
        <m:r>
          <w:rPr>
            <w:rFonts w:ascii="Cambria Math" w:hAnsi="Cambria Math"/>
          </w:rPr>
          <m:t>D</m:t>
        </m:r>
      </m:oMath>
      <w:r>
        <w:rPr>
          <w:rFonts w:ascii="Arial" w:hAnsi="Arial" w:cs="Arial"/>
          <w:color w:val="000000"/>
          <w:shd w:val="clear" w:color="auto" w:fill="FFFFFF"/>
        </w:rPr>
        <w:t xml:space="preserve"> = 256); </w:t>
      </w:r>
      <m:oMath>
        <m:r>
          <m:rPr>
            <m:sty m:val="bi"/>
          </m:rPr>
          <w:rPr>
            <w:rFonts w:ascii="Cambria Math" w:hAnsi="Cambria Math"/>
          </w:rPr>
          <m:t>γ</m:t>
        </m:r>
      </m:oMath>
      <w:r>
        <w:rPr>
          <w:rFonts w:ascii="Arial" w:hAnsi="Arial" w:cs="Arial"/>
          <w:color w:val="000000"/>
          <w:shd w:val="clear" w:color="auto" w:fill="FFFFFF"/>
        </w:rPr>
        <w:t xml:space="preserve"> the per-channel LayerScale vectors; </w:t>
      </w:r>
      <m:oMath>
        <m:sSub>
          <m:sSubPr>
            <m:ctrlPr>
              <w:rPr>
                <w:rFonts w:ascii="Cambria Math" w:hAnsi="Cambria Math"/>
              </w:rPr>
            </m:ctrlPr>
          </m:sSubPr>
          <m:e>
            <m:r>
              <m:rPr>
                <m:sty m:val="bi"/>
              </m:rPr>
              <w:rPr>
                <w:rFonts w:ascii="Cambria Math" w:hAnsi="Cambria Math"/>
              </w:rPr>
              <m:t>W</m:t>
            </m:r>
          </m:e>
          <m:sub>
            <m:r>
              <m:rPr>
                <m:sty m:val="p"/>
              </m:rPr>
              <w:rPr>
                <w:rFonts w:ascii="Cambria Math" w:hAnsi="Cambria Math"/>
              </w:rPr>
              <m:t>in</m:t>
            </m:r>
          </m:sub>
        </m:sSub>
      </m:oMath>
      <w:r>
        <w:rPr>
          <w:rFonts w:ascii="Arial" w:hAnsi="Arial" w:cs="Arial"/>
          <w:color w:val="000000"/>
          <w:shd w:val="clear" w:color="auto" w:fill="FFFFFF"/>
        </w:rPr>
        <w:t xml:space="preserve">, </w:t>
      </w:r>
      <m:oMath>
        <m:sSub>
          <m:sSubPr>
            <m:ctrlPr>
              <w:rPr>
                <w:rFonts w:ascii="Cambria Math" w:hAnsi="Cambria Math"/>
              </w:rPr>
            </m:ctrlPr>
          </m:sSubPr>
          <m:e>
            <m:r>
              <m:rPr>
                <m:sty m:val="bi"/>
              </m:rPr>
              <w:rPr>
                <w:rFonts w:ascii="Cambria Math" w:hAnsi="Cambria Math"/>
              </w:rPr>
              <m:t>W</m:t>
            </m:r>
          </m:e>
          <m:sub>
            <m:r>
              <w:rPr>
                <w:rFonts w:ascii="Cambria Math" w:hAnsi="Cambria Math"/>
              </w:rPr>
              <m:t>1</m:t>
            </m:r>
          </m:sub>
        </m:sSub>
      </m:oMath>
      <w:r>
        <w:rPr>
          <w:rFonts w:ascii="Arial" w:hAnsi="Arial" w:cs="Arial"/>
          <w:color w:val="000000"/>
          <w:shd w:val="clear" w:color="auto" w:fill="FFFFFF"/>
        </w:rPr>
        <w:t xml:space="preserve">, </w:t>
      </w:r>
      <m:oMath>
        <m:sSub>
          <m:sSubPr>
            <m:ctrlPr>
              <w:rPr>
                <w:rFonts w:ascii="Cambria Math" w:hAnsi="Cambria Math"/>
              </w:rPr>
            </m:ctrlPr>
          </m:sSubPr>
          <m:e>
            <m:r>
              <m:rPr>
                <m:sty m:val="bi"/>
              </m:rPr>
              <w:rPr>
                <w:rFonts w:ascii="Cambria Math" w:hAnsi="Cambria Math"/>
              </w:rPr>
              <m:t>W</m:t>
            </m:r>
          </m:e>
          <m:sub>
            <m:r>
              <w:rPr>
                <w:rFonts w:ascii="Cambria Math" w:hAnsi="Cambria Math"/>
              </w:rPr>
              <m:t>2</m:t>
            </m:r>
          </m:sub>
        </m:sSub>
      </m:oMath>
      <w:r>
        <w:rPr>
          <w:rFonts w:ascii="Arial" w:hAnsi="Arial" w:cs="Arial"/>
          <w:color w:val="000000"/>
          <w:shd w:val="clear" w:color="auto" w:fill="FFFFFF"/>
        </w:rPr>
        <w:t xml:space="preserve"> learned weight matrices; LN is LayerNorm, MHA masked multi-head self-attention, SiLU the sigmoid-linear unit, and </w:t>
      </w:r>
      <m:oMath>
        <m:r>
          <m:rPr>
            <m:sty m:val="p"/>
          </m:rPr>
          <w:rPr>
            <w:rFonts w:ascii="Cambria Math" w:hAnsi="Cambria Math"/>
          </w:rPr>
          <m:t>⊙</m:t>
        </m:r>
      </m:oMath>
      <w:r>
        <w:rPr>
          <w:rFonts w:ascii="Arial" w:hAnsi="Arial" w:cs="Arial"/>
          <w:color w:val="000000"/>
          <w:shd w:val="clear" w:color="auto" w:fill="FFFFFF"/>
        </w:rPr>
        <w:t xml:space="preserve"> the element-wise product.</w:t>
      </w:r>
    </w:p>
    <w:p w14:paraId="1A397758" w14:textId="4F34B8CB" w:rsidR="00232A42" w:rsidRDefault="00000000">
      <w:pPr>
        <w:spacing w:line="360" w:lineRule="auto"/>
        <w:ind w:firstLine="426"/>
        <w:jc w:val="both"/>
        <w:rPr>
          <w:rFonts w:ascii="Arial" w:hAnsi="Arial" w:cs="Arial"/>
          <w:color w:val="000000"/>
        </w:rPr>
      </w:pPr>
      <w:r>
        <w:rPr>
          <w:rFonts w:ascii="Arial" w:hAnsi="Arial" w:cs="Arial"/>
          <w:b/>
          <w:bCs/>
          <w:color w:val="000000"/>
          <w:shd w:val="clear" w:color="auto" w:fill="FFFFFF"/>
        </w:rPr>
        <w:t>Conformer clustering.</w:t>
      </w:r>
      <w:r>
        <w:rPr>
          <w:rFonts w:ascii="Arial" w:hAnsi="Arial" w:cs="Arial"/>
          <w:color w:val="000000"/>
          <w:shd w:val="clear" w:color="auto" w:fill="FFFFFF"/>
        </w:rPr>
        <w:t xml:space="preserve"> Before aggregation, the </w:t>
      </w:r>
      <m:oMath>
        <m:sSub>
          <m:sSubPr>
            <m:ctrlPr>
              <w:rPr>
                <w:rFonts w:ascii="Cambria Math" w:hAnsi="Cambria Math"/>
              </w:rPr>
            </m:ctrlPr>
          </m:sSubPr>
          <m:e>
            <m:r>
              <w:rPr>
                <w:rFonts w:ascii="Cambria Math" w:hAnsi="Cambria Math"/>
              </w:rPr>
              <m:t>N</m:t>
            </m:r>
          </m:e>
          <m:sub>
            <m:r>
              <w:rPr>
                <w:rFonts w:ascii="Cambria Math" w:hAnsi="Cambria Math"/>
              </w:rPr>
              <m:t>b</m:t>
            </m:r>
          </m:sub>
        </m:sSub>
      </m:oMath>
      <w:r>
        <w:rPr>
          <w:rFonts w:ascii="Arial" w:hAnsi="Arial" w:cs="Arial"/>
          <w:color w:val="000000"/>
          <w:shd w:val="clear" w:color="auto" w:fill="FFFFFF"/>
        </w:rPr>
        <w:t xml:space="preserve"> conformers of each bag are partitioned into </w:t>
      </w:r>
      <m:oMath>
        <m:sSub>
          <m:sSubPr>
            <m:ctrlPr>
              <w:rPr>
                <w:rFonts w:ascii="Cambria Math" w:hAnsi="Cambria Math"/>
              </w:rPr>
            </m:ctrlPr>
          </m:sSubPr>
          <m:e>
            <m:r>
              <w:rPr>
                <w:rFonts w:ascii="Cambria Math" w:hAnsi="Cambria Math"/>
              </w:rPr>
              <m:t>K</m:t>
            </m:r>
          </m:e>
          <m:sub>
            <m:r>
              <w:rPr>
                <w:rFonts w:ascii="Cambria Math" w:hAnsi="Cambria Math"/>
              </w:rPr>
              <m:t>b</m:t>
            </m:r>
          </m:sub>
        </m:sSub>
        <m:r>
          <m:rPr>
            <m:sty m:val="p"/>
          </m:rPr>
          <w:rPr>
            <w:rFonts w:ascii="Cambria Math" w:hAnsi="Cambria Math"/>
          </w:rPr>
          <m:t>≤</m:t>
        </m:r>
        <m:r>
          <w:rPr>
            <w:rFonts w:ascii="Cambria Math" w:hAnsi="Cambria Math"/>
          </w:rPr>
          <m:t>6</m:t>
        </m:r>
      </m:oMath>
      <w:r>
        <w:rPr>
          <w:rFonts w:ascii="Arial" w:hAnsi="Arial" w:cs="Arial"/>
          <w:color w:val="000000"/>
          <w:shd w:val="clear" w:color="auto" w:fill="FFFFFF"/>
        </w:rPr>
        <w:t xml:space="preserve">. Each cluster </w:t>
      </w:r>
      <m:oMath>
        <m:sSub>
          <m:sSubPr>
            <m:ctrlPr>
              <w:rPr>
                <w:rFonts w:ascii="Cambria Math" w:hAnsi="Cambria Math"/>
              </w:rPr>
            </m:ctrlPr>
          </m:sSubPr>
          <m:e>
            <m:r>
              <w:rPr>
                <w:rFonts w:ascii="Cambria Math" w:hAnsi="Cambria Math"/>
              </w:rPr>
              <m:t>C</m:t>
            </m:r>
          </m:e>
          <m:sub>
            <m:r>
              <w:rPr>
                <w:rFonts w:ascii="Cambria Math" w:hAnsi="Cambria Math"/>
              </w:rPr>
              <m:t>b</m:t>
            </m:r>
            <m:r>
              <m:rPr>
                <m:sty m:val="p"/>
              </m:rPr>
              <w:rPr>
                <w:rFonts w:ascii="Cambria Math" w:hAnsi="Cambria Math"/>
              </w:rPr>
              <m:t>,</m:t>
            </m:r>
            <m:r>
              <w:rPr>
                <w:rFonts w:ascii="Cambria Math" w:hAnsi="Cambria Math"/>
              </w:rPr>
              <m:t>k</m:t>
            </m:r>
          </m:sub>
        </m:sSub>
      </m:oMath>
      <w:r>
        <w:rPr>
          <w:rFonts w:ascii="Arial" w:hAnsi="Arial" w:cs="Arial"/>
          <w:color w:val="000000"/>
          <w:shd w:val="clear" w:color="auto" w:fill="FFFFFF"/>
        </w:rPr>
        <w:t xml:space="preserve"> is summarized by the mean of its member embeddings:</w:t>
      </w:r>
    </w:p>
    <w:p w14:paraId="449653B0" w14:textId="77777777" w:rsidR="00232A42" w:rsidRDefault="00000000">
      <w:pPr>
        <w:spacing w:line="360" w:lineRule="auto"/>
        <w:jc w:val="center"/>
        <w:rPr>
          <w:rFonts w:ascii="Arial" w:hAnsi="Arial" w:cs="Arial"/>
        </w:rPr>
      </w:pPr>
      <m:oMath>
        <m:sSub>
          <m:sSubPr>
            <m:ctrlPr>
              <w:rPr>
                <w:rFonts w:ascii="Cambria Math" w:hAnsi="Cambria Math"/>
              </w:rPr>
            </m:ctrlPr>
          </m:sSubPr>
          <m:e>
            <m:r>
              <m:rPr>
                <m:sty m:val="bi"/>
              </m:rPr>
              <w:rPr>
                <w:rFonts w:ascii="Cambria Math" w:hAnsi="Cambria Math"/>
              </w:rPr>
              <m:t>c</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r>
                  <m:rPr>
                    <m:sty m:val="p"/>
                  </m:rPr>
                  <w:rPr>
                    <w:rFonts w:ascii="Cambria Math" w:hAnsi="Cambria Math"/>
                  </w:rPr>
                  <m:t>,</m:t>
                </m:r>
                <m:r>
                  <w:rPr>
                    <w:rFonts w:ascii="Cambria Math" w:hAnsi="Cambria Math"/>
                  </w:rPr>
                  <m:t>k</m:t>
                </m:r>
              </m:sub>
            </m:sSub>
          </m:sub>
          <m:sup>
            <m:r>
              <w:rPr>
                <w:rFonts w:ascii="Cambria Math" w:hAnsi="Cambria Math"/>
              </w:rPr>
              <m:t>​</m:t>
            </m:r>
          </m:sup>
          <m:e>
            <m:sSub>
              <m:sSubPr>
                <m:ctrlPr>
                  <w:rPr>
                    <w:rFonts w:ascii="Cambria Math" w:hAnsi="Cambria Math"/>
                  </w:rPr>
                </m:ctrlPr>
              </m:sSubPr>
              <m:e>
                <m:r>
                  <m:rPr>
                    <m:sty m:val="bi"/>
                  </m:rPr>
                  <w:rPr>
                    <w:rFonts w:ascii="Cambria Math" w:hAnsi="Cambria Math"/>
                  </w:rPr>
                  <m:t>z</m:t>
                </m:r>
              </m:e>
              <m:sub>
                <m:r>
                  <w:rPr>
                    <w:rFonts w:ascii="Cambria Math" w:hAnsi="Cambria Math"/>
                  </w:rPr>
                  <m:t>b</m:t>
                </m:r>
                <m:r>
                  <m:rPr>
                    <m:sty m:val="p"/>
                  </m:rPr>
                  <w:rPr>
                    <w:rFonts w:ascii="Cambria Math" w:hAnsi="Cambria Math"/>
                  </w:rPr>
                  <m:t>,</m:t>
                </m:r>
                <m:r>
                  <w:rPr>
                    <w:rFonts w:ascii="Cambria Math" w:hAnsi="Cambria Math"/>
                  </w:rPr>
                  <m:t>n</m:t>
                </m:r>
              </m:sub>
            </m:sSub>
          </m:e>
        </m:nary>
      </m:oMath>
      <w:r>
        <w:rPr>
          <w:rFonts w:ascii="Arial" w:hAnsi="Arial" w:cs="Arial"/>
          <w:color w:val="000000"/>
          <w:shd w:val="clear" w:color="auto" w:fill="FFFFFF"/>
        </w:rPr>
        <w:t>  (5)</w:t>
      </w:r>
    </w:p>
    <w:p w14:paraId="36B22722" w14:textId="772E5A25" w:rsidR="00232A42" w:rsidRDefault="00000000">
      <w:pPr>
        <w:spacing w:line="360" w:lineRule="auto"/>
        <w:ind w:firstLine="426"/>
        <w:jc w:val="both"/>
        <w:rPr>
          <w:rFonts w:ascii="Arial" w:hAnsi="Arial" w:cs="Arial"/>
          <w:color w:val="000000"/>
        </w:rPr>
      </w:pPr>
      <w:r>
        <w:rPr>
          <w:rFonts w:ascii="Arial" w:hAnsi="Arial" w:cs="Arial"/>
          <w:b/>
          <w:bCs/>
          <w:color w:val="000000"/>
          <w:shd w:val="clear" w:color="auto" w:fill="FFFFFF"/>
        </w:rPr>
        <w:lastRenderedPageBreak/>
        <w:t>Hierarchical attention aggregator.</w:t>
      </w:r>
      <w:r>
        <w:rPr>
          <w:rFonts w:ascii="Arial" w:hAnsi="Arial" w:cs="Arial"/>
          <w:color w:val="000000"/>
          <w:shd w:val="clear" w:color="auto" w:fill="FFFFFF"/>
        </w:rPr>
        <w:t xml:space="preserve"> A single </w:t>
      </w:r>
      <w:r w:rsidR="003C072D" w:rsidRPr="003C072D">
        <w:rPr>
          <w:rFonts w:ascii="Arial" w:hAnsi="Arial" w:cs="Arial"/>
          <w:color w:val="000000"/>
          <w:shd w:val="clear" w:color="auto" w:fill="FFFFFF"/>
        </w:rPr>
        <w:t>learnable pooling query</w:t>
      </w:r>
      <w:r>
        <w:rPr>
          <w:rFonts w:ascii="Arial" w:hAnsi="Arial" w:cs="Arial"/>
          <w:color w:val="000000"/>
          <w:shd w:val="clear" w:color="auto" w:fill="FFFFFF"/>
        </w:rPr>
        <w:t xml:space="preserve"> first cross-attends over the cluster tokens to score clusters, then a refined query cross-attends over the individual conformers. Both stages use temperature-scaled scaled-dot-product cross-attention; attention is averaged over </w:t>
      </w:r>
      <w:r w:rsidR="003C072D">
        <w:rPr>
          <w:rFonts w:ascii="Arial" w:hAnsi="Arial" w:cs="Arial"/>
          <w:color w:val="000000"/>
          <w:shd w:val="clear" w:color="auto" w:fill="FFFFFF"/>
        </w:rPr>
        <w:t xml:space="preserve">4 </w:t>
      </w:r>
      <w:r>
        <w:rPr>
          <w:rFonts w:ascii="Arial" w:hAnsi="Arial" w:cs="Arial"/>
          <w:color w:val="000000"/>
          <w:shd w:val="clear" w:color="auto" w:fill="FFFFFF"/>
        </w:rPr>
        <w:t>heads and renormalized over valid elements. The cluster-stage attention is</w:t>
      </w:r>
    </w:p>
    <w:p w14:paraId="6B9412D9" w14:textId="77777777" w:rsidR="00232A42" w:rsidRDefault="00000000">
      <w:pPr>
        <w:spacing w:line="360" w:lineRule="auto"/>
        <w:jc w:val="center"/>
        <w:rPr>
          <w:rFonts w:ascii="Arial" w:hAnsi="Arial" w:cs="Arial"/>
        </w:rPr>
      </w:pPr>
      <m:oMath>
        <m:sSub>
          <m:sSubPr>
            <m:ctrlPr>
              <w:rPr>
                <w:rFonts w:ascii="Cambria Math" w:hAnsi="Cambria Math"/>
              </w:rPr>
            </m:ctrlPr>
          </m:sSubPr>
          <m:e>
            <m:r>
              <w:rPr>
                <w:rFonts w:ascii="Cambria Math" w:hAnsi="Cambria Math"/>
              </w:rPr>
              <m:t>β</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softmax</m:t>
            </m:r>
          </m:e>
          <m:lim>
            <m:r>
              <w:rPr>
                <w:rFonts w:ascii="Cambria Math" w:hAnsi="Cambria Math"/>
              </w:rPr>
              <m:t>k</m:t>
            </m:r>
          </m:lim>
        </m:limLow>
        <m: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m:rPr>
                    <m:sty m:val="bi"/>
                  </m:rPr>
                  <w:rPr>
                    <w:rFonts w:ascii="Cambria Math" w:hAnsi="Cambria Math"/>
                  </w:rPr>
                  <m:t>q</m:t>
                </m:r>
                <m:sSub>
                  <m:sSubPr>
                    <m:ctrlPr>
                      <w:rPr>
                        <w:rFonts w:ascii="Cambria Math" w:hAnsi="Cambria Math"/>
                      </w:rPr>
                    </m:ctrlPr>
                  </m:sSubPr>
                  <m:e>
                    <m:r>
                      <m:rPr>
                        <m:sty m:val="bi"/>
                      </m:rPr>
                      <w:rPr>
                        <w:rFonts w:ascii="Cambria Math" w:hAnsi="Cambria Math"/>
                      </w:rPr>
                      <m:t>W</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b</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bi"/>
                      </m:rPr>
                      <w:rPr>
                        <w:rFonts w:ascii="Cambria Math" w:hAnsi="Cambria Math"/>
                      </w:rPr>
                      <m:t>W</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num>
              <m:den>
                <m:r>
                  <w:rPr>
                    <w:rFonts w:ascii="Cambria Math" w:hAnsi="Cambria Math"/>
                  </w:rPr>
                  <m:t>τ</m:t>
                </m:r>
                <m:rad>
                  <m:radPr>
                    <m:degHide m:val="1"/>
                    <m:ctrlPr>
                      <w:rPr>
                        <w:rFonts w:ascii="Cambria Math" w:hAnsi="Cambria Math"/>
                      </w:rPr>
                    </m:ctrlPr>
                  </m:radPr>
                  <m:deg/>
                  <m:e>
                    <m:r>
                      <w:rPr>
                        <w:rFonts w:ascii="Cambria Math" w:hAnsi="Cambria Math"/>
                      </w:rPr>
                      <m:t>d</m:t>
                    </m:r>
                  </m:e>
                </m:rad>
              </m:den>
            </m:f>
          </m:e>
        </m:d>
      </m:oMath>
      <w:r>
        <w:rPr>
          <w:rFonts w:ascii="Arial" w:hAnsi="Arial" w:cs="Arial"/>
          <w:color w:val="000000"/>
          <w:shd w:val="clear" w:color="auto" w:fill="FFFFFF"/>
        </w:rPr>
        <w:t>  (6)</w:t>
      </w:r>
    </w:p>
    <w:p w14:paraId="1C80740E" w14:textId="77777777" w:rsidR="00232A42" w:rsidRDefault="00000000">
      <w:pPr>
        <w:spacing w:line="360" w:lineRule="auto"/>
        <w:ind w:firstLine="426"/>
        <w:jc w:val="both"/>
        <w:rPr>
          <w:rFonts w:ascii="Arial" w:hAnsi="Arial" w:cs="Arial"/>
          <w:color w:val="000000"/>
        </w:rPr>
      </w:pPr>
      <w:r>
        <w:rPr>
          <w:rFonts w:ascii="Arial" w:hAnsi="Arial" w:cs="Arial"/>
          <w:color w:val="000000"/>
          <w:shd w:val="clear" w:color="auto" w:fill="FFFFFF"/>
        </w:rPr>
        <w:t>The updated cluster-stage query representation and the cluster-context vector are concatenated and projected to form the refined query:</w:t>
      </w:r>
    </w:p>
    <w:p w14:paraId="06F0EE9E" w14:textId="77777777" w:rsidR="00232A42" w:rsidRDefault="00000000">
      <w:pPr>
        <w:spacing w:line="360" w:lineRule="auto"/>
        <w:jc w:val="center"/>
        <w:rPr>
          <w:rFonts w:ascii="Arial" w:hAnsi="Arial" w:cs="Arial"/>
        </w:rPr>
      </w:pPr>
      <m:oMath>
        <m:sSubSup>
          <m:sSubSupPr>
            <m:ctrlPr>
              <w:rPr>
                <w:rFonts w:ascii="Cambria Math" w:hAnsi="Cambria Math"/>
              </w:rPr>
            </m:ctrlPr>
          </m:sSubSupPr>
          <m:e>
            <m:r>
              <m:rPr>
                <m:sty m:val="bi"/>
              </m:rPr>
              <w:rPr>
                <w:rFonts w:ascii="Cambria Math" w:hAnsi="Cambria Math"/>
              </w:rPr>
              <m:t>q</m:t>
            </m:r>
          </m:e>
          <m:sub>
            <m:r>
              <w:rPr>
                <w:rFonts w:ascii="Cambria Math" w:hAnsi="Cambria Math"/>
              </w:rPr>
              <m:t>b</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r</m:t>
            </m:r>
          </m:sub>
        </m:sSub>
        <m:r>
          <w:rPr>
            <w:rFonts w:ascii="Cambria Math" w:hAnsi="Cambria Math"/>
          </w:rPr>
          <m:t> </m:t>
        </m:r>
        <m:d>
          <m:dPr>
            <m:begChr m:val="["/>
            <m:endChr m:val="]"/>
            <m:ctrlPr>
              <w:rPr>
                <w:rFonts w:ascii="Cambria Math" w:hAnsi="Cambria Math"/>
              </w:rPr>
            </m:ctrlPr>
          </m:dPr>
          <m:e>
            <m:r>
              <w:rPr>
                <w:rFonts w:ascii="Cambria Math" w:hAnsi="Cambria Math"/>
              </w:rPr>
              <m:t> </m:t>
            </m:r>
            <m:sSubSup>
              <m:sSubSupPr>
                <m:ctrlPr>
                  <w:rPr>
                    <w:rFonts w:ascii="Cambria Math" w:hAnsi="Cambria Math"/>
                  </w:rPr>
                </m:ctrlPr>
              </m:sSubSupPr>
              <m:e>
                <m:r>
                  <m:rPr>
                    <m:sty m:val="bi"/>
                  </m:rPr>
                  <w:rPr>
                    <w:rFonts w:ascii="Cambria Math" w:hAnsi="Cambria Math"/>
                  </w:rPr>
                  <m:t>q</m:t>
                </m:r>
              </m:e>
              <m:sub>
                <m:r>
                  <w:rPr>
                    <w:rFonts w:ascii="Cambria Math" w:hAnsi="Cambria Math"/>
                  </w:rPr>
                  <m:t>b</m:t>
                </m:r>
              </m:sub>
              <m:sup>
                <m:r>
                  <m:rPr>
                    <m:sty m:val="p"/>
                  </m:rPr>
                  <w:rPr>
                    <w:rFonts w:ascii="Cambria Math" w:hAnsi="Cambria Math"/>
                  </w:rPr>
                  <m:t>clus</m:t>
                </m:r>
              </m:sup>
            </m:sSubSup>
            <m:r>
              <w:rPr>
                <w:rFonts w:ascii="Cambria Math" w:hAnsi="Cambria Math"/>
              </w:rPr>
              <m:t> </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β</m:t>
                    </m:r>
                  </m:e>
                  <m:sub>
                    <m:r>
                      <w:rPr>
                        <w:rFonts w:ascii="Cambria Math" w:hAnsi="Cambria Math"/>
                      </w:rPr>
                      <m:t>b</m:t>
                    </m:r>
                    <m:r>
                      <m:rPr>
                        <m:sty m:val="p"/>
                      </m:rPr>
                      <w:rPr>
                        <w:rFonts w:ascii="Cambria Math" w:hAnsi="Cambria Math"/>
                      </w:rPr>
                      <m:t>,</m:t>
                    </m:r>
                    <m:r>
                      <w:rPr>
                        <w:rFonts w:ascii="Cambria Math" w:hAnsi="Cambria Math"/>
                      </w:rPr>
                      <m:t>k</m:t>
                    </m:r>
                  </m:sub>
                </m:sSub>
              </m:e>
            </m:nary>
            <m:r>
              <w:rPr>
                <w:rFonts w:ascii="Cambria Math" w:hAnsi="Cambria Math"/>
              </w:rPr>
              <m:t> </m:t>
            </m:r>
            <m:sSub>
              <m:sSubPr>
                <m:ctrlPr>
                  <w:rPr>
                    <w:rFonts w:ascii="Cambria Math" w:hAnsi="Cambria Math"/>
                  </w:rPr>
                </m:ctrlPr>
              </m:sSubPr>
              <m:e>
                <m:r>
                  <m:rPr>
                    <m:sty m:val="bi"/>
                  </m:rPr>
                  <w:rPr>
                    <w:rFonts w:ascii="Cambria Math" w:hAnsi="Cambria Math"/>
                  </w:rPr>
                  <m:t>c</m:t>
                </m:r>
              </m:e>
              <m:sub>
                <m:r>
                  <w:rPr>
                    <w:rFonts w:ascii="Cambria Math" w:hAnsi="Cambria Math"/>
                  </w:rPr>
                  <m:t>b</m:t>
                </m:r>
                <m:r>
                  <m:rPr>
                    <m:sty m:val="p"/>
                  </m:rPr>
                  <w:rPr>
                    <w:rFonts w:ascii="Cambria Math" w:hAnsi="Cambria Math"/>
                  </w:rPr>
                  <m:t>,</m:t>
                </m:r>
                <m:r>
                  <w:rPr>
                    <w:rFonts w:ascii="Cambria Math" w:hAnsi="Cambria Math"/>
                  </w:rPr>
                  <m:t>k</m:t>
                </m:r>
              </m:sub>
            </m:sSub>
            <m:r>
              <w:rPr>
                <w:rFonts w:ascii="Cambria Math" w:hAnsi="Cambria Math"/>
              </w:rPr>
              <m:t> </m:t>
            </m:r>
          </m:e>
        </m:d>
      </m:oMath>
      <w:r>
        <w:rPr>
          <w:rFonts w:ascii="Arial" w:hAnsi="Arial" w:cs="Arial"/>
          <w:color w:val="000000"/>
          <w:shd w:val="clear" w:color="auto" w:fill="FFFFFF"/>
        </w:rPr>
        <w:t>  (7)</w:t>
      </w:r>
    </w:p>
    <w:p w14:paraId="1621C84B" w14:textId="273AD999" w:rsidR="00232A42" w:rsidRDefault="00000000">
      <w:pPr>
        <w:spacing w:line="360" w:lineRule="auto"/>
        <w:ind w:firstLine="426"/>
        <w:jc w:val="both"/>
        <w:rPr>
          <w:rFonts w:ascii="Arial" w:hAnsi="Arial" w:cs="Arial"/>
          <w:color w:val="000000"/>
        </w:rPr>
      </w:pPr>
      <w:r>
        <w:rPr>
          <w:rFonts w:ascii="Arial" w:hAnsi="Arial" w:cs="Arial"/>
          <w:color w:val="000000"/>
          <w:shd w:val="clear" w:color="auto" w:fill="FFFFFF"/>
        </w:rPr>
        <w:t xml:space="preserve">The refined query then produces the per-conformer attention; the raw instance attention is gated by the cluster mass of each conformer’s cluster </w:t>
      </w:r>
      <m:oMath>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oMath>
      <w:r>
        <w:rPr>
          <w:rFonts w:ascii="Arial" w:hAnsi="Arial" w:cs="Arial"/>
          <w:color w:val="000000"/>
          <w:shd w:val="clear" w:color="auto" w:fill="FFFFFF"/>
        </w:rPr>
        <w:t xml:space="preserve"> and renormalized:</w:t>
      </w:r>
    </w:p>
    <w:p w14:paraId="290DA9A8" w14:textId="77777777" w:rsidR="00232A42" w:rsidRDefault="00000000">
      <w:pPr>
        <w:spacing w:line="360" w:lineRule="auto"/>
        <w:jc w:val="center"/>
        <w:rPr>
          <w:rFonts w:ascii="Arial" w:hAnsi="Arial" w:cs="Arial"/>
        </w:rPr>
      </w:pPr>
      <m:oMath>
        <m:sSubSup>
          <m:sSubSupPr>
            <m:ctrlPr>
              <w:rPr>
                <w:rFonts w:ascii="Cambria Math" w:hAnsi="Cambria Math"/>
              </w:rPr>
            </m:ctrlPr>
          </m:sSubSupPr>
          <m:e>
            <m:r>
              <w:rPr>
                <w:rFonts w:ascii="Cambria Math" w:hAnsi="Cambria Math"/>
              </w:rPr>
              <m:t>α</m:t>
            </m:r>
          </m:e>
          <m:sub>
            <m:r>
              <w:rPr>
                <w:rFonts w:ascii="Cambria Math" w:hAnsi="Cambria Math"/>
              </w:rPr>
              <m:t>b</m:t>
            </m:r>
            <m:r>
              <m:rPr>
                <m:sty m:val="p"/>
              </m:rPr>
              <w:rPr>
                <w:rFonts w:ascii="Cambria Math" w:hAnsi="Cambria Math"/>
              </w:rPr>
              <m:t>,</m:t>
            </m:r>
            <m:r>
              <w:rPr>
                <w:rFonts w:ascii="Cambria Math" w:hAnsi="Cambria Math"/>
              </w:rPr>
              <m:t>n</m:t>
            </m:r>
          </m:sub>
          <m:sup>
            <m:r>
              <m:rPr>
                <m:sty m:val="p"/>
              </m:rPr>
              <w:rPr>
                <w:rFonts w:ascii="Cambria Math" w:hAnsi="Cambria Math"/>
              </w:rPr>
              <m:t>raw</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softmax</m:t>
            </m:r>
          </m:e>
          <m:lim>
            <m:r>
              <w:rPr>
                <w:rFonts w:ascii="Cambria Math" w:hAnsi="Cambria Math"/>
              </w:rPr>
              <m:t>n</m:t>
            </m:r>
          </m:lim>
        </m:limLow>
        <m: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m:rPr>
                        <m:sty m:val="bi"/>
                      </m:rPr>
                      <w:rPr>
                        <w:rFonts w:ascii="Cambria Math" w:hAnsi="Cambria Math"/>
                      </w:rPr>
                      <m:t>q</m:t>
                    </m:r>
                  </m:e>
                  <m:sub>
                    <m:r>
                      <w:rPr>
                        <w:rFonts w:ascii="Cambria Math" w:hAnsi="Cambria Math"/>
                      </w:rPr>
                      <m:t>b</m:t>
                    </m:r>
                  </m:sub>
                  <m:sup>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W</m:t>
                    </m:r>
                  </m:e>
                  <m:sub>
                    <m:r>
                      <w:rPr>
                        <w:rFonts w:ascii="Cambria Math" w:hAnsi="Cambria Math"/>
                      </w:rPr>
                      <m:t>Q</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bi"/>
                      </m:rPr>
                      <w:rPr>
                        <w:rFonts w:ascii="Cambria Math" w:hAnsi="Cambria Math"/>
                      </w:rPr>
                      <m:t>z</m:t>
                    </m:r>
                  </m:e>
                  <m:sub>
                    <m:r>
                      <w:rPr>
                        <w:rFonts w:ascii="Cambria Math" w:hAnsi="Cambria Math"/>
                      </w:rPr>
                      <m:t>b</m:t>
                    </m:r>
                    <m:r>
                      <m:rPr>
                        <m:sty m:val="p"/>
                      </m:rPr>
                      <w:rPr>
                        <w:rFonts w:ascii="Cambria Math" w:hAnsi="Cambria Math"/>
                      </w:rPr>
                      <m:t>,</m:t>
                    </m:r>
                    <m:r>
                      <w:rPr>
                        <w:rFonts w:ascii="Cambria Math" w:hAnsi="Cambria Math"/>
                      </w:rPr>
                      <m:t>n</m:t>
                    </m:r>
                  </m:sub>
                </m:sSub>
                <m:sSubSup>
                  <m:sSubSupPr>
                    <m:ctrlPr>
                      <w:rPr>
                        <w:rFonts w:ascii="Cambria Math" w:hAnsi="Cambria Math"/>
                      </w:rPr>
                    </m:ctrlPr>
                  </m:sSubSupPr>
                  <m:e>
                    <m:r>
                      <m:rPr>
                        <m:sty m:val="bi"/>
                      </m:rPr>
                      <w:rPr>
                        <w:rFonts w:ascii="Cambria Math" w:hAnsi="Cambria Math"/>
                      </w:rPr>
                      <m:t>W</m:t>
                    </m:r>
                  </m:e>
                  <m:sub>
                    <m:r>
                      <w:rPr>
                        <w:rFonts w:ascii="Cambria Math" w:hAnsi="Cambria Math"/>
                      </w:rPr>
                      <m:t>K</m:t>
                    </m:r>
                  </m:sub>
                  <m:sup>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num>
              <m:den>
                <m:r>
                  <w:rPr>
                    <w:rFonts w:ascii="Cambria Math" w:hAnsi="Cambria Math"/>
                  </w:rPr>
                  <m:t>τ</m:t>
                </m:r>
                <m:rad>
                  <m:radPr>
                    <m:degHide m:val="1"/>
                    <m:ctrlPr>
                      <w:rPr>
                        <w:rFonts w:ascii="Cambria Math" w:hAnsi="Cambria Math"/>
                      </w:rPr>
                    </m:ctrlPr>
                  </m:radPr>
                  <m:deg/>
                  <m:e>
                    <m:r>
                      <w:rPr>
                        <w:rFonts w:ascii="Cambria Math" w:hAnsi="Cambria Math"/>
                      </w:rPr>
                      <m:t>d</m:t>
                    </m:r>
                  </m:e>
                </m:rad>
              </m:den>
            </m:f>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α</m:t>
            </m:r>
          </m:e>
          <m:sub>
            <m:r>
              <w:rPr>
                <w:rFonts w:ascii="Cambria Math" w:hAnsi="Cambria Math"/>
              </w:rPr>
              <m:t>b</m:t>
            </m:r>
            <m:r>
              <m:rPr>
                <m:sty m:val="p"/>
              </m:rPr>
              <w:rPr>
                <w:rFonts w:ascii="Cambria Math" w:hAnsi="Cambria Math"/>
              </w:rPr>
              <m:t>,</m:t>
            </m:r>
            <m:r>
              <w:rPr>
                <w:rFonts w:ascii="Cambria Math" w:hAnsi="Cambria Math"/>
              </w:rPr>
              <m:t>n</m:t>
            </m:r>
          </m:sub>
          <m:sup>
            <m:r>
              <m:rPr>
                <m:sty m:val="p"/>
              </m:rPr>
              <w:rPr>
                <w:rFonts w:ascii="Cambria Math" w:hAnsi="Cambria Math"/>
              </w:rPr>
              <m:t>ref</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b</m:t>
            </m:r>
            <m:r>
              <m:rPr>
                <m:sty m:val="p"/>
              </m:rPr>
              <w:rPr>
                <w:rFonts w:ascii="Cambria Math" w:hAnsi="Cambria Math"/>
              </w:rPr>
              <m:t>,</m:t>
            </m:r>
            <m:r>
              <w:rPr>
                <w:rFonts w:ascii="Cambria Math" w:hAnsi="Cambria Math"/>
              </w:rPr>
              <m:t>n</m:t>
            </m:r>
          </m:sub>
          <m:sup>
            <m:r>
              <m:rPr>
                <m:sty m:val="p"/>
              </m:rPr>
              <w:rPr>
                <w:rFonts w:ascii="Cambria Math" w:hAnsi="Cambria Math"/>
              </w:rPr>
              <m:t>raw</m:t>
            </m:r>
          </m:sup>
        </m:sSubSup>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b</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ub>
        </m:sSub>
      </m:oMath>
      <w:r>
        <w:rPr>
          <w:rFonts w:ascii="Arial" w:hAnsi="Arial" w:cs="Arial"/>
          <w:color w:val="000000"/>
          <w:shd w:val="clear" w:color="auto" w:fill="FFFFFF"/>
        </w:rPr>
        <w:t>  (8)</w:t>
      </w:r>
    </w:p>
    <w:p w14:paraId="17B09F47" w14:textId="7292386A" w:rsidR="00232A42" w:rsidRDefault="00000000">
      <w:pPr>
        <w:spacing w:line="360" w:lineRule="auto"/>
        <w:ind w:firstLine="426"/>
        <w:jc w:val="both"/>
        <w:rPr>
          <w:rFonts w:ascii="Arial" w:hAnsi="Arial" w:cs="Arial"/>
          <w:color w:val="000000"/>
        </w:rPr>
      </w:pPr>
      <w:r>
        <w:rPr>
          <w:rFonts w:ascii="Arial" w:hAnsi="Arial" w:cs="Arial"/>
          <w:b/>
          <w:bCs/>
          <w:color w:val="000000"/>
          <w:shd w:val="clear" w:color="auto" w:fill="FFFFFF"/>
        </w:rPr>
        <w:t xml:space="preserve">where </w:t>
      </w:r>
      <m:oMath>
        <m:r>
          <m:rPr>
            <m:sty m:val="bi"/>
          </m:rPr>
          <w:rPr>
            <w:rFonts w:ascii="Cambria Math" w:hAnsi="Cambria Math"/>
          </w:rPr>
          <m:t>q</m:t>
        </m:r>
      </m:oMath>
      <w:r>
        <w:rPr>
          <w:rFonts w:ascii="Arial" w:hAnsi="Arial" w:cs="Arial"/>
          <w:color w:val="000000"/>
          <w:shd w:val="clear" w:color="auto" w:fill="FFFFFF"/>
        </w:rPr>
        <w:t xml:space="preserve"> is the learned </w:t>
      </w:r>
      <w:r w:rsidR="00BD379B">
        <w:rPr>
          <w:rFonts w:ascii="Arial" w:hAnsi="Arial" w:cs="Arial"/>
          <w:color w:val="000000"/>
          <w:shd w:val="clear" w:color="auto" w:fill="FFFFFF"/>
        </w:rPr>
        <w:t>pooling</w:t>
      </w:r>
      <w:r>
        <w:rPr>
          <w:rFonts w:ascii="Arial" w:hAnsi="Arial" w:cs="Arial"/>
          <w:color w:val="000000"/>
          <w:shd w:val="clear" w:color="auto" w:fill="FFFFFF"/>
        </w:rPr>
        <w:t xml:space="preserve"> query token and </w:t>
      </w:r>
      <m:oMath>
        <m:sSubSup>
          <m:sSubSupPr>
            <m:ctrlPr>
              <w:rPr>
                <w:rFonts w:ascii="Cambria Math" w:hAnsi="Cambria Math"/>
              </w:rPr>
            </m:ctrlPr>
          </m:sSubSupPr>
          <m:e>
            <m:r>
              <m:rPr>
                <m:sty m:val="bi"/>
              </m:rPr>
              <w:rPr>
                <w:rFonts w:ascii="Cambria Math" w:hAnsi="Cambria Math"/>
              </w:rPr>
              <m:t>q</m:t>
            </m:r>
          </m:e>
          <m:sub>
            <m:r>
              <w:rPr>
                <w:rFonts w:ascii="Cambria Math" w:hAnsi="Cambria Math"/>
              </w:rPr>
              <m:t>b</m:t>
            </m:r>
          </m:sub>
          <m:sup>
            <m:r>
              <m:rPr>
                <m:sty m:val="p"/>
              </m:rPr>
              <w:rPr>
                <w:rFonts w:ascii="Cambria Math" w:hAnsi="Cambria Math"/>
              </w:rPr>
              <m:t>'</m:t>
            </m:r>
          </m:sup>
        </m:sSubSup>
      </m:oMath>
      <w:r>
        <w:rPr>
          <w:rFonts w:ascii="Arial" w:hAnsi="Arial" w:cs="Arial"/>
          <w:color w:val="000000"/>
          <w:shd w:val="clear" w:color="auto" w:fill="FFFFFF"/>
        </w:rPr>
        <w:t xml:space="preserve"> the cluster-refined query; </w:t>
      </w:r>
      <m:oMath>
        <m:sSub>
          <m:sSubPr>
            <m:ctrlPr>
              <w:rPr>
                <w:rFonts w:ascii="Cambria Math" w:hAnsi="Cambria Math"/>
              </w:rPr>
            </m:ctrlPr>
          </m:sSubPr>
          <m:e>
            <m:r>
              <m:rPr>
                <m:sty m:val="bi"/>
              </m:rPr>
              <w:rPr>
                <w:rFonts w:ascii="Cambria Math" w:hAnsi="Cambria Math"/>
              </w:rPr>
              <m:t>W</m:t>
            </m:r>
          </m:e>
          <m:sub>
            <m:r>
              <w:rPr>
                <w:rFonts w:ascii="Cambria Math" w:hAnsi="Cambria Math"/>
              </w:rPr>
              <m:t>Q</m:t>
            </m:r>
          </m:sub>
        </m:sSub>
      </m:oMath>
      <w:r>
        <w:rPr>
          <w:rFonts w:ascii="Arial" w:hAnsi="Arial" w:cs="Arial"/>
          <w:color w:val="000000"/>
          <w:shd w:val="clear" w:color="auto" w:fill="FFFFFF"/>
        </w:rPr>
        <w:t xml:space="preserve">, </w:t>
      </w:r>
      <m:oMath>
        <m:sSub>
          <m:sSubPr>
            <m:ctrlPr>
              <w:rPr>
                <w:rFonts w:ascii="Cambria Math" w:hAnsi="Cambria Math"/>
              </w:rPr>
            </m:ctrlPr>
          </m:sSubPr>
          <m:e>
            <m:r>
              <m:rPr>
                <m:sty m:val="bi"/>
              </m:rPr>
              <w:rPr>
                <w:rFonts w:ascii="Cambria Math" w:hAnsi="Cambria Math"/>
              </w:rPr>
              <m:t>W</m:t>
            </m:r>
          </m:e>
          <m:sub>
            <m:r>
              <w:rPr>
                <w:rFonts w:ascii="Cambria Math" w:hAnsi="Cambria Math"/>
              </w:rPr>
              <m:t>K</m:t>
            </m:r>
          </m:sub>
        </m:sSub>
      </m:oMath>
      <w:r>
        <w:rPr>
          <w:rFonts w:ascii="Arial" w:hAnsi="Arial" w:cs="Arial"/>
          <w:color w:val="000000"/>
          <w:shd w:val="clear" w:color="auto" w:fill="FFFFFF"/>
        </w:rPr>
        <w:t xml:space="preserve"> (and </w:t>
      </w:r>
      <m:oMath>
        <m:sSubSup>
          <m:sSubSupPr>
            <m:ctrlPr>
              <w:rPr>
                <w:rFonts w:ascii="Cambria Math" w:hAnsi="Cambria Math"/>
              </w:rPr>
            </m:ctrlPr>
          </m:sSubSupPr>
          <m:e>
            <m:r>
              <m:rPr>
                <m:sty m:val="bi"/>
              </m:rPr>
              <w:rPr>
                <w:rFonts w:ascii="Cambria Math" w:hAnsi="Cambria Math"/>
              </w:rPr>
              <m:t>W</m:t>
            </m:r>
          </m:e>
          <m:sub>
            <m:r>
              <w:rPr>
                <w:rFonts w:ascii="Cambria Math" w:hAnsi="Cambria Math"/>
              </w:rPr>
              <m:t>Q</m:t>
            </m:r>
          </m:sub>
          <m:sup>
            <m:r>
              <m:rPr>
                <m:sty m:val="p"/>
              </m:rPr>
              <w:rPr>
                <w:rFonts w:ascii="Cambria Math" w:hAnsi="Cambria Math"/>
              </w:rPr>
              <m:t>'</m:t>
            </m:r>
          </m:sup>
        </m:sSubSup>
      </m:oMath>
      <w:r>
        <w:rPr>
          <w:rFonts w:ascii="Arial" w:hAnsi="Arial" w:cs="Arial"/>
          <w:color w:val="000000"/>
          <w:shd w:val="clear" w:color="auto" w:fill="FFFFFF"/>
        </w:rPr>
        <w:t xml:space="preserve">, </w:t>
      </w:r>
      <m:oMath>
        <m:sSubSup>
          <m:sSubSupPr>
            <m:ctrlPr>
              <w:rPr>
                <w:rFonts w:ascii="Cambria Math" w:hAnsi="Cambria Math"/>
              </w:rPr>
            </m:ctrlPr>
          </m:sSubSupPr>
          <m:e>
            <m:r>
              <m:rPr>
                <m:sty m:val="bi"/>
              </m:rPr>
              <w:rPr>
                <w:rFonts w:ascii="Cambria Math" w:hAnsi="Cambria Math"/>
              </w:rPr>
              <m:t>W</m:t>
            </m:r>
          </m:e>
          <m:sub>
            <m:r>
              <w:rPr>
                <w:rFonts w:ascii="Cambria Math" w:hAnsi="Cambria Math"/>
              </w:rPr>
              <m:t>K</m:t>
            </m:r>
          </m:sub>
          <m:sup>
            <m:r>
              <m:rPr>
                <m:sty m:val="p"/>
              </m:rPr>
              <w:rPr>
                <w:rFonts w:ascii="Cambria Math" w:hAnsi="Cambria Math"/>
              </w:rPr>
              <m:t>'</m:t>
            </m:r>
          </m:sup>
        </m:sSubSup>
      </m:oMath>
      <w:r>
        <w:rPr>
          <w:rFonts w:ascii="Arial" w:hAnsi="Arial" w:cs="Arial"/>
          <w:color w:val="000000"/>
          <w:shd w:val="clear" w:color="auto" w:fill="FFFFFF"/>
        </w:rPr>
        <w:t xml:space="preserve">) the query and key projections; </w:t>
      </w:r>
      <m:oMath>
        <m:r>
          <w:rPr>
            <w:rFonts w:ascii="Cambria Math" w:hAnsi="Cambria Math"/>
          </w:rPr>
          <m:t>τ</m:t>
        </m:r>
      </m:oMath>
      <w:r>
        <w:rPr>
          <w:rFonts w:ascii="Arial" w:hAnsi="Arial" w:cs="Arial"/>
          <w:color w:val="000000"/>
          <w:shd w:val="clear" w:color="auto" w:fill="FFFFFF"/>
        </w:rPr>
        <w:t xml:space="preserve"> the learned attention temperature and </w:t>
      </w:r>
      <m:oMath>
        <m:r>
          <w:rPr>
            <w:rFonts w:ascii="Cambria Math" w:hAnsi="Cambria Math"/>
          </w:rPr>
          <m:t>d</m:t>
        </m:r>
      </m:oMath>
      <w:r>
        <w:rPr>
          <w:rFonts w:ascii="Arial" w:hAnsi="Arial" w:cs="Arial"/>
          <w:color w:val="000000"/>
          <w:shd w:val="clear" w:color="auto" w:fill="FFFFFF"/>
        </w:rPr>
        <w:t xml:space="preserve"> the per-head dimension; </w:t>
      </w:r>
      <m:oMath>
        <m:sSub>
          <m:sSubPr>
            <m:ctrlPr>
              <w:rPr>
                <w:rFonts w:ascii="Cambria Math" w:hAnsi="Cambria Math"/>
              </w:rPr>
            </m:ctrlPr>
          </m:sSubPr>
          <m:e>
            <m:r>
              <w:rPr>
                <w:rFonts w:ascii="Cambria Math" w:hAnsi="Cambria Math"/>
              </w:rPr>
              <m:t>β</m:t>
            </m:r>
          </m:e>
          <m:sub>
            <m:r>
              <w:rPr>
                <w:rFonts w:ascii="Cambria Math" w:hAnsi="Cambria Math"/>
              </w:rPr>
              <m:t>b</m:t>
            </m:r>
            <m:r>
              <m:rPr>
                <m:sty m:val="p"/>
              </m:rPr>
              <w:rPr>
                <w:rFonts w:ascii="Cambria Math" w:hAnsi="Cambria Math"/>
              </w:rPr>
              <m:t>,</m:t>
            </m:r>
            <m:r>
              <w:rPr>
                <w:rFonts w:ascii="Cambria Math" w:hAnsi="Cambria Math"/>
              </w:rPr>
              <m:t>k</m:t>
            </m:r>
          </m:sub>
        </m:sSub>
      </m:oMath>
      <w:r>
        <w:rPr>
          <w:rFonts w:ascii="Arial" w:hAnsi="Arial" w:cs="Arial"/>
          <w:color w:val="000000"/>
          <w:shd w:val="clear" w:color="auto" w:fill="FFFFFF"/>
        </w:rPr>
        <w:t xml:space="preserve"> the attention over clusters and </w:t>
      </w:r>
      <m:oMath>
        <m:sSub>
          <m:sSubPr>
            <m:ctrlPr>
              <w:rPr>
                <w:rFonts w:ascii="Cambria Math" w:hAnsi="Cambria Math"/>
              </w:rPr>
            </m:ctrlPr>
          </m:sSubPr>
          <m:e>
            <m:r>
              <w:rPr>
                <w:rFonts w:ascii="Cambria Math" w:hAnsi="Cambria Math"/>
              </w:rPr>
              <m:t>α</m:t>
            </m:r>
          </m:e>
          <m:sub>
            <m:r>
              <w:rPr>
                <w:rFonts w:ascii="Cambria Math" w:hAnsi="Cambria Math"/>
              </w:rPr>
              <m:t>b</m:t>
            </m:r>
            <m:r>
              <m:rPr>
                <m:sty m:val="p"/>
              </m:rPr>
              <w:rPr>
                <w:rFonts w:ascii="Cambria Math" w:hAnsi="Cambria Math"/>
              </w:rPr>
              <m:t>,</m:t>
            </m:r>
            <m:r>
              <w:rPr>
                <w:rFonts w:ascii="Cambria Math" w:hAnsi="Cambria Math"/>
              </w:rPr>
              <m:t>n</m:t>
            </m:r>
          </m:sub>
        </m:sSub>
      </m:oMath>
      <w:r>
        <w:rPr>
          <w:rFonts w:ascii="Arial" w:hAnsi="Arial" w:cs="Arial"/>
          <w:color w:val="000000"/>
          <w:shd w:val="clear" w:color="auto" w:fill="FFFFFF"/>
        </w:rPr>
        <w:t xml:space="preserve"> the attention over conformers; </w:t>
      </w:r>
      <m:oMath>
        <m:sSub>
          <m:sSubPr>
            <m:ctrlPr>
              <w:rPr>
                <w:rFonts w:ascii="Cambria Math" w:hAnsi="Cambria Math"/>
              </w:rPr>
            </m:ctrlPr>
          </m:sSubPr>
          <m:e>
            <m:r>
              <m:rPr>
                <m:sty m:val="bi"/>
              </m:rPr>
              <w:rPr>
                <w:rFonts w:ascii="Cambria Math" w:hAnsi="Cambria Math"/>
              </w:rPr>
              <m:t>c</m:t>
            </m:r>
          </m:e>
          <m:sub>
            <m:r>
              <w:rPr>
                <w:rFonts w:ascii="Cambria Math" w:hAnsi="Cambria Math"/>
              </w:rPr>
              <m:t>b</m:t>
            </m:r>
            <m:r>
              <m:rPr>
                <m:sty m:val="p"/>
              </m:rPr>
              <w:rPr>
                <w:rFonts w:ascii="Cambria Math" w:hAnsi="Cambria Math"/>
              </w:rPr>
              <m:t>,</m:t>
            </m:r>
            <m:r>
              <w:rPr>
                <w:rFonts w:ascii="Cambria Math" w:hAnsi="Cambria Math"/>
              </w:rPr>
              <m:t>k</m:t>
            </m:r>
          </m:sub>
        </m:sSub>
      </m:oMath>
      <w:r>
        <w:rPr>
          <w:rFonts w:ascii="Arial" w:hAnsi="Arial" w:cs="Arial"/>
          <w:color w:val="000000"/>
          <w:shd w:val="clear" w:color="auto" w:fill="FFFFFF"/>
        </w:rPr>
        <w:t xml:space="preserve"> the mean token of cluster </w:t>
      </w:r>
      <m:oMath>
        <m:sSub>
          <m:sSubPr>
            <m:ctrlPr>
              <w:rPr>
                <w:rFonts w:ascii="Cambria Math" w:hAnsi="Cambria Math"/>
              </w:rPr>
            </m:ctrlPr>
          </m:sSubPr>
          <m:e>
            <m:r>
              <w:rPr>
                <w:rFonts w:ascii="Cambria Math" w:hAnsi="Cambria Math"/>
              </w:rPr>
              <m:t>C</m:t>
            </m:r>
          </m:e>
          <m:sub>
            <m:r>
              <w:rPr>
                <w:rFonts w:ascii="Cambria Math" w:hAnsi="Cambria Math"/>
              </w:rPr>
              <m:t>b</m:t>
            </m:r>
            <m:r>
              <m:rPr>
                <m:sty m:val="p"/>
              </m:rPr>
              <w:rPr>
                <w:rFonts w:ascii="Cambria Math" w:hAnsi="Cambria Math"/>
              </w:rPr>
              <m:t>,</m:t>
            </m:r>
            <m:r>
              <w:rPr>
                <w:rFonts w:ascii="Cambria Math" w:hAnsi="Cambria Math"/>
              </w:rPr>
              <m:t>k</m:t>
            </m:r>
          </m:sub>
        </m:sSub>
      </m:oMath>
      <w:r>
        <w:rPr>
          <w:rFonts w:ascii="Arial" w:hAnsi="Arial" w:cs="Arial"/>
          <w:color w:val="000000"/>
          <w:shd w:val="clear" w:color="auto" w:fill="FFFFFF"/>
        </w:rPr>
        <w:t xml:space="preserve">; and </w:t>
      </w:r>
      <m:oMath>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oMath>
      <w:r>
        <w:rPr>
          <w:rFonts w:ascii="Arial" w:hAnsi="Arial" w:cs="Arial"/>
          <w:color w:val="000000"/>
          <w:shd w:val="clear" w:color="auto" w:fill="FFFFFF"/>
        </w:rPr>
        <w:t xml:space="preserve"> the cluster that contains conformer </w:t>
      </w:r>
      <m:oMath>
        <m:r>
          <w:rPr>
            <w:rFonts w:ascii="Cambria Math" w:hAnsi="Cambria Math"/>
          </w:rPr>
          <m:t>n</m:t>
        </m:r>
      </m:oMath>
      <w:r>
        <w:rPr>
          <w:rFonts w:ascii="Arial" w:hAnsi="Arial" w:cs="Arial"/>
          <w:color w:val="000000"/>
          <w:shd w:val="clear" w:color="auto" w:fill="FFFFFF"/>
        </w:rPr>
        <w:t>.</w:t>
      </w:r>
    </w:p>
    <w:p w14:paraId="78DFEA03" w14:textId="77777777" w:rsidR="00232A42" w:rsidRDefault="00000000">
      <w:pPr>
        <w:spacing w:line="360" w:lineRule="auto"/>
        <w:ind w:firstLine="426"/>
        <w:jc w:val="both"/>
        <w:rPr>
          <w:rFonts w:ascii="Arial" w:hAnsi="Arial" w:cs="Arial"/>
          <w:color w:val="000000"/>
        </w:rPr>
      </w:pPr>
      <w:r>
        <w:rPr>
          <w:rFonts w:ascii="Arial" w:hAnsi="Arial" w:cs="Arial"/>
          <w:color w:val="000000"/>
          <w:shd w:val="clear" w:color="auto" w:fill="FFFFFF"/>
        </w:rPr>
        <w:t>A complementary cluster-uniform weighting spreads each cluster’s score evenly over its members, and the final attention is a fixed convex mixture of the two (</w:t>
      </w:r>
      <m:oMath>
        <m:r>
          <w:rPr>
            <w:rFonts w:ascii="Cambria Math" w:hAnsi="Cambria Math"/>
          </w:rPr>
          <m:t>λ</m:t>
        </m:r>
      </m:oMath>
      <w:r>
        <w:rPr>
          <w:rFonts w:ascii="Arial" w:hAnsi="Arial" w:cs="Arial"/>
          <w:color w:val="000000"/>
          <w:shd w:val="clear" w:color="auto" w:fill="FFFFFF"/>
        </w:rPr>
        <w:t xml:space="preserve"> = 0.7):</w:t>
      </w:r>
    </w:p>
    <w:p w14:paraId="41216C4D" w14:textId="77777777" w:rsidR="00232A42" w:rsidRDefault="00000000">
      <w:pPr>
        <w:spacing w:line="360" w:lineRule="auto"/>
        <w:jc w:val="center"/>
        <w:rPr>
          <w:rFonts w:ascii="Arial" w:hAnsi="Arial" w:cs="Arial"/>
        </w:rPr>
      </w:pPr>
      <m:oMath>
        <m:sSubSup>
          <m:sSubSupPr>
            <m:ctrlPr>
              <w:rPr>
                <w:rFonts w:ascii="Cambria Math" w:hAnsi="Cambria Math"/>
              </w:rPr>
            </m:ctrlPr>
          </m:sSubSupPr>
          <m:e>
            <m:r>
              <w:rPr>
                <w:rFonts w:ascii="Cambria Math" w:hAnsi="Cambria Math"/>
              </w:rPr>
              <m:t>α</m:t>
            </m:r>
          </m:e>
          <m:sub>
            <m:r>
              <w:rPr>
                <w:rFonts w:ascii="Cambria Math" w:hAnsi="Cambria Math"/>
              </w:rPr>
              <m:t>b</m:t>
            </m:r>
            <m:r>
              <m:rPr>
                <m:sty m:val="p"/>
              </m:rPr>
              <w:rPr>
                <w:rFonts w:ascii="Cambria Math" w:hAnsi="Cambria Math"/>
              </w:rPr>
              <m:t>,</m:t>
            </m:r>
            <m:r>
              <w:rPr>
                <w:rFonts w:ascii="Cambria Math" w:hAnsi="Cambria Math"/>
              </w:rPr>
              <m:t>n</m:t>
            </m:r>
          </m:sub>
          <m:sup>
            <m:r>
              <m:rPr>
                <m:sty m:val="p"/>
              </m:rPr>
              <w:rPr>
                <w:rFonts w:ascii="Cambria Math" w:hAnsi="Cambria Math"/>
              </w:rPr>
              <m:t>clus</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b</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ub>
            </m:sSub>
          </m:num>
          <m:den>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m:t>
            </m:r>
          </m:den>
        </m:f>
      </m:oMath>
      <w:r>
        <w:rPr>
          <w:rFonts w:ascii="Arial" w:hAnsi="Arial" w:cs="Arial"/>
          <w:color w:val="000000"/>
          <w:shd w:val="clear" w:color="auto" w:fill="FFFFFF"/>
        </w:rPr>
        <w:t>  (9)</w:t>
      </w:r>
    </w:p>
    <w:p w14:paraId="6F51C4BB" w14:textId="77777777" w:rsidR="00232A42" w:rsidRDefault="00000000">
      <w:pPr>
        <w:spacing w:line="360" w:lineRule="auto"/>
        <w:jc w:val="center"/>
        <w:rPr>
          <w:rFonts w:ascii="Arial" w:hAnsi="Arial" w:cs="Arial"/>
        </w:rPr>
      </w:pPr>
      <m:oMath>
        <m:sSub>
          <m:sSubPr>
            <m:ctrlPr>
              <w:rPr>
                <w:rFonts w:ascii="Cambria Math" w:hAnsi="Cambria Math"/>
              </w:rPr>
            </m:ctrlPr>
          </m:sSubPr>
          <m:e>
            <m:r>
              <w:rPr>
                <w:rFonts w:ascii="Cambria Math" w:hAnsi="Cambria Math"/>
              </w:rPr>
              <m:t>α</m:t>
            </m:r>
          </m:e>
          <m:sub>
            <m:r>
              <w:rPr>
                <w:rFonts w:ascii="Cambria Math" w:hAnsi="Cambria Math"/>
              </w:rPr>
              <m:t>b</m:t>
            </m:r>
            <m:r>
              <m:rPr>
                <m:sty m:val="p"/>
              </m:rPr>
              <w:rPr>
                <w:rFonts w:ascii="Cambria Math" w:hAnsi="Cambria Math"/>
              </w:rPr>
              <m:t>,</m:t>
            </m:r>
            <m:r>
              <w:rPr>
                <w:rFonts w:ascii="Cambria Math" w:hAnsi="Cambria Math"/>
              </w:rPr>
              <m:t>n</m:t>
            </m:r>
          </m:sub>
        </m:sSub>
        <m:r>
          <m:rPr>
            <m:sty m:val="p"/>
          </m:rPr>
          <w:rPr>
            <w:rFonts w:ascii="Cambria Math" w:hAnsi="Cambria Math"/>
          </w:rPr>
          <m:t>=normalize</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α</m:t>
                </m:r>
              </m:e>
              <m:sub>
                <m:r>
                  <w:rPr>
                    <w:rFonts w:ascii="Cambria Math" w:hAnsi="Cambria Math"/>
                  </w:rPr>
                  <m:t>b</m:t>
                </m:r>
                <m:r>
                  <m:rPr>
                    <m:sty m:val="p"/>
                  </m:rPr>
                  <w:rPr>
                    <w:rFonts w:ascii="Cambria Math" w:hAnsi="Cambria Math"/>
                  </w:rPr>
                  <m:t>,</m:t>
                </m:r>
                <m:r>
                  <w:rPr>
                    <w:rFonts w:ascii="Cambria Math" w:hAnsi="Cambria Math"/>
                  </w:rPr>
                  <m:t>n</m:t>
                </m:r>
              </m:sub>
              <m:sup>
                <m:r>
                  <m:rPr>
                    <m:sty m:val="p"/>
                  </m:rPr>
                  <w:rPr>
                    <w:rFonts w:ascii="Cambria Math" w:hAnsi="Cambria Math"/>
                  </w:rPr>
                  <m:t>clus</m:t>
                </m:r>
              </m:sup>
            </m:sSubSup>
            <m:r>
              <m:rPr>
                <m:sty m:val="p"/>
              </m:rPr>
              <w:rPr>
                <w:rFonts w:ascii="Cambria Math" w:hAnsi="Cambria Math"/>
              </w:rPr>
              <m:t>+</m:t>
            </m:r>
            <m:r>
              <w:rPr>
                <w:rFonts w:ascii="Cambria Math" w:hAnsi="Cambria Math"/>
              </w:rPr>
              <m:t>λ </m:t>
            </m:r>
            <m:sSubSup>
              <m:sSubSupPr>
                <m:ctrlPr>
                  <w:rPr>
                    <w:rFonts w:ascii="Cambria Math" w:hAnsi="Cambria Math"/>
                  </w:rPr>
                </m:ctrlPr>
              </m:sSubSupPr>
              <m:e>
                <m:r>
                  <w:rPr>
                    <w:rFonts w:ascii="Cambria Math" w:hAnsi="Cambria Math"/>
                  </w:rPr>
                  <m:t>α</m:t>
                </m:r>
              </m:e>
              <m:sub>
                <m:r>
                  <w:rPr>
                    <w:rFonts w:ascii="Cambria Math" w:hAnsi="Cambria Math"/>
                  </w:rPr>
                  <m:t>b</m:t>
                </m:r>
                <m:r>
                  <m:rPr>
                    <m:sty m:val="p"/>
                  </m:rPr>
                  <w:rPr>
                    <w:rFonts w:ascii="Cambria Math" w:hAnsi="Cambria Math"/>
                  </w:rPr>
                  <m:t>,</m:t>
                </m:r>
                <m:r>
                  <w:rPr>
                    <w:rFonts w:ascii="Cambria Math" w:hAnsi="Cambria Math"/>
                  </w:rPr>
                  <m:t>n</m:t>
                </m:r>
              </m:sub>
              <m:sup>
                <m:r>
                  <m:rPr>
                    <m:sty m:val="p"/>
                  </m:rPr>
                  <w:rPr>
                    <w:rFonts w:ascii="Cambria Math" w:hAnsi="Cambria Math"/>
                  </w:rPr>
                  <m:t>ref</m:t>
                </m:r>
              </m:sup>
            </m:sSubSup>
          </m:e>
        </m:d>
      </m:oMath>
      <w:r>
        <w:rPr>
          <w:rFonts w:ascii="Arial" w:hAnsi="Arial" w:cs="Arial"/>
          <w:color w:val="000000"/>
          <w:shd w:val="clear" w:color="auto" w:fill="FFFFFF"/>
        </w:rPr>
        <w:t>  (10)</w:t>
      </w:r>
    </w:p>
    <w:p w14:paraId="685709FA" w14:textId="77777777" w:rsidR="00232A42" w:rsidRDefault="00000000">
      <w:pPr>
        <w:spacing w:line="360" w:lineRule="auto"/>
        <w:ind w:firstLine="426"/>
        <w:jc w:val="both"/>
        <w:rPr>
          <w:rFonts w:ascii="Arial" w:hAnsi="Arial" w:cs="Arial"/>
          <w:color w:val="000000"/>
        </w:rPr>
      </w:pPr>
      <w:r>
        <w:rPr>
          <w:rFonts w:ascii="Arial" w:hAnsi="Arial" w:cs="Arial"/>
          <w:color w:val="000000"/>
          <w:shd w:val="clear" w:color="auto" w:fill="FFFFFF"/>
        </w:rPr>
        <w:t>The bag representation is the attention-weighted sum of the contextualized conformer embeddings:</w:t>
      </w:r>
    </w:p>
    <w:p w14:paraId="6E26AF95" w14:textId="77777777" w:rsidR="00232A42" w:rsidRDefault="00000000">
      <w:pPr>
        <w:spacing w:line="360" w:lineRule="auto"/>
        <w:jc w:val="center"/>
        <w:rPr>
          <w:rFonts w:ascii="Arial" w:hAnsi="Arial" w:cs="Arial"/>
        </w:rPr>
      </w:pPr>
      <m:oMath>
        <m:sSub>
          <m:sSubPr>
            <m:ctrlPr>
              <w:rPr>
                <w:rFonts w:ascii="Cambria Math" w:hAnsi="Cambria Math"/>
              </w:rPr>
            </m:ctrlPr>
          </m:sSubPr>
          <m:e>
            <m:r>
              <m:rPr>
                <m:sty m:val="bi"/>
              </m:rPr>
              <w:rPr>
                <w:rFonts w:ascii="Cambria Math" w:hAnsi="Cambria Math"/>
              </w:rPr>
              <m:t>r</m:t>
            </m:r>
          </m:e>
          <m:sub>
            <m:r>
              <w:rPr>
                <w:rFonts w:ascii="Cambria Math" w:hAnsi="Cambria Math"/>
              </w:rPr>
              <m:t>b</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b</m:t>
                </m:r>
                <m:r>
                  <m:rPr>
                    <m:sty m:val="p"/>
                  </m:rPr>
                  <w:rPr>
                    <w:rFonts w:ascii="Cambria Math" w:hAnsi="Cambria Math"/>
                  </w:rPr>
                  <m:t>,</m:t>
                </m:r>
                <m:r>
                  <w:rPr>
                    <w:rFonts w:ascii="Cambria Math" w:hAnsi="Cambria Math"/>
                  </w:rPr>
                  <m:t>n</m:t>
                </m:r>
              </m:sub>
            </m:sSub>
          </m:e>
        </m:nary>
        <m:r>
          <w:rPr>
            <w:rFonts w:ascii="Cambria Math" w:hAnsi="Cambria Math"/>
          </w:rPr>
          <m:t> </m:t>
        </m:r>
        <m:sSub>
          <m:sSubPr>
            <m:ctrlPr>
              <w:rPr>
                <w:rFonts w:ascii="Cambria Math" w:hAnsi="Cambria Math"/>
              </w:rPr>
            </m:ctrlPr>
          </m:sSubPr>
          <m:e>
            <m:r>
              <m:rPr>
                <m:sty m:val="bi"/>
              </m:rPr>
              <w:rPr>
                <w:rFonts w:ascii="Cambria Math" w:hAnsi="Cambria Math"/>
              </w:rPr>
              <m:t>z</m:t>
            </m:r>
          </m:e>
          <m:sub>
            <m:r>
              <w:rPr>
                <w:rFonts w:ascii="Cambria Math" w:hAnsi="Cambria Math"/>
              </w:rPr>
              <m:t>b</m:t>
            </m:r>
            <m:r>
              <m:rPr>
                <m:sty m:val="p"/>
              </m:rPr>
              <w:rPr>
                <w:rFonts w:ascii="Cambria Math" w:hAnsi="Cambria Math"/>
              </w:rPr>
              <m:t>,</m:t>
            </m:r>
            <m:r>
              <w:rPr>
                <w:rFonts w:ascii="Cambria Math" w:hAnsi="Cambria Math"/>
              </w:rPr>
              <m:t>n</m:t>
            </m:r>
          </m:sub>
        </m:sSub>
      </m:oMath>
      <w:r>
        <w:rPr>
          <w:rFonts w:ascii="Arial" w:hAnsi="Arial" w:cs="Arial"/>
          <w:color w:val="000000"/>
          <w:shd w:val="clear" w:color="auto" w:fill="FFFFFF"/>
        </w:rPr>
        <w:t>  (11)</w:t>
      </w:r>
    </w:p>
    <w:p w14:paraId="53DBBA9F" w14:textId="77777777" w:rsidR="00232A42" w:rsidRDefault="00000000">
      <w:pPr>
        <w:spacing w:line="360" w:lineRule="auto"/>
        <w:ind w:firstLine="426"/>
        <w:jc w:val="both"/>
        <w:rPr>
          <w:rFonts w:ascii="Arial" w:hAnsi="Arial" w:cs="Arial"/>
          <w:color w:val="000000"/>
        </w:rPr>
      </w:pPr>
      <w:r>
        <w:rPr>
          <w:rFonts w:ascii="Arial" w:hAnsi="Arial" w:cs="Arial"/>
          <w:b/>
          <w:bCs/>
          <w:color w:val="000000"/>
          <w:shd w:val="clear" w:color="auto" w:fill="FFFFFF"/>
        </w:rPr>
        <w:t>Predictor.</w:t>
      </w:r>
      <w:r>
        <w:rPr>
          <w:rFonts w:ascii="Arial" w:hAnsi="Arial" w:cs="Arial"/>
          <w:color w:val="000000"/>
          <w:shd w:val="clear" w:color="auto" w:fill="FFFFFF"/>
        </w:rPr>
        <w:t xml:space="preserve"> A residual pre-LayerNorm SwiGLU MLP head (2 blocks) with a final linear layer maps the bag representation to the scalar activity:</w:t>
      </w:r>
    </w:p>
    <w:p w14:paraId="2F933556" w14:textId="77777777" w:rsidR="00232A42" w:rsidRDefault="00000000">
      <w:pPr>
        <w:spacing w:line="360" w:lineRule="auto"/>
        <w:jc w:val="center"/>
        <w:rPr>
          <w:rFonts w:ascii="Arial" w:hAnsi="Arial" w:cs="Arial"/>
        </w:rPr>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ϕ</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e>
          <m:sub>
            <m:r>
              <w:rPr>
                <w:rFonts w:ascii="Cambria Math" w:hAnsi="Cambria Math"/>
              </w:rPr>
              <m:t>b</m:t>
            </m:r>
          </m:sub>
        </m:sSub>
        <m:r>
          <m:rPr>
            <m:sty m:val="p"/>
          </m:rPr>
          <w:rPr>
            <w:rFonts w:ascii="Cambria Math" w:hAnsi="Cambria Math"/>
          </w:rPr>
          <m:t>)</m:t>
        </m:r>
      </m:oMath>
      <w:r>
        <w:rPr>
          <w:rFonts w:ascii="Arial" w:hAnsi="Arial" w:cs="Arial"/>
          <w:color w:val="000000"/>
          <w:shd w:val="clear" w:color="auto" w:fill="FFFFFF"/>
        </w:rPr>
        <w:t>  (12)</w:t>
      </w:r>
    </w:p>
    <w:p w14:paraId="6D760373" w14:textId="094AE480" w:rsidR="005935A2" w:rsidRDefault="005935A2" w:rsidP="005935A2">
      <w:pPr>
        <w:spacing w:line="360" w:lineRule="auto"/>
        <w:ind w:firstLine="426"/>
        <w:jc w:val="both"/>
        <w:rPr>
          <w:rFonts w:ascii="Arial" w:hAnsi="Arial" w:cs="Arial"/>
          <w:color w:val="000000"/>
        </w:rPr>
      </w:pPr>
      <w:r>
        <w:rPr>
          <w:rFonts w:ascii="Arial" w:hAnsi="Arial" w:cs="Arial"/>
          <w:b/>
          <w:bCs/>
          <w:color w:val="000000"/>
          <w:shd w:val="clear" w:color="auto" w:fill="FFFFFF"/>
        </w:rPr>
        <w:t>Active-prototype memory.</w:t>
      </w:r>
      <w:r>
        <w:rPr>
          <w:rFonts w:ascii="Arial" w:hAnsi="Arial" w:cs="Arial"/>
          <w:color w:val="000000"/>
          <w:shd w:val="clear" w:color="auto" w:fill="FFFFFF"/>
        </w:rPr>
        <w:t xml:space="preserve"> The memory </w:t>
      </w:r>
      <m:oMath>
        <m:r>
          <m:rPr>
            <m:scr m:val="script"/>
            <m:sty m:val="p"/>
          </m:rPr>
          <w:rPr>
            <w:rFonts w:ascii="Cambria Math" w:hAnsi="Cambria Math"/>
          </w:rPr>
          <m:t>M</m:t>
        </m:r>
      </m:oMath>
      <w:r>
        <w:rPr>
          <w:rFonts w:ascii="Arial" w:hAnsi="Arial" w:cs="Arial"/>
          <w:color w:val="000000"/>
          <w:shd w:val="clear" w:color="auto" w:fill="FFFFFF"/>
        </w:rPr>
        <w:t xml:space="preserve"> is a non-trainable bank of active-conformer prototypes that supplies the aggregator with a data-driven query; it is built and used in three steps. </w:t>
      </w:r>
      <w:r>
        <w:rPr>
          <w:rFonts w:ascii="Arial" w:hAnsi="Arial" w:cs="Arial"/>
          <w:b/>
          <w:bCs/>
          <w:color w:val="000000"/>
          <w:shd w:val="clear" w:color="auto" w:fill="FFFFFF"/>
        </w:rPr>
        <w:t>(i) Candidate selection.</w:t>
      </w:r>
      <w:r>
        <w:rPr>
          <w:rFonts w:ascii="Arial" w:hAnsi="Arial" w:cs="Arial"/>
          <w:color w:val="000000"/>
          <w:shd w:val="clear" w:color="auto" w:fill="FFFFFF"/>
        </w:rPr>
        <w:t xml:space="preserve"> After each training forward pass, every active bag (experimental </w:t>
      </w:r>
      <m:oMath>
        <m:r>
          <m:rPr>
            <m:sty m:val="p"/>
          </m:rPr>
          <w:rPr>
            <w:rFonts w:ascii="Cambria Math" w:hAnsi="Cambria Math"/>
          </w:rPr>
          <m:t>pIC50≥</m:t>
        </m:r>
        <m:r>
          <w:rPr>
            <w:rFonts w:ascii="Cambria Math" w:hAnsi="Cambria Math"/>
          </w:rPr>
          <m:t>7.0</m:t>
        </m:r>
      </m:oMath>
      <w:r>
        <w:rPr>
          <w:rFonts w:ascii="Arial" w:hAnsi="Arial" w:cs="Arial"/>
          <w:color w:val="000000"/>
          <w:shd w:val="clear" w:color="auto" w:fill="FFFFFF"/>
        </w:rPr>
        <w:t xml:space="preserve">) contributes the embeddings of its </w:t>
      </w:r>
      <m:oMath>
        <m:sSub>
          <m:sSubPr>
            <m:ctrlPr>
              <w:rPr>
                <w:rFonts w:ascii="Cambria Math" w:hAnsi="Cambria Math"/>
              </w:rPr>
            </m:ctrlPr>
          </m:sSubPr>
          <m:e>
            <m:r>
              <w:rPr>
                <w:rFonts w:ascii="Cambria Math" w:hAnsi="Cambria Math"/>
              </w:rPr>
              <m:t>m</m:t>
            </m:r>
          </m:e>
          <m:sub>
            <m:r>
              <w:rPr>
                <w:rFonts w:ascii="Cambria Math" w:hAnsi="Cambria Math"/>
              </w:rPr>
              <m:t>c</m:t>
            </m:r>
          </m:sub>
        </m:sSub>
      </m:oMath>
      <w:r>
        <w:rPr>
          <w:rFonts w:ascii="Arial" w:hAnsi="Arial" w:cs="Arial"/>
          <w:color w:val="000000"/>
          <w:shd w:val="clear" w:color="auto" w:fill="FFFFFF"/>
        </w:rPr>
        <w:t xml:space="preserve"> highest-attention conformers to the epoch’s candidate set (re-ranked by a leave-one-out attention-ablation impact so that only prediction-driving conformers are kept):</w:t>
      </w:r>
    </w:p>
    <w:p w14:paraId="636F330F" w14:textId="77777777" w:rsidR="005935A2" w:rsidRDefault="00000000" w:rsidP="005935A2">
      <w:pPr>
        <w:spacing w:line="360" w:lineRule="auto"/>
        <w:jc w:val="center"/>
        <w:rPr>
          <w:rFonts w:ascii="Arial" w:hAnsi="Arial" w:cs="Arial"/>
        </w:rPr>
      </w:pP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e</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m:rPr>
                    <m:sty m:val="bi"/>
                  </m:rPr>
                  <w:rPr>
                    <w:rFonts w:ascii="Cambria Math" w:hAnsi="Cambria Math"/>
                  </w:rPr>
                  <m:t>z</m:t>
                </m:r>
              </m:e>
              <m:sub>
                <m:r>
                  <w:rPr>
                    <w:rFonts w:ascii="Cambria Math" w:hAnsi="Cambria Math"/>
                  </w:rPr>
                  <m:t>b</m:t>
                </m:r>
                <m:r>
                  <m:rPr>
                    <m:sty m:val="p"/>
                  </m:rPr>
                  <w:rPr>
                    <w:rFonts w:ascii="Cambria Math" w:hAnsi="Cambria Math"/>
                  </w:rPr>
                  <m:t>,</m:t>
                </m:r>
                <m:r>
                  <w:rPr>
                    <w:rFonts w:ascii="Cambria Math" w:hAnsi="Cambria Math"/>
                  </w:rPr>
                  <m:t>n</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b</m:t>
                </m:r>
              </m:sub>
            </m:sSub>
            <m:r>
              <m:rPr>
                <m:sty m:val="p"/>
              </m:rPr>
              <w:rPr>
                <w:rFonts w:ascii="Cambria Math" w:hAnsi="Cambria Math"/>
              </w:rPr>
              <m:t>≥</m:t>
            </m:r>
            <m:r>
              <w:rPr>
                <w:rFonts w:ascii="Cambria Math" w:hAnsi="Cambria Math"/>
              </w:rPr>
              <m:t>7.0</m:t>
            </m:r>
            <m:r>
              <m:rPr>
                <m:sty m:val="p"/>
              </m:rPr>
              <w:rPr>
                <w:rFonts w:ascii="Cambria Math" w:hAnsi="Cambria Math"/>
              </w:rPr>
              <m:t>,</m:t>
            </m:r>
            <m:r>
              <w:rPr>
                <w:rFonts w:ascii="Cambria Math" w:hAnsi="Cambria Math"/>
              </w:rPr>
              <m:t> n</m:t>
            </m:r>
            <m:r>
              <m:rPr>
                <m:sty m:val="p"/>
              </m:rPr>
              <w:rPr>
                <w:rFonts w:ascii="Cambria Math" w:hAnsi="Cambria Math"/>
              </w:rPr>
              <m:t>∈top-</m:t>
            </m:r>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m:t>
                </m:r>
                <m:r>
                  <m:rPr>
                    <m:sty m:val="p"/>
                  </m:rPr>
                  <w:rPr>
                    <w:rFonts w:ascii="Cambria Math" w:hAnsi="Cambria Math"/>
                  </w:rPr>
                  <m:t>,⋅</m:t>
                </m:r>
              </m:sub>
            </m:sSub>
            <m:r>
              <m:rPr>
                <m:sty m:val="p"/>
              </m:rPr>
              <w:rPr>
                <w:rFonts w:ascii="Cambria Math" w:hAnsi="Cambria Math"/>
              </w:rPr>
              <m:t>)</m:t>
            </m:r>
            <m:r>
              <w:rPr>
                <w:rFonts w:ascii="Cambria Math" w:hAnsi="Cambria Math"/>
              </w:rPr>
              <m:t> </m:t>
            </m:r>
          </m:e>
        </m:d>
      </m:oMath>
      <w:r w:rsidR="005935A2">
        <w:rPr>
          <w:rFonts w:ascii="Arial" w:hAnsi="Arial" w:cs="Arial"/>
          <w:color w:val="000000"/>
          <w:shd w:val="clear" w:color="auto" w:fill="FFFFFF"/>
        </w:rPr>
        <w:t>  (17)</w:t>
      </w:r>
    </w:p>
    <w:p w14:paraId="3C06B006" w14:textId="4D7DDE4C" w:rsidR="005935A2" w:rsidRDefault="005935A2" w:rsidP="005935A2">
      <w:pPr>
        <w:spacing w:line="360" w:lineRule="auto"/>
        <w:ind w:firstLine="426"/>
        <w:jc w:val="both"/>
        <w:rPr>
          <w:rFonts w:ascii="Arial" w:hAnsi="Arial" w:cs="Arial"/>
          <w:color w:val="000000"/>
        </w:rPr>
      </w:pPr>
      <w:r>
        <w:rPr>
          <w:rFonts w:ascii="Arial" w:hAnsi="Arial" w:cs="Arial"/>
          <w:b/>
          <w:bCs/>
          <w:color w:val="000000"/>
          <w:shd w:val="clear" w:color="auto" w:fill="FFFFFF"/>
        </w:rPr>
        <w:t>(ii) Bank rebuild.</w:t>
      </w:r>
      <w:r>
        <w:rPr>
          <w:rFonts w:ascii="Arial" w:hAnsi="Arial" w:cs="Arial"/>
          <w:color w:val="000000"/>
          <w:shd w:val="clear" w:color="auto" w:fill="FFFFFF"/>
        </w:rPr>
        <w:t xml:space="preserve"> Once per epoch</w:t>
      </w:r>
      <w:r w:rsidR="002522B0">
        <w:rPr>
          <w:rFonts w:ascii="Arial" w:hAnsi="Arial" w:cs="Arial"/>
          <w:color w:val="000000"/>
          <w:shd w:val="clear" w:color="auto" w:fill="FFFFFF"/>
        </w:rPr>
        <w:t>,</w:t>
      </w:r>
      <w:r>
        <w:rPr>
          <w:rFonts w:ascii="Arial" w:hAnsi="Arial" w:cs="Arial"/>
          <w:color w:val="000000"/>
          <w:shd w:val="clear" w:color="auto" w:fill="FFFFFF"/>
        </w:rPr>
        <w:t xml:space="preserve"> the bank is rebuilt from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e</m:t>
            </m:r>
          </m:sub>
        </m:sSub>
      </m:oMath>
      <w:r>
        <w:rPr>
          <w:rFonts w:ascii="Arial" w:hAnsi="Arial" w:cs="Arial"/>
          <w:color w:val="000000"/>
          <w:shd w:val="clear" w:color="auto" w:fill="FFFFFF"/>
        </w:rPr>
        <w:t xml:space="preserve"> using training data only, so no label information can leak from </w:t>
      </w:r>
      <w:r w:rsidR="00603CBC">
        <w:rPr>
          <w:rFonts w:ascii="Arial" w:hAnsi="Arial" w:cs="Arial"/>
          <w:color w:val="000000"/>
          <w:shd w:val="clear" w:color="auto" w:fill="FFFFFF"/>
        </w:rPr>
        <w:t xml:space="preserve">the </w:t>
      </w:r>
      <w:r>
        <w:rPr>
          <w:rFonts w:ascii="Arial" w:hAnsi="Arial" w:cs="Arial"/>
          <w:color w:val="000000"/>
          <w:shd w:val="clear" w:color="auto" w:fill="FFFFFF"/>
        </w:rPr>
        <w:t>validation or test</w:t>
      </w:r>
      <w:r w:rsidR="00603CBC">
        <w:rPr>
          <w:rFonts w:ascii="Arial" w:hAnsi="Arial" w:cs="Arial"/>
          <w:color w:val="000000"/>
          <w:shd w:val="clear" w:color="auto" w:fill="FFFFFF"/>
        </w:rPr>
        <w:t xml:space="preserve"> sets</w:t>
      </w:r>
      <w:r>
        <w:rPr>
          <w:rFonts w:ascii="Arial" w:hAnsi="Arial" w:cs="Arial"/>
          <w:color w:val="000000"/>
          <w:shd w:val="clear" w:color="auto" w:fill="FFFFFF"/>
        </w:rPr>
        <w:t>. Candidates are L2-normalized, grouped by congeneric series, and each series is clustered</w:t>
      </w:r>
      <w:r w:rsidR="00603CBC">
        <w:rPr>
          <w:rFonts w:ascii="Arial" w:hAnsi="Arial" w:cs="Arial"/>
          <w:color w:val="000000"/>
          <w:shd w:val="clear" w:color="auto" w:fill="FFFFFF"/>
        </w:rPr>
        <w:t xml:space="preserve"> </w:t>
      </w:r>
      <w:r>
        <w:rPr>
          <w:rFonts w:ascii="Arial" w:hAnsi="Arial" w:cs="Arial"/>
          <w:color w:val="000000"/>
          <w:shd w:val="clear" w:color="auto" w:fill="FFFFFF"/>
        </w:rPr>
        <w:t xml:space="preserve">into at most four clusters; every cluster </w:t>
      </w:r>
      <m:oMath>
        <m:sSub>
          <m:sSubPr>
            <m:ctrlPr>
              <w:rPr>
                <w:rFonts w:ascii="Cambria Math" w:hAnsi="Cambria Math"/>
              </w:rPr>
            </m:ctrlPr>
          </m:sSubPr>
          <m:e>
            <m:r>
              <w:rPr>
                <w:rFonts w:ascii="Cambria Math" w:hAnsi="Cambria Math"/>
              </w:rPr>
              <m:t>G</m:t>
            </m:r>
          </m:e>
          <m:sub>
            <m:r>
              <w:rPr>
                <w:rFonts w:ascii="Cambria Math" w:hAnsi="Cambria Math"/>
              </w:rPr>
              <m:t>j</m:t>
            </m:r>
          </m:sub>
        </m:sSub>
      </m:oMath>
      <w:r>
        <w:rPr>
          <w:rFonts w:ascii="Arial" w:hAnsi="Arial" w:cs="Arial"/>
          <w:color w:val="000000"/>
          <w:shd w:val="clear" w:color="auto" w:fill="FFFFFF"/>
        </w:rPr>
        <w:t xml:space="preserve"> with at least three members yields one count-weighted, unit-norm prototype (at most 64 in total):</w:t>
      </w:r>
    </w:p>
    <w:p w14:paraId="679BAD65" w14:textId="77777777" w:rsidR="005935A2" w:rsidRDefault="00000000" w:rsidP="005935A2">
      <w:pPr>
        <w:spacing w:line="360" w:lineRule="auto"/>
        <w:jc w:val="center"/>
        <w:rPr>
          <w:rFonts w:ascii="Arial" w:hAnsi="Arial" w:cs="Arial"/>
        </w:rPr>
      </w:pPr>
      <m:oMath>
        <m:sSub>
          <m:sSubPr>
            <m:ctrlPr>
              <w:rPr>
                <w:rFonts w:ascii="Cambria Math" w:hAnsi="Cambria Math"/>
              </w:rPr>
            </m:ctrlPr>
          </m:sSubPr>
          <m:e>
            <m:r>
              <m:rPr>
                <m:sty m:val="bi"/>
              </m:rPr>
              <w:rPr>
                <w:rFonts w:ascii="Cambria Math" w:hAnsi="Cambria Math"/>
              </w:rPr>
              <m:t>p</m:t>
            </m:r>
          </m:e>
          <m:sub>
            <m:r>
              <w:rPr>
                <w:rFonts w:ascii="Cambria Math" w:hAnsi="Cambria Math"/>
              </w:rPr>
              <m:t>j</m:t>
            </m:r>
          </m:sub>
        </m:sSub>
        <m:r>
          <m:rPr>
            <m:sty m:val="p"/>
          </m:rPr>
          <w:rPr>
            <w:rFonts w:ascii="Cambria Math" w:hAnsi="Cambria Math"/>
          </w:rPr>
          <m:t>=normalize</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den>
            </m:f>
            <m:nary>
              <m:naryPr>
                <m:chr m:val="∑"/>
                <m:limLoc m:val="undOvr"/>
                <m:supHide m:val="1"/>
                <m:ctrlPr>
                  <w:rPr>
                    <w:rFonts w:ascii="Cambria Math" w:hAnsi="Cambria Math"/>
                  </w:rPr>
                </m:ctrlPr>
              </m:naryPr>
              <m:sub>
                <m:r>
                  <m:rPr>
                    <m:sty m:val="bi"/>
                  </m:rP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sub>
              <m:sup>
                <m:r>
                  <w:rPr>
                    <w:rFonts w:ascii="Cambria Math" w:hAnsi="Cambria Math"/>
                  </w:rPr>
                  <m:t>​</m:t>
                </m:r>
              </m:sup>
              <m:e>
                <m:acc>
                  <m:accPr>
                    <m:ctrlPr>
                      <w:rPr>
                        <w:rFonts w:ascii="Cambria Math" w:hAnsi="Cambria Math"/>
                      </w:rPr>
                    </m:ctrlPr>
                  </m:accPr>
                  <m:e>
                    <m:r>
                      <m:rPr>
                        <m:sty m:val="bi"/>
                      </m:rPr>
                      <w:rPr>
                        <w:rFonts w:ascii="Cambria Math" w:hAnsi="Cambria Math"/>
                      </w:rPr>
                      <m:t>z</m:t>
                    </m:r>
                  </m:e>
                </m:acc>
              </m:e>
            </m:nary>
          </m:e>
        </m:d>
      </m:oMath>
      <w:r w:rsidR="005935A2">
        <w:rPr>
          <w:rFonts w:ascii="Arial" w:hAnsi="Arial" w:cs="Arial"/>
          <w:color w:val="000000"/>
          <w:shd w:val="clear" w:color="auto" w:fill="FFFFFF"/>
        </w:rPr>
        <w:t>  (18)</w:t>
      </w:r>
    </w:p>
    <w:p w14:paraId="5A57E603" w14:textId="77777777" w:rsidR="005935A2" w:rsidRDefault="005935A2" w:rsidP="005935A2">
      <w:pPr>
        <w:spacing w:line="360" w:lineRule="auto"/>
        <w:ind w:firstLine="426"/>
        <w:jc w:val="both"/>
        <w:rPr>
          <w:rFonts w:ascii="Arial" w:hAnsi="Arial" w:cs="Arial"/>
          <w:color w:val="000000"/>
        </w:rPr>
      </w:pPr>
      <w:r>
        <w:rPr>
          <w:rFonts w:ascii="Arial" w:hAnsi="Arial" w:cs="Arial"/>
          <w:b/>
          <w:bCs/>
          <w:color w:val="000000"/>
          <w:shd w:val="clear" w:color="auto" w:fill="FFFFFF"/>
        </w:rPr>
        <w:t>(iii) Query construction and injection.</w:t>
      </w:r>
      <w:r>
        <w:rPr>
          <w:rFonts w:ascii="Arial" w:hAnsi="Arial" w:cs="Arial"/>
          <w:color w:val="000000"/>
          <w:shd w:val="clear" w:color="auto" w:fill="FFFFFF"/>
        </w:rPr>
        <w:t xml:space="preserve"> For a bag with contextualized embeddings </w:t>
      </w:r>
      <m:oMath>
        <m:r>
          <m:rPr>
            <m:sty m:val="bi"/>
          </m:rPr>
          <w:rPr>
            <w:rFonts w:ascii="Cambria Math" w:hAnsi="Cambria Math"/>
          </w:rPr>
          <m:t>z</m:t>
        </m:r>
      </m:oMath>
      <w:r>
        <w:rPr>
          <w:rFonts w:ascii="Arial" w:hAnsi="Arial" w:cs="Arial"/>
          <w:color w:val="000000"/>
          <w:shd w:val="clear" w:color="auto" w:fill="FFFFFF"/>
        </w:rPr>
        <w:t xml:space="preserve">, the builder scores each prototype by its best-matching conformer (max cosine over conformers), softmax-weights the top-eight prototypes into a prototype-context vector </w:t>
      </w:r>
      <m:oMath>
        <m:sSub>
          <m:sSubPr>
            <m:ctrlPr>
              <w:rPr>
                <w:rFonts w:ascii="Cambria Math" w:hAnsi="Cambria Math"/>
              </w:rPr>
            </m:ctrlPr>
          </m:sSubPr>
          <m:e>
            <m:r>
              <m:rPr>
                <m:sty m:val="bi"/>
              </m:rPr>
              <w:rPr>
                <w:rFonts w:ascii="Cambria Math" w:hAnsi="Cambria Math"/>
              </w:rPr>
              <m:t>u</m:t>
            </m:r>
          </m:e>
          <m:sub>
            <m:r>
              <w:rPr>
                <w:rFonts w:ascii="Cambria Math" w:hAnsi="Cambria Math"/>
              </w:rPr>
              <m:t>b</m:t>
            </m:r>
          </m:sub>
        </m:sSub>
      </m:oMath>
      <w:r>
        <w:rPr>
          <w:rFonts w:ascii="Arial" w:hAnsi="Arial" w:cs="Arial"/>
          <w:color w:val="000000"/>
          <w:shd w:val="clear" w:color="auto" w:fill="FFFFFF"/>
        </w:rPr>
        <w:t xml:space="preserve">, and maps the concatenation of the bag summary </w:t>
      </w:r>
      <m:oMath>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r</m:t>
                </m:r>
              </m:e>
            </m:acc>
          </m:e>
          <m:sub>
            <m:r>
              <w:rPr>
                <w:rFonts w:ascii="Cambria Math" w:hAnsi="Cambria Math"/>
              </w:rPr>
              <m:t>b</m:t>
            </m:r>
          </m:sub>
        </m:sSub>
      </m:oMath>
      <w:r>
        <w:rPr>
          <w:rFonts w:ascii="Arial" w:hAnsi="Arial" w:cs="Arial"/>
          <w:color w:val="000000"/>
          <w:shd w:val="clear" w:color="auto" w:fill="FFFFFF"/>
        </w:rPr>
        <w:t xml:space="preserve"> and this context through a small MLP (LayerNorm → Linear </w:t>
      </w:r>
      <m:oMath>
        <m:r>
          <w:rPr>
            <w:rFonts w:ascii="Cambria Math" w:hAnsi="Cambria Math"/>
          </w:rPr>
          <m:t>2D​</m:t>
        </m:r>
        <m:r>
          <m:rPr>
            <m:sty m:val="p"/>
          </m:rPr>
          <w:rPr>
            <w:rFonts w:ascii="Cambria Math" w:hAnsi="Cambria Math"/>
          </w:rPr>
          <m:t>→</m:t>
        </m:r>
        <m:r>
          <w:rPr>
            <w:rFonts w:ascii="Cambria Math" w:hAnsi="Cambria Math"/>
          </w:rPr>
          <m:t>​D</m:t>
        </m:r>
      </m:oMath>
      <w:r>
        <w:rPr>
          <w:rFonts w:ascii="Arial" w:hAnsi="Arial" w:cs="Arial"/>
          <w:color w:val="000000"/>
          <w:shd w:val="clear" w:color="auto" w:fill="FFFFFF"/>
        </w:rPr>
        <w:t xml:space="preserve"> → tanh) to an external query:</w:t>
      </w:r>
    </w:p>
    <w:p w14:paraId="791FF7A0" w14:textId="77777777" w:rsidR="005935A2" w:rsidRDefault="00000000" w:rsidP="005935A2">
      <w:pPr>
        <w:spacing w:line="360" w:lineRule="auto"/>
        <w:jc w:val="center"/>
        <w:rPr>
          <w:rFonts w:ascii="Arial" w:hAnsi="Arial" w:cs="Arial"/>
        </w:rPr>
      </w:pP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n</m:t>
            </m:r>
          </m:lim>
        </m:limLow>
        <m:r>
          <m:rPr>
            <m:sty m:val="p"/>
          </m:rPr>
          <w:rPr>
            <w:rFonts w:ascii="Cambria Math" w:hAnsi="Cambria Math"/>
          </w:rPr>
          <m:t>cos(</m:t>
        </m:r>
        <m:sSub>
          <m:sSubPr>
            <m:ctrlPr>
              <w:rPr>
                <w:rFonts w:ascii="Cambria Math" w:hAnsi="Cambria Math"/>
              </w:rPr>
            </m:ctrlPr>
          </m:sSubPr>
          <m:e>
            <m:r>
              <m:rPr>
                <m:sty m:val="bi"/>
              </m:rPr>
              <w:rPr>
                <w:rFonts w:ascii="Cambria Math" w:hAnsi="Cambria Math"/>
              </w:rPr>
              <m:t>z</m:t>
            </m:r>
          </m:e>
          <m:sub>
            <m:r>
              <w:rPr>
                <w:rFonts w:ascii="Cambria Math" w:hAnsi="Cambria Math"/>
              </w:rPr>
              <m:t>b</m:t>
            </m:r>
            <m:r>
              <m:rPr>
                <m:sty m:val="p"/>
              </m:rPr>
              <w:rPr>
                <w:rFonts w:ascii="Cambria Math" w:hAnsi="Cambria Math"/>
              </w:rPr>
              <m:t>,</m:t>
            </m:r>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softmax</m:t>
            </m:r>
          </m:e>
          <m:lim>
            <m:r>
              <w:rPr>
                <w:rFonts w:ascii="Cambria Math" w:hAnsi="Cambria Math"/>
              </w:rPr>
              <m:t>j</m:t>
            </m:r>
            <m:r>
              <m:rPr>
                <m:sty m:val="p"/>
              </m:rPr>
              <w:rPr>
                <w:rFonts w:ascii="Cambria Math" w:hAnsi="Cambria Math"/>
              </w:rPr>
              <m:t>∈</m:t>
            </m:r>
            <m:r>
              <m:rPr>
                <m:nor/>
              </m:rPr>
              <m:t>top-</m:t>
            </m:r>
            <m:r>
              <w:rPr>
                <w:rFonts w:ascii="Cambria Math" w:hAnsi="Cambria Math"/>
              </w:rPr>
              <m:t>8</m:t>
            </m:r>
          </m:lim>
        </m:limLow>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q</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u</m:t>
            </m:r>
          </m:e>
          <m:sub>
            <m:r>
              <w:rPr>
                <w:rFonts w:ascii="Cambria Math" w:hAnsi="Cambria Math"/>
              </w:rPr>
              <m:t>b</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j</m:t>
                </m:r>
              </m:sub>
            </m:sSub>
          </m:e>
        </m:nary>
        <m:r>
          <w:rPr>
            <w:rFonts w:ascii="Cambria Math" w:hAnsi="Cambria Math"/>
          </w:rPr>
          <m:t> </m:t>
        </m:r>
        <m:sSub>
          <m:sSubPr>
            <m:ctrlPr>
              <w:rPr>
                <w:rFonts w:ascii="Cambria Math" w:hAnsi="Cambria Math"/>
              </w:rPr>
            </m:ctrlPr>
          </m:sSubPr>
          <m:e>
            <m:r>
              <m:rPr>
                <m:sty m:val="bi"/>
              </m:rPr>
              <w:rPr>
                <w:rFonts w:ascii="Cambria Math" w:hAnsi="Cambria Math"/>
              </w:rPr>
              <m:t>p</m:t>
            </m:r>
          </m:e>
          <m:sub>
            <m:r>
              <w:rPr>
                <w:rFonts w:ascii="Cambria Math" w:hAnsi="Cambria Math"/>
              </w:rPr>
              <m:t>j</m:t>
            </m:r>
          </m:sub>
        </m:sSub>
      </m:oMath>
      <w:r w:rsidR="005935A2">
        <w:rPr>
          <w:rFonts w:ascii="Arial" w:hAnsi="Arial" w:cs="Arial"/>
          <w:color w:val="000000"/>
          <w:shd w:val="clear" w:color="auto" w:fill="FFFFFF"/>
        </w:rPr>
        <w:t>  (19)</w:t>
      </w:r>
    </w:p>
    <w:p w14:paraId="5A6B9C9A" w14:textId="77777777" w:rsidR="005935A2" w:rsidRDefault="00000000" w:rsidP="005935A2">
      <w:pPr>
        <w:spacing w:line="360" w:lineRule="auto"/>
        <w:jc w:val="center"/>
        <w:rPr>
          <w:rFonts w:ascii="Arial" w:hAnsi="Arial" w:cs="Arial"/>
        </w:rPr>
      </w:pPr>
      <m:oMath>
        <m:sSubSup>
          <m:sSubSupPr>
            <m:ctrlPr>
              <w:rPr>
                <w:rFonts w:ascii="Cambria Math" w:hAnsi="Cambria Math"/>
              </w:rPr>
            </m:ctrlPr>
          </m:sSubSupPr>
          <m:e>
            <m:r>
              <m:rPr>
                <m:sty m:val="bi"/>
              </m:rPr>
              <w:rPr>
                <w:rFonts w:ascii="Cambria Math" w:hAnsi="Cambria Math"/>
              </w:rPr>
              <m:t>q</m:t>
            </m:r>
          </m:e>
          <m:sub>
            <m:r>
              <w:rPr>
                <w:rFonts w:ascii="Cambria Math" w:hAnsi="Cambria Math"/>
              </w:rPr>
              <m:t>b</m:t>
            </m:r>
          </m:sub>
          <m:sup>
            <m:r>
              <m:rPr>
                <m:sty m:val="p"/>
              </m:rPr>
              <w:rPr>
                <w:rFonts w:ascii="Cambria Math" w:hAnsi="Cambria Math"/>
              </w:rPr>
              <m:t>ext</m:t>
            </m:r>
          </m:sup>
        </m:sSubSup>
        <m:r>
          <m:rPr>
            <m:sty m:val="p"/>
          </m:rPr>
          <w:rPr>
            <w:rFonts w:ascii="Cambria Math" w:hAnsi="Cambria Math"/>
          </w:rPr>
          <m:t>=tanh(</m:t>
        </m:r>
        <m:sSub>
          <m:sSubPr>
            <m:ctrlPr>
              <w:rPr>
                <w:rFonts w:ascii="Cambria Math" w:hAnsi="Cambria Math"/>
              </w:rPr>
            </m:ctrlPr>
          </m:sSubPr>
          <m:e>
            <m:r>
              <m:rPr>
                <m:sty m:val="bi"/>
              </m:rPr>
              <w:rPr>
                <w:rFonts w:ascii="Cambria Math" w:hAnsi="Cambria Math"/>
              </w:rPr>
              <m:t>W</m:t>
            </m:r>
          </m:e>
          <m:sub>
            <m:r>
              <w:rPr>
                <w:rFonts w:ascii="Cambria Math" w:hAnsi="Cambria Math"/>
              </w:rPr>
              <m:t>q</m:t>
            </m:r>
          </m:sub>
        </m:sSub>
        <m:r>
          <w:rPr>
            <w:rFonts w:ascii="Cambria Math" w:hAnsi="Cambria Math"/>
          </w:rPr>
          <m:t> </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r</m:t>
                </m:r>
              </m:e>
            </m:acc>
          </m:e>
          <m:sub>
            <m:r>
              <w:rPr>
                <w:rFonts w:ascii="Cambria Math" w:hAnsi="Cambria Math"/>
              </w:rPr>
              <m:t>b</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u</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q</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b</m:t>
            </m:r>
          </m:sub>
        </m:sSub>
        <m:r>
          <m:rPr>
            <m:sty m:val="p"/>
          </m:rPr>
          <w:rPr>
            <w:rFonts w:ascii="Cambria Math" w:hAnsi="Cambria Math"/>
          </w:rPr>
          <m:t>=clip(</m:t>
        </m:r>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1</m:t>
        </m:r>
        <m:r>
          <m:rPr>
            <m:sty m:val="p"/>
          </m:rPr>
          <w:rPr>
            <w:rFonts w:ascii="Cambria Math" w:hAnsi="Cambria Math"/>
          </w:rPr>
          <m:t>)</m:t>
        </m:r>
      </m:oMath>
      <w:r w:rsidR="005935A2">
        <w:rPr>
          <w:rFonts w:ascii="Arial" w:hAnsi="Arial" w:cs="Arial"/>
          <w:color w:val="000000"/>
          <w:shd w:val="clear" w:color="auto" w:fill="FFFFFF"/>
        </w:rPr>
        <w:t>  (20)</w:t>
      </w:r>
    </w:p>
    <w:p w14:paraId="6D6393F0" w14:textId="1EA3D566" w:rsidR="005935A2" w:rsidRDefault="005935A2" w:rsidP="005935A2">
      <w:pPr>
        <w:spacing w:line="360" w:lineRule="auto"/>
        <w:ind w:firstLine="426"/>
        <w:jc w:val="both"/>
        <w:rPr>
          <w:rFonts w:ascii="Arial" w:hAnsi="Arial" w:cs="Arial"/>
          <w:color w:val="000000"/>
        </w:rPr>
      </w:pPr>
      <w:r>
        <w:rPr>
          <w:rFonts w:ascii="Arial" w:hAnsi="Arial" w:cs="Arial"/>
          <w:color w:val="000000"/>
          <w:shd w:val="clear" w:color="auto" w:fill="FFFFFF"/>
        </w:rPr>
        <w:lastRenderedPageBreak/>
        <w:t xml:space="preserve">The aggregator conditions its learned </w:t>
      </w:r>
      <w:r w:rsidR="007B3F4B">
        <w:rPr>
          <w:rFonts w:ascii="Arial" w:hAnsi="Arial" w:cs="Arial"/>
          <w:color w:val="000000"/>
          <w:shd w:val="clear" w:color="auto" w:fill="FFFFFF"/>
        </w:rPr>
        <w:t>pooling</w:t>
      </w:r>
      <w:r>
        <w:rPr>
          <w:rFonts w:ascii="Arial" w:hAnsi="Arial" w:cs="Arial"/>
          <w:color w:val="000000"/>
          <w:shd w:val="clear" w:color="auto" w:fill="FFFFFF"/>
        </w:rPr>
        <w:t xml:space="preserve"> query on this external query </w:t>
      </w:r>
      <w:r w:rsidR="008A4945">
        <w:rPr>
          <w:rFonts w:ascii="Arial" w:hAnsi="Arial" w:cs="Arial"/>
          <w:color w:val="000000"/>
          <w:shd w:val="clear" w:color="auto" w:fill="FFFFFF"/>
        </w:rPr>
        <w:t>via</w:t>
      </w:r>
      <w:r>
        <w:rPr>
          <w:rFonts w:ascii="Arial" w:hAnsi="Arial" w:cs="Arial"/>
          <w:color w:val="000000"/>
          <w:shd w:val="clear" w:color="auto" w:fill="FFFFFF"/>
        </w:rPr>
        <w:t xml:space="preserve"> a gated linear projection and blends the resulting attention with the base (learned-query) attention using the weight </w:t>
      </w:r>
      <m:oMath>
        <m:r>
          <w:rPr>
            <w:rFonts w:ascii="Cambria Math" w:hAnsi="Cambria Math"/>
          </w:rPr>
          <m:t>w</m:t>
        </m:r>
      </m:oMath>
      <w:r>
        <w:rPr>
          <w:rFonts w:ascii="Arial" w:hAnsi="Arial" w:cs="Arial"/>
          <w:color w:val="000000"/>
          <w:shd w:val="clear" w:color="auto" w:fill="FFFFFF"/>
        </w:rPr>
        <w:t>:</w:t>
      </w:r>
    </w:p>
    <w:p w14:paraId="202F4FC8" w14:textId="77777777" w:rsidR="005935A2" w:rsidRDefault="00000000" w:rsidP="005935A2">
      <w:pPr>
        <w:spacing w:line="360" w:lineRule="auto"/>
        <w:jc w:val="center"/>
        <w:rPr>
          <w:rFonts w:ascii="Arial" w:hAnsi="Arial" w:cs="Arial"/>
        </w:rPr>
      </w:pPr>
      <m:oMath>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q</m:t>
                </m:r>
              </m:e>
            </m:acc>
          </m:e>
          <m:sub>
            <m:r>
              <w:rPr>
                <w:rFonts w:ascii="Cambria Math" w:hAnsi="Cambria Math"/>
              </w:rPr>
              <m:t>b</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q</m:t>
            </m:r>
          </m:e>
          <m:sub>
            <m:r>
              <w:rPr>
                <w:rFonts w:ascii="Cambria Math" w:hAnsi="Cambria Math"/>
              </w:rPr>
              <m:t>b</m:t>
            </m:r>
          </m:sub>
          <m:sup>
            <m:r>
              <m:rPr>
                <m:sty m:val="p"/>
              </m:rPr>
              <w:rPr>
                <w:rFonts w:ascii="Cambria Math" w:hAnsi="Cambria Math"/>
              </w:rPr>
              <m:t>CLS</m:t>
            </m:r>
          </m:sup>
        </m:sSub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b</m:t>
            </m:r>
          </m:sub>
        </m:sSub>
        <m:r>
          <w:rPr>
            <w:rFonts w:ascii="Cambria Math" w:hAnsi="Cambria Math"/>
          </w:rPr>
          <m:t> </m:t>
        </m:r>
        <m:sSub>
          <m:sSubPr>
            <m:ctrlPr>
              <w:rPr>
                <w:rFonts w:ascii="Cambria Math" w:hAnsi="Cambria Math"/>
              </w:rPr>
            </m:ctrlPr>
          </m:sSubPr>
          <m:e>
            <m:r>
              <m:rPr>
                <m:sty m:val="bi"/>
              </m:rPr>
              <w:rPr>
                <w:rFonts w:ascii="Cambria Math" w:hAnsi="Cambria Math"/>
              </w:rPr>
              <m:t>W</m:t>
            </m:r>
          </m:e>
          <m:sub>
            <m:r>
              <m:rPr>
                <m:sty m:val="p"/>
              </m:rPr>
              <w:rPr>
                <w:rFonts w:ascii="Cambria Math" w:hAnsi="Cambria Math"/>
              </w:rPr>
              <m:t>ext</m:t>
            </m:r>
          </m:sub>
        </m:sSub>
        <m:r>
          <w:rPr>
            <w:rFonts w:ascii="Cambria Math" w:hAnsi="Cambria Math"/>
          </w:rPr>
          <m:t> </m:t>
        </m:r>
        <m:sSubSup>
          <m:sSubSupPr>
            <m:ctrlPr>
              <w:rPr>
                <w:rFonts w:ascii="Cambria Math" w:hAnsi="Cambria Math"/>
              </w:rPr>
            </m:ctrlPr>
          </m:sSubSupPr>
          <m:e>
            <m:r>
              <m:rPr>
                <m:sty m:val="bi"/>
              </m:rPr>
              <w:rPr>
                <w:rFonts w:ascii="Cambria Math" w:hAnsi="Cambria Math"/>
              </w:rPr>
              <m:t>q</m:t>
            </m:r>
          </m:e>
          <m:sub>
            <m:r>
              <w:rPr>
                <w:rFonts w:ascii="Cambria Math" w:hAnsi="Cambria Math"/>
              </w:rPr>
              <m:t>b</m:t>
            </m:r>
          </m:sub>
          <m:sup>
            <m:r>
              <m:rPr>
                <m:sty m:val="p"/>
              </m:rPr>
              <w:rPr>
                <w:rFonts w:ascii="Cambria Math" w:hAnsi="Cambria Math"/>
              </w:rPr>
              <m:t>ext</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b</m:t>
            </m:r>
            <m:r>
              <m:rPr>
                <m:sty m:val="p"/>
              </m:rPr>
              <w:rPr>
                <w:rFonts w:ascii="Cambria Math" w:hAnsi="Cambria Math"/>
              </w:rPr>
              <m:t>,</m:t>
            </m:r>
            <m:r>
              <w:rPr>
                <w:rFonts w:ascii="Cambria Math" w:hAnsi="Cambria Math"/>
              </w:rPr>
              <m:t>n</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α</m:t>
            </m:r>
          </m:e>
          <m:sub>
            <m:r>
              <w:rPr>
                <w:rFonts w:ascii="Cambria Math" w:hAnsi="Cambria Math"/>
              </w:rPr>
              <m:t>b</m:t>
            </m:r>
            <m:r>
              <m:rPr>
                <m:sty m:val="p"/>
              </m:rPr>
              <w:rPr>
                <w:rFonts w:ascii="Cambria Math" w:hAnsi="Cambria Math"/>
              </w:rPr>
              <m:t>,</m:t>
            </m:r>
            <m:r>
              <w:rPr>
                <w:rFonts w:ascii="Cambria Math" w:hAnsi="Cambria Math"/>
              </w:rPr>
              <m:t>n</m:t>
            </m:r>
          </m:sub>
          <m:sup>
            <m:r>
              <m:rPr>
                <m:sty m:val="p"/>
              </m:rPr>
              <w:rPr>
                <w:rFonts w:ascii="Cambria Math" w:hAnsi="Cambria Math"/>
              </w:rPr>
              <m:t>base</m:t>
            </m:r>
          </m:sup>
        </m:sSubSup>
        <m:r>
          <m:rPr>
            <m:sty m:val="p"/>
          </m:rPr>
          <w:rPr>
            <w:rFonts w:ascii="Cambria Math" w:hAnsi="Cambria Math"/>
          </w:rPr>
          <m:t>+</m:t>
        </m:r>
        <m:r>
          <w:rPr>
            <w:rFonts w:ascii="Cambria Math" w:hAnsi="Cambria Math"/>
          </w:rPr>
          <m:t>w </m:t>
        </m:r>
        <m:sSubSup>
          <m:sSubSupPr>
            <m:ctrlPr>
              <w:rPr>
                <w:rFonts w:ascii="Cambria Math" w:hAnsi="Cambria Math"/>
              </w:rPr>
            </m:ctrlPr>
          </m:sSubSupPr>
          <m:e>
            <m:r>
              <w:rPr>
                <w:rFonts w:ascii="Cambria Math" w:hAnsi="Cambria Math"/>
              </w:rPr>
              <m:t>α</m:t>
            </m:r>
          </m:e>
          <m:sub>
            <m:r>
              <w:rPr>
                <w:rFonts w:ascii="Cambria Math" w:hAnsi="Cambria Math"/>
              </w:rPr>
              <m:t>b</m:t>
            </m:r>
            <m:r>
              <m:rPr>
                <m:sty m:val="p"/>
              </m:rPr>
              <w:rPr>
                <w:rFonts w:ascii="Cambria Math" w:hAnsi="Cambria Math"/>
              </w:rPr>
              <m:t>,</m:t>
            </m:r>
            <m:r>
              <w:rPr>
                <w:rFonts w:ascii="Cambria Math" w:hAnsi="Cambria Math"/>
              </w:rPr>
              <m:t>n</m:t>
            </m:r>
          </m:sub>
          <m:sup>
            <m:r>
              <m:rPr>
                <m:sty m:val="p"/>
              </m:rPr>
              <w:rPr>
                <w:rFonts w:ascii="Cambria Math" w:hAnsi="Cambria Math"/>
              </w:rPr>
              <m:t>active</m:t>
            </m:r>
          </m:sup>
        </m:sSubSup>
      </m:oMath>
      <w:r w:rsidR="005935A2">
        <w:rPr>
          <w:rFonts w:ascii="Arial" w:hAnsi="Arial" w:cs="Arial"/>
          <w:color w:val="000000"/>
          <w:shd w:val="clear" w:color="auto" w:fill="FFFFFF"/>
        </w:rPr>
        <w:t>  (21)</w:t>
      </w:r>
    </w:p>
    <w:p w14:paraId="52146D38" w14:textId="75448785" w:rsidR="005935A2" w:rsidRDefault="005935A2" w:rsidP="005935A2">
      <w:pPr>
        <w:spacing w:line="360" w:lineRule="auto"/>
        <w:ind w:firstLine="426"/>
        <w:jc w:val="both"/>
        <w:rPr>
          <w:rFonts w:ascii="Arial" w:hAnsi="Arial" w:cs="Arial"/>
          <w:color w:val="000000"/>
        </w:rPr>
      </w:pPr>
      <w:r>
        <w:rPr>
          <w:rFonts w:ascii="Arial" w:hAnsi="Arial" w:cs="Arial"/>
          <w:b/>
          <w:bCs/>
          <w:color w:val="000000"/>
          <w:shd w:val="clear" w:color="auto" w:fill="FFFFFF"/>
        </w:rPr>
        <w:t xml:space="preserve">where </w:t>
      </w:r>
      <m:oMath>
        <m:r>
          <w:rPr>
            <w:rFonts w:ascii="Cambria Math" w:hAnsi="Cambria Math"/>
          </w:rPr>
          <m:t>w</m:t>
        </m:r>
        <m:r>
          <m:rPr>
            <m:sty m:val="p"/>
          </m:rPr>
          <w:rPr>
            <w:rFonts w:ascii="Cambria Math" w:hAnsi="Cambria Math"/>
          </w:rPr>
          <m:t>(</m:t>
        </m:r>
        <m:r>
          <w:rPr>
            <w:rFonts w:ascii="Cambria Math" w:hAnsi="Cambria Math"/>
          </w:rPr>
          <m:t>e</m:t>
        </m:r>
        <m:r>
          <m:rPr>
            <m:sty m:val="p"/>
          </m:rPr>
          <w:rPr>
            <w:rFonts w:ascii="Cambria Math" w:hAnsi="Cambria Math"/>
          </w:rPr>
          <m:t>)</m:t>
        </m:r>
      </m:oMath>
      <w:r>
        <w:rPr>
          <w:rFonts w:ascii="Arial" w:hAnsi="Arial" w:cs="Arial"/>
          <w:color w:val="000000"/>
          <w:shd w:val="clear" w:color="auto" w:fill="FFFFFF"/>
        </w:rPr>
        <w:t xml:space="preserve"> is the blend weight at epoch </w:t>
      </w:r>
      <m:oMath>
        <m:r>
          <w:rPr>
            <w:rFonts w:ascii="Cambria Math" w:hAnsi="Cambria Math"/>
          </w:rPr>
          <m:t>e</m:t>
        </m:r>
      </m:oMath>
      <w:r>
        <w:rPr>
          <w:rFonts w:ascii="Arial" w:hAnsi="Arial" w:cs="Arial"/>
          <w:color w:val="000000"/>
          <w:shd w:val="clear" w:color="auto" w:fill="FFFFFF"/>
        </w:rPr>
        <w:t xml:space="preserve">, ramped from the focus-trigger epoch </w:t>
      </w:r>
      <m:oMath>
        <m:sSub>
          <m:sSubPr>
            <m:ctrlPr>
              <w:rPr>
                <w:rFonts w:ascii="Cambria Math" w:hAnsi="Cambria Math"/>
              </w:rPr>
            </m:ctrlPr>
          </m:sSubPr>
          <m:e>
            <m:r>
              <w:rPr>
                <w:rFonts w:ascii="Cambria Math" w:hAnsi="Cambria Math"/>
              </w:rPr>
              <m:t>e</m:t>
            </m:r>
          </m:e>
          <m:sub>
            <m:r>
              <m:rPr>
                <m:sty m:val="p"/>
              </m:rPr>
              <w:rPr>
                <w:rFonts w:ascii="Cambria Math" w:hAnsi="Cambria Math"/>
              </w:rPr>
              <m:t>focus</m:t>
            </m:r>
          </m:sub>
        </m:sSub>
      </m:oMath>
      <w:r>
        <w:rPr>
          <w:rFonts w:ascii="Arial" w:hAnsi="Arial" w:cs="Arial"/>
          <w:color w:val="000000"/>
          <w:shd w:val="clear" w:color="auto" w:fill="FFFFFF"/>
        </w:rPr>
        <w:t xml:space="preserve"> to </w:t>
      </w:r>
      <m:oMath>
        <m:sSub>
          <m:sSubPr>
            <m:ctrlPr>
              <w:rPr>
                <w:rFonts w:ascii="Cambria Math" w:hAnsi="Cambria Math"/>
              </w:rPr>
            </m:ctrlPr>
          </m:sSubPr>
          <m:e>
            <m:r>
              <w:rPr>
                <w:rFonts w:ascii="Cambria Math" w:hAnsi="Cambria Math"/>
              </w:rPr>
              <m:t>w</m:t>
            </m:r>
          </m:e>
          <m:sub>
            <m:r>
              <m:rPr>
                <m:sty m:val="p"/>
              </m:rPr>
              <w:rPr>
                <w:rFonts w:ascii="Cambria Math" w:hAnsi="Cambria Math"/>
              </w:rPr>
              <m:t>max</m:t>
            </m:r>
          </m:sub>
        </m:sSub>
      </m:oMath>
      <w:r>
        <w:rPr>
          <w:rFonts w:ascii="Arial" w:hAnsi="Arial" w:cs="Arial"/>
          <w:color w:val="000000"/>
          <w:shd w:val="clear" w:color="auto" w:fill="FFFFFF"/>
        </w:rPr>
        <w:t xml:space="preserve"> over </w:t>
      </w:r>
      <m:oMath>
        <m:r>
          <w:rPr>
            <w:rFonts w:ascii="Cambria Math" w:hAnsi="Cambria Math"/>
          </w:rPr>
          <m:t>R</m:t>
        </m:r>
      </m:oMath>
      <w:r>
        <w:rPr>
          <w:rFonts w:ascii="Arial" w:hAnsi="Arial" w:cs="Arial"/>
          <w:color w:val="000000"/>
          <w:shd w:val="clear" w:color="auto" w:fill="FFFFFF"/>
        </w:rPr>
        <w:t xml:space="preserve"> epochs;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e</m:t>
            </m:r>
          </m:sub>
        </m:sSub>
      </m:oMath>
      <w:r>
        <w:rPr>
          <w:rFonts w:ascii="Arial" w:hAnsi="Arial" w:cs="Arial"/>
          <w:color w:val="000000"/>
          <w:shd w:val="clear" w:color="auto" w:fill="FFFFFF"/>
        </w:rPr>
        <w:t xml:space="preserve"> the epoch’s candidate set (the top-</w:t>
      </w:r>
      <m:oMath>
        <m:sSub>
          <m:sSubPr>
            <m:ctrlPr>
              <w:rPr>
                <w:rFonts w:ascii="Cambria Math" w:hAnsi="Cambria Math"/>
              </w:rPr>
            </m:ctrlPr>
          </m:sSubPr>
          <m:e>
            <m:r>
              <w:rPr>
                <w:rFonts w:ascii="Cambria Math" w:hAnsi="Cambria Math"/>
              </w:rPr>
              <m:t>m</m:t>
            </m:r>
          </m:e>
          <m:sub>
            <m:r>
              <w:rPr>
                <w:rFonts w:ascii="Cambria Math" w:hAnsi="Cambria Math"/>
              </w:rPr>
              <m:t>c</m:t>
            </m:r>
          </m:sub>
        </m:sSub>
      </m:oMath>
      <w:r>
        <w:rPr>
          <w:rFonts w:ascii="Arial" w:hAnsi="Arial" w:cs="Arial"/>
          <w:color w:val="000000"/>
          <w:shd w:val="clear" w:color="auto" w:fill="FFFFFF"/>
        </w:rPr>
        <w:t xml:space="preserve"> highest-attention conformers of bags with </w:t>
      </w:r>
      <m:oMath>
        <m:sSub>
          <m:sSubPr>
            <m:ctrlPr>
              <w:rPr>
                <w:rFonts w:ascii="Cambria Math" w:hAnsi="Cambria Math"/>
              </w:rPr>
            </m:ctrlPr>
          </m:sSubPr>
          <m:e>
            <m:r>
              <w:rPr>
                <w:rFonts w:ascii="Cambria Math" w:hAnsi="Cambria Math"/>
              </w:rPr>
              <m:t>y</m:t>
            </m:r>
          </m:e>
          <m:sub>
            <m:r>
              <w:rPr>
                <w:rFonts w:ascii="Cambria Math" w:hAnsi="Cambria Math"/>
              </w:rPr>
              <m:t>b</m:t>
            </m:r>
          </m:sub>
        </m:sSub>
        <m:r>
          <m:rPr>
            <m:sty m:val="p"/>
          </m:rPr>
          <w:rPr>
            <w:rFonts w:ascii="Cambria Math" w:hAnsi="Cambria Math"/>
          </w:rPr>
          <m:t>≥</m:t>
        </m:r>
        <m:r>
          <w:rPr>
            <w:rFonts w:ascii="Cambria Math" w:hAnsi="Cambria Math"/>
          </w:rPr>
          <m:t>7.0</m:t>
        </m:r>
      </m:oMath>
      <w:r>
        <w:rPr>
          <w:rFonts w:ascii="Arial" w:hAnsi="Arial" w:cs="Arial"/>
          <w:color w:val="000000"/>
          <w:shd w:val="clear" w:color="auto" w:fill="FFFFFF"/>
        </w:rPr>
        <w:t xml:space="preserve">); </w:t>
      </w:r>
      <m:oMath>
        <m:sSub>
          <m:sSubPr>
            <m:ctrlPr>
              <w:rPr>
                <w:rFonts w:ascii="Cambria Math" w:hAnsi="Cambria Math"/>
              </w:rPr>
            </m:ctrlPr>
          </m:sSubPr>
          <m:e>
            <m:r>
              <m:rPr>
                <m:sty m:val="bi"/>
              </m:rPr>
              <w:rPr>
                <w:rFonts w:ascii="Cambria Math" w:hAnsi="Cambria Math"/>
              </w:rPr>
              <m:t>p</m:t>
            </m:r>
          </m:e>
          <m:sub>
            <m:r>
              <w:rPr>
                <w:rFonts w:ascii="Cambria Math" w:hAnsi="Cambria Math"/>
              </w:rPr>
              <m:t>j</m:t>
            </m:r>
          </m:sub>
        </m:sSub>
      </m:oMath>
      <w:r>
        <w:rPr>
          <w:rFonts w:ascii="Arial" w:hAnsi="Arial" w:cs="Arial"/>
          <w:color w:val="000000"/>
          <w:shd w:val="clear" w:color="auto" w:fill="FFFFFF"/>
        </w:rPr>
        <w:t xml:space="preserve"> the prototypes formed by clustering candidate groups </w:t>
      </w:r>
      <m:oMath>
        <m:sSub>
          <m:sSubPr>
            <m:ctrlPr>
              <w:rPr>
                <w:rFonts w:ascii="Cambria Math" w:hAnsi="Cambria Math"/>
              </w:rPr>
            </m:ctrlPr>
          </m:sSubPr>
          <m:e>
            <m:r>
              <w:rPr>
                <w:rFonts w:ascii="Cambria Math" w:hAnsi="Cambria Math"/>
              </w:rPr>
              <m:t>G</m:t>
            </m:r>
          </m:e>
          <m:sub>
            <m:r>
              <w:rPr>
                <w:rFonts w:ascii="Cambria Math" w:hAnsi="Cambria Math"/>
              </w:rPr>
              <m:t>j</m:t>
            </m:r>
          </m:sub>
        </m:sSub>
      </m:oMath>
      <w:r>
        <w:rPr>
          <w:rFonts w:ascii="Arial" w:hAnsi="Arial" w:cs="Arial"/>
          <w:color w:val="000000"/>
          <w:shd w:val="clear" w:color="auto" w:fill="FFFFFF"/>
        </w:rPr>
        <w:t xml:space="preserve">; </w:t>
      </w:r>
      <m:oMath>
        <m:sSub>
          <m:sSubPr>
            <m:ctrlPr>
              <w:rPr>
                <w:rFonts w:ascii="Cambria Math" w:hAnsi="Cambria Math"/>
              </w:rPr>
            </m:ctrlPr>
          </m:sSubPr>
          <m:e>
            <m:r>
              <m:rPr>
                <m:sty m:val="bi"/>
              </m:rPr>
              <w:rPr>
                <w:rFonts w:ascii="Cambria Math" w:hAnsi="Cambria Math"/>
              </w:rPr>
              <m:t>u</m:t>
            </m:r>
          </m:e>
          <m:sub>
            <m:r>
              <w:rPr>
                <w:rFonts w:ascii="Cambria Math" w:hAnsi="Cambria Math"/>
              </w:rPr>
              <m:t>b</m:t>
            </m:r>
          </m:sub>
        </m:sSub>
      </m:oMath>
      <w:r>
        <w:rPr>
          <w:rFonts w:ascii="Arial" w:hAnsi="Arial" w:cs="Arial"/>
          <w:color w:val="000000"/>
          <w:shd w:val="clear" w:color="auto" w:fill="FFFFFF"/>
        </w:rPr>
        <w:t xml:space="preserve"> the prototype-context vector and </w:t>
      </w:r>
      <m:oMath>
        <m:sSubSup>
          <m:sSubSupPr>
            <m:ctrlPr>
              <w:rPr>
                <w:rFonts w:ascii="Cambria Math" w:hAnsi="Cambria Math"/>
              </w:rPr>
            </m:ctrlPr>
          </m:sSubSupPr>
          <m:e>
            <m:r>
              <m:rPr>
                <m:sty m:val="bi"/>
              </m:rPr>
              <w:rPr>
                <w:rFonts w:ascii="Cambria Math" w:hAnsi="Cambria Math"/>
              </w:rPr>
              <m:t>q</m:t>
            </m:r>
          </m:e>
          <m:sub>
            <m:r>
              <w:rPr>
                <w:rFonts w:ascii="Cambria Math" w:hAnsi="Cambria Math"/>
              </w:rPr>
              <m:t>b</m:t>
            </m:r>
          </m:sub>
          <m:sup>
            <m:r>
              <m:rPr>
                <m:sty m:val="p"/>
              </m:rPr>
              <w:rPr>
                <w:rFonts w:ascii="Cambria Math" w:hAnsi="Cambria Math"/>
              </w:rPr>
              <m:t>ext</m:t>
            </m:r>
          </m:sup>
        </m:sSubSup>
      </m:oMath>
      <w:r>
        <w:rPr>
          <w:rFonts w:ascii="Arial" w:hAnsi="Arial" w:cs="Arial"/>
          <w:color w:val="000000"/>
          <w:shd w:val="clear" w:color="auto" w:fill="FFFFFF"/>
        </w:rPr>
        <w:t xml:space="preserve"> the resulting external query; </w:t>
      </w:r>
      <m:oMath>
        <m:sSub>
          <m:sSubPr>
            <m:ctrlPr>
              <w:rPr>
                <w:rFonts w:ascii="Cambria Math" w:hAnsi="Cambria Math"/>
              </w:rPr>
            </m:ctrlPr>
          </m:sSubPr>
          <m:e>
            <m:r>
              <w:rPr>
                <w:rFonts w:ascii="Cambria Math" w:hAnsi="Cambria Math"/>
              </w:rPr>
              <m:t>g</m:t>
            </m:r>
          </m:e>
          <m:sub>
            <m:r>
              <w:rPr>
                <w:rFonts w:ascii="Cambria Math" w:hAnsi="Cambria Math"/>
              </w:rPr>
              <m:t>b</m:t>
            </m:r>
          </m:sub>
        </m:sSub>
      </m:oMath>
      <w:r>
        <w:rPr>
          <w:rFonts w:ascii="Arial" w:hAnsi="Arial" w:cs="Arial"/>
          <w:color w:val="000000"/>
          <w:shd w:val="clear" w:color="auto" w:fill="FFFFFF"/>
        </w:rPr>
        <w:t xml:space="preserve"> the per-bag relevance gate; and </w:t>
      </w:r>
      <m:oMath>
        <m:sSup>
          <m:sSupPr>
            <m:ctrlPr>
              <w:rPr>
                <w:rFonts w:ascii="Cambria Math" w:hAnsi="Cambria Math"/>
              </w:rPr>
            </m:ctrlPr>
          </m:sSupPr>
          <m:e>
            <m:r>
              <w:rPr>
                <w:rFonts w:ascii="Cambria Math" w:hAnsi="Cambria Math"/>
              </w:rPr>
              <m:t>α</m:t>
            </m:r>
          </m:e>
          <m:sup>
            <m:r>
              <m:rPr>
                <m:sty m:val="p"/>
              </m:rPr>
              <w:rPr>
                <w:rFonts w:ascii="Cambria Math" w:hAnsi="Cambria Math"/>
              </w:rPr>
              <m:t>base</m:t>
            </m:r>
          </m:sup>
        </m:sSup>
      </m:oMath>
      <w:r>
        <w:rPr>
          <w:rFonts w:ascii="Arial" w:hAnsi="Arial" w:cs="Arial"/>
          <w:color w:val="000000"/>
          <w:shd w:val="clear" w:color="auto" w:fill="FFFFFF"/>
        </w:rPr>
        <w:t xml:space="preserve">, </w:t>
      </w:r>
      <m:oMath>
        <m:sSup>
          <m:sSupPr>
            <m:ctrlPr>
              <w:rPr>
                <w:rFonts w:ascii="Cambria Math" w:hAnsi="Cambria Math"/>
              </w:rPr>
            </m:ctrlPr>
          </m:sSupPr>
          <m:e>
            <m:r>
              <w:rPr>
                <w:rFonts w:ascii="Cambria Math" w:hAnsi="Cambria Math"/>
              </w:rPr>
              <m:t>α</m:t>
            </m:r>
          </m:e>
          <m:sup>
            <m:r>
              <m:rPr>
                <m:sty m:val="p"/>
              </m:rPr>
              <w:rPr>
                <w:rFonts w:ascii="Cambria Math" w:hAnsi="Cambria Math"/>
              </w:rPr>
              <m:t>active</m:t>
            </m:r>
          </m:sup>
        </m:sSup>
      </m:oMath>
      <w:r>
        <w:rPr>
          <w:rFonts w:ascii="Arial" w:hAnsi="Arial" w:cs="Arial"/>
          <w:color w:val="000000"/>
          <w:shd w:val="clear" w:color="auto" w:fill="FFFFFF"/>
        </w:rPr>
        <w:t xml:space="preserve"> the base- and active-query attentions blended by the curriculum weight </w:t>
      </w:r>
      <m:oMath>
        <m:r>
          <w:rPr>
            <w:rFonts w:ascii="Cambria Math" w:hAnsi="Cambria Math"/>
          </w:rPr>
          <m:t>w</m:t>
        </m:r>
      </m:oMath>
      <w:r>
        <w:rPr>
          <w:rFonts w:ascii="Arial" w:hAnsi="Arial" w:cs="Arial"/>
          <w:color w:val="000000"/>
          <w:shd w:val="clear" w:color="auto" w:fill="FFFFFF"/>
        </w:rPr>
        <w:t>.</w:t>
      </w:r>
    </w:p>
    <w:p w14:paraId="1729158B" w14:textId="3C4193F2" w:rsidR="005935A2" w:rsidRPr="005935A2" w:rsidRDefault="005935A2" w:rsidP="005935A2">
      <w:pPr>
        <w:spacing w:line="360" w:lineRule="auto"/>
        <w:ind w:firstLine="426"/>
        <w:jc w:val="both"/>
        <w:rPr>
          <w:rFonts w:ascii="Arial" w:hAnsi="Arial" w:cs="Arial"/>
          <w:color w:val="000000"/>
        </w:rPr>
      </w:pPr>
      <w:r>
        <w:rPr>
          <w:rFonts w:ascii="Arial" w:hAnsi="Arial" w:cs="Arial"/>
          <w:color w:val="000000"/>
          <w:shd w:val="clear" w:color="auto" w:fill="FFFFFF"/>
        </w:rPr>
        <w:t xml:space="preserve">Here </w:t>
      </w:r>
      <m:oMath>
        <m:sSub>
          <m:sSubPr>
            <m:ctrlPr>
              <w:rPr>
                <w:rFonts w:ascii="Cambria Math" w:hAnsi="Cambria Math"/>
              </w:rPr>
            </m:ctrlPr>
          </m:sSubPr>
          <m:e>
            <m:r>
              <w:rPr>
                <w:rFonts w:ascii="Cambria Math" w:hAnsi="Cambria Math"/>
              </w:rPr>
              <m:t>g</m:t>
            </m:r>
          </m:e>
          <m:sub>
            <m:r>
              <w:rPr>
                <w:rFonts w:ascii="Cambria Math" w:hAnsi="Cambria Math"/>
              </w:rPr>
              <m:t>b</m:t>
            </m:r>
          </m:sub>
        </m:sSub>
      </m:oMath>
      <w:r>
        <w:rPr>
          <w:rFonts w:ascii="Arial" w:hAnsi="Arial" w:cs="Arial"/>
          <w:color w:val="000000"/>
          <w:shd w:val="clear" w:color="auto" w:fill="FFFFFF"/>
        </w:rPr>
        <w:t xml:space="preserve"> is a per-bag relevance gate: a bag that resembles no active prototype receives </w:t>
      </w:r>
      <m:oMath>
        <m:sSub>
          <m:sSubPr>
            <m:ctrlPr>
              <w:rPr>
                <w:rFonts w:ascii="Cambria Math" w:hAnsi="Cambria Math"/>
              </w:rPr>
            </m:ctrlPr>
          </m:sSubPr>
          <m:e>
            <m:r>
              <w:rPr>
                <w:rFonts w:ascii="Cambria Math" w:hAnsi="Cambria Math"/>
              </w:rPr>
              <m:t>g</m:t>
            </m:r>
          </m:e>
          <m:sub>
            <m:r>
              <w:rPr>
                <w:rFonts w:ascii="Cambria Math" w:hAnsi="Cambria Math"/>
              </w:rPr>
              <m:t>b</m:t>
            </m:r>
          </m:sub>
        </m:sSub>
        <m:r>
          <m:rPr>
            <m:sty m:val="p"/>
          </m:rPr>
          <w:rPr>
            <w:rFonts w:ascii="Cambria Math" w:hAnsi="Cambria Math"/>
          </w:rPr>
          <m:t>≈</m:t>
        </m:r>
        <m:r>
          <w:rPr>
            <w:rFonts w:ascii="Cambria Math" w:hAnsi="Cambria Math"/>
          </w:rPr>
          <m:t>0</m:t>
        </m:r>
      </m:oMath>
      <w:r>
        <w:rPr>
          <w:rFonts w:ascii="Arial" w:hAnsi="Arial" w:cs="Arial"/>
          <w:color w:val="000000"/>
          <w:shd w:val="clear" w:color="auto" w:fill="FFFFFF"/>
        </w:rPr>
        <w:t xml:space="preserve"> and is left unchanged, whereas a strong prototype match steers the query toward the memory’s bioactive conformers. The normalized attention weights </w:t>
      </w:r>
      <m:oMath>
        <m:sSub>
          <m:sSubPr>
            <m:ctrlPr>
              <w:rPr>
                <w:rFonts w:ascii="Cambria Math" w:hAnsi="Cambria Math"/>
              </w:rPr>
            </m:ctrlPr>
          </m:sSubPr>
          <m:e>
            <m:r>
              <w:rPr>
                <w:rFonts w:ascii="Cambria Math" w:hAnsi="Cambria Math"/>
              </w:rPr>
              <m:t>α</m:t>
            </m:r>
          </m:e>
          <m:sub>
            <m:r>
              <w:rPr>
                <w:rFonts w:ascii="Cambria Math" w:hAnsi="Cambria Math"/>
              </w:rPr>
              <m:t>b</m:t>
            </m:r>
            <m:r>
              <m:rPr>
                <m:sty m:val="p"/>
              </m:rPr>
              <w:rPr>
                <w:rFonts w:ascii="Cambria Math" w:hAnsi="Cambria Math"/>
              </w:rPr>
              <m:t>,</m:t>
            </m:r>
            <m:r>
              <w:rPr>
                <w:rFonts w:ascii="Cambria Math" w:hAnsi="Cambria Math"/>
              </w:rPr>
              <m:t>n</m:t>
            </m:r>
          </m:sub>
        </m:sSub>
      </m:oMath>
      <w:r>
        <w:rPr>
          <w:rFonts w:ascii="Arial" w:hAnsi="Arial" w:cs="Arial"/>
          <w:color w:val="000000"/>
          <w:shd w:val="clear" w:color="auto" w:fill="FFFFFF"/>
        </w:rPr>
        <w:t xml:space="preserve"> are retained as conformer-level importance scores for the key-instance detection (KID) analysis of Section 3.4.</w:t>
      </w:r>
    </w:p>
    <w:p w14:paraId="1C4D8A08" w14:textId="4DAA3E69" w:rsidR="00232A42" w:rsidRDefault="00000000">
      <w:pPr>
        <w:spacing w:line="360" w:lineRule="auto"/>
        <w:ind w:firstLine="426"/>
        <w:jc w:val="both"/>
        <w:rPr>
          <w:rFonts w:ascii="Arial" w:hAnsi="Arial" w:cs="Arial"/>
          <w:color w:val="000000"/>
        </w:rPr>
      </w:pPr>
      <w:r>
        <w:rPr>
          <w:rFonts w:ascii="Arial" w:hAnsi="Arial" w:cs="Arial"/>
          <w:b/>
          <w:bCs/>
          <w:color w:val="000000"/>
          <w:shd w:val="clear" w:color="auto" w:fill="FFFFFF"/>
        </w:rPr>
        <w:t>Training objective.</w:t>
      </w:r>
      <w:r>
        <w:rPr>
          <w:rFonts w:ascii="Arial" w:hAnsi="Arial" w:cs="Arial"/>
          <w:color w:val="000000"/>
          <w:shd w:val="clear" w:color="auto" w:fill="FFFFFF"/>
        </w:rPr>
        <w:t xml:space="preserve"> The network is trained by minimizing the mean-squared error </w:t>
      </w:r>
      <w:r w:rsidR="00DF40FE">
        <w:rPr>
          <w:rFonts w:ascii="Arial" w:hAnsi="Arial" w:cs="Arial"/>
          <w:color w:val="000000"/>
          <w:shd w:val="clear" w:color="auto" w:fill="FFFFFF"/>
        </w:rPr>
        <w:t xml:space="preserve">(MSE) </w:t>
      </w:r>
      <w:r>
        <w:rPr>
          <w:rFonts w:ascii="Arial" w:hAnsi="Arial" w:cs="Arial"/>
          <w:color w:val="000000"/>
          <w:shd w:val="clear" w:color="auto" w:fill="FFFFFF"/>
        </w:rPr>
        <w:t>between predicted and experimental pIC50</w:t>
      </w:r>
      <w:r w:rsidR="00472EA6">
        <w:rPr>
          <w:rFonts w:ascii="Arial" w:hAnsi="Arial" w:cs="Arial"/>
          <w:color w:val="000000"/>
          <w:shd w:val="clear" w:color="auto" w:fill="FFFFFF"/>
        </w:rPr>
        <w:t xml:space="preserve"> values</w:t>
      </w:r>
      <w:r>
        <w:rPr>
          <w:rFonts w:ascii="Arial" w:hAnsi="Arial" w:cs="Arial"/>
          <w:color w:val="000000"/>
          <w:shd w:val="clear" w:color="auto" w:fill="FFFFFF"/>
        </w:rPr>
        <w:t xml:space="preserve">, plus a cluster-preservation regularizer </w:t>
      </w:r>
      <w:r w:rsidR="00472EA6">
        <w:rPr>
          <w:rFonts w:ascii="Arial" w:hAnsi="Arial" w:cs="Arial"/>
          <w:color w:val="000000"/>
          <w:shd w:val="clear" w:color="auto" w:fill="FFFFFF"/>
        </w:rPr>
        <w:t>appli</w:t>
      </w:r>
      <w:r>
        <w:rPr>
          <w:rFonts w:ascii="Arial" w:hAnsi="Arial" w:cs="Arial"/>
          <w:color w:val="000000"/>
          <w:shd w:val="clear" w:color="auto" w:fill="FFFFFF"/>
        </w:rPr>
        <w:t>ed by the aggregator. Each mini-batch is balanced across the congeneric series, and the training loss is importance-weighted (</w:t>
      </w:r>
      <m:oMath>
        <m:sSub>
          <m:sSubPr>
            <m:ctrlPr>
              <w:rPr>
                <w:rFonts w:ascii="Cambria Math" w:hAnsi="Cambria Math"/>
              </w:rPr>
            </m:ctrlPr>
          </m:sSubPr>
          <m:e>
            <m:r>
              <w:rPr>
                <w:rFonts w:ascii="Cambria Math" w:hAnsi="Cambria Math"/>
              </w:rPr>
              <m:t>w</m:t>
            </m:r>
          </m:e>
          <m:sub>
            <m:r>
              <w:rPr>
                <w:rFonts w:ascii="Cambria Math" w:hAnsi="Cambria Math"/>
              </w:rPr>
              <m:t>b</m:t>
            </m:r>
          </m:sub>
        </m:sSub>
      </m:oMath>
      <w:r>
        <w:rPr>
          <w:rFonts w:ascii="Arial" w:hAnsi="Arial" w:cs="Arial"/>
          <w:color w:val="000000"/>
          <w:shd w:val="clear" w:color="auto" w:fill="FFFFFF"/>
        </w:rPr>
        <w:t>, self-normalized) to undo the resulting oversampling:</w:t>
      </w:r>
    </w:p>
    <w:p w14:paraId="0B65DA09" w14:textId="77777777" w:rsidR="00232A42" w:rsidRDefault="00000000">
      <w:pPr>
        <w:spacing w:line="360" w:lineRule="auto"/>
        <w:jc w:val="center"/>
        <w:rPr>
          <w:rFonts w:ascii="Arial" w:hAnsi="Arial" w:cs="Arial"/>
        </w:rPr>
      </w:pPr>
      <m:oMath>
        <m:r>
          <m:rPr>
            <m:scr m:val="script"/>
            <m:sty m:val="p"/>
          </m:rPr>
          <w:rPr>
            <w:rFonts w:ascii="Cambria Math" w:hAnsi="Cambria Math"/>
          </w:rPr>
          <m:t>L=</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b</m:t>
                    </m:r>
                  </m:sub>
                </m:sSub>
              </m:e>
            </m:nary>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b</m:t>
                    </m:r>
                  </m:sub>
                </m:sSub>
              </m:e>
            </m:nary>
          </m:den>
        </m:f>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clus</m:t>
            </m:r>
          </m:sub>
        </m:sSub>
      </m:oMath>
      <w:r>
        <w:rPr>
          <w:rFonts w:ascii="Arial" w:hAnsi="Arial" w:cs="Arial"/>
          <w:color w:val="000000"/>
          <w:shd w:val="clear" w:color="auto" w:fill="FFFFFF"/>
        </w:rPr>
        <w:t>  (13)</w:t>
      </w:r>
    </w:p>
    <w:p w14:paraId="0477A8EA" w14:textId="77777777" w:rsidR="00232A42" w:rsidRDefault="00000000">
      <w:pPr>
        <w:spacing w:line="360" w:lineRule="auto"/>
        <w:ind w:firstLine="426"/>
        <w:jc w:val="both"/>
        <w:rPr>
          <w:rFonts w:ascii="Arial" w:hAnsi="Arial" w:cs="Arial"/>
          <w:color w:val="000000"/>
        </w:rPr>
      </w:pPr>
      <w:r>
        <w:rPr>
          <w:rFonts w:ascii="Arial" w:hAnsi="Arial" w:cs="Arial"/>
          <w:color w:val="000000"/>
          <w:shd w:val="clear" w:color="auto" w:fill="FFFFFF"/>
        </w:rPr>
        <w:t xml:space="preserve">The regularizer combines a within-cluster compactness term and a between-centroid separation term, computed on L2-normalized embeddings </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z</m:t>
                </m:r>
              </m:e>
            </m:acc>
          </m:e>
          <m:sub>
            <m:r>
              <w:rPr>
                <w:rFonts w:ascii="Cambria Math" w:hAnsi="Cambria Math"/>
              </w:rPr>
              <m:t>b</m:t>
            </m:r>
            <m:r>
              <m:rPr>
                <m:sty m:val="p"/>
              </m:rPr>
              <w:rPr>
                <w:rFonts w:ascii="Cambria Math" w:hAnsi="Cambria Math"/>
              </w:rPr>
              <m:t>,</m:t>
            </m:r>
            <m:r>
              <w:rPr>
                <w:rFonts w:ascii="Cambria Math" w:hAnsi="Cambria Math"/>
              </w:rPr>
              <m:t>n</m:t>
            </m:r>
          </m:sub>
        </m:sSub>
      </m:oMath>
      <w:r>
        <w:rPr>
          <w:rFonts w:ascii="Arial" w:hAnsi="Arial" w:cs="Arial"/>
          <w:color w:val="000000"/>
          <w:shd w:val="clear" w:color="auto" w:fill="FFFFFF"/>
        </w:rPr>
        <w:t xml:space="preserve"> with unit centroids </w:t>
      </w:r>
      <m:oMath>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c</m:t>
                </m:r>
              </m:e>
            </m:acc>
          </m:e>
          <m:sub>
            <m:r>
              <w:rPr>
                <w:rFonts w:ascii="Cambria Math" w:hAnsi="Cambria Math"/>
              </w:rPr>
              <m:t>b</m:t>
            </m:r>
            <m:r>
              <m:rPr>
                <m:sty m:val="p"/>
              </m:rPr>
              <w:rPr>
                <w:rFonts w:ascii="Cambria Math" w:hAnsi="Cambria Math"/>
              </w:rPr>
              <m:t>,</m:t>
            </m:r>
            <m:r>
              <w:rPr>
                <w:rFonts w:ascii="Cambria Math" w:hAnsi="Cambria Math"/>
              </w:rPr>
              <m:t>k</m:t>
            </m:r>
          </m:sub>
        </m:sSub>
      </m:oMath>
      <w:r>
        <w:rPr>
          <w:rFonts w:ascii="Arial" w:hAnsi="Arial" w:cs="Arial"/>
          <w:color w:val="000000"/>
          <w:shd w:val="clear" w:color="auto" w:fill="FFFFFF"/>
        </w:rPr>
        <w:t xml:space="preserve"> and a maximum-similarity margin </w:t>
      </w:r>
      <m:oMath>
        <m:sSub>
          <m:sSubPr>
            <m:ctrlPr>
              <w:rPr>
                <w:rFonts w:ascii="Cambria Math" w:hAnsi="Cambria Math"/>
              </w:rPr>
            </m:ctrlPr>
          </m:sSubPr>
          <m:e>
            <m:r>
              <w:rPr>
                <w:rFonts w:ascii="Cambria Math" w:hAnsi="Cambria Math"/>
              </w:rPr>
              <m:t>s</m:t>
            </m:r>
          </m:e>
          <m:sub>
            <m:r>
              <m:rPr>
                <m:sty m:val="p"/>
              </m:rPr>
              <w:rPr>
                <w:rFonts w:ascii="Cambria Math" w:hAnsi="Cambria Math"/>
              </w:rPr>
              <m:t>max</m:t>
            </m:r>
          </m:sub>
        </m:sSub>
      </m:oMath>
      <w:r>
        <w:rPr>
          <w:rFonts w:ascii="Arial" w:hAnsi="Arial" w:cs="Arial"/>
          <w:color w:val="000000"/>
          <w:shd w:val="clear" w:color="auto" w:fill="FFFFFF"/>
        </w:rPr>
        <w:t>:</w:t>
      </w:r>
    </w:p>
    <w:p w14:paraId="61D742B8" w14:textId="77777777" w:rsidR="00232A42" w:rsidRDefault="00000000">
      <w:pPr>
        <w:spacing w:line="360" w:lineRule="auto"/>
        <w:jc w:val="center"/>
        <w:rPr>
          <w:rFonts w:ascii="Arial" w:hAnsi="Arial" w:cs="Arial"/>
        </w:rPr>
      </w:pP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clus</m:t>
            </m:r>
          </m:sub>
        </m:sSub>
        <m:r>
          <m:rPr>
            <m:sty m:val="p"/>
          </m:rPr>
          <w:rPr>
            <w:rFonts w:ascii="Cambria Math" w:hAnsi="Cambria Math"/>
          </w:rPr>
          <m:t>=</m:t>
        </m:r>
        <m:r>
          <w:rPr>
            <w:rFonts w:ascii="Cambria Math" w:hAnsi="Cambria Math"/>
          </w:rPr>
          <m:t>η </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 </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comp</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 </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sep</m:t>
            </m:r>
          </m:sub>
        </m:sSub>
        <m:r>
          <m:rPr>
            <m:sty m:val="p"/>
          </m:rPr>
          <w:rPr>
            <w:rFonts w:ascii="Cambria Math" w:hAnsi="Cambria Math"/>
          </w:rPr>
          <m:t>)</m:t>
        </m:r>
      </m:oMath>
      <w:r>
        <w:rPr>
          <w:rFonts w:ascii="Arial" w:hAnsi="Arial" w:cs="Arial"/>
          <w:color w:val="000000"/>
          <w:shd w:val="clear" w:color="auto" w:fill="FFFFFF"/>
        </w:rPr>
        <w:t>  (14)</w:t>
      </w:r>
    </w:p>
    <w:p w14:paraId="284CFCFC" w14:textId="77777777" w:rsidR="00232A42" w:rsidRDefault="00000000">
      <w:pPr>
        <w:spacing w:line="360" w:lineRule="auto"/>
        <w:jc w:val="center"/>
        <w:rPr>
          <w:rFonts w:ascii="Arial" w:hAnsi="Arial" w:cs="Arial"/>
        </w:rPr>
      </w:pP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comp</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mean</m:t>
            </m:r>
          </m:e>
          <m:lim>
            <m:r>
              <w:rPr>
                <w:rFonts w:ascii="Cambria Math" w:hAnsi="Cambria Math"/>
              </w:rPr>
              <m:t>k</m:t>
            </m:r>
          </m:lim>
        </m:limLow>
        <m:limLow>
          <m:limLowPr>
            <m:ctrlPr>
              <w:rPr>
                <w:rFonts w:ascii="Cambria Math" w:hAnsi="Cambria Math"/>
              </w:rPr>
            </m:ctrlPr>
          </m:limLowPr>
          <m:e>
            <m:r>
              <m:rPr>
                <m:sty m:val="p"/>
              </m:rPr>
              <w:rPr>
                <w:rFonts w:ascii="Cambria Math" w:hAnsi="Cambria Math"/>
              </w:rPr>
              <m:t>mean</m:t>
            </m:r>
          </m:e>
          <m:lim>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lim>
        </m:limLow>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z</m:t>
                </m:r>
              </m:e>
            </m:acc>
          </m:e>
          <m:sub>
            <m:r>
              <w:rPr>
                <w:rFonts w:ascii="Cambria Math" w:hAnsi="Cambria Math"/>
              </w:rPr>
              <m:t>b</m:t>
            </m:r>
            <m:r>
              <m:rPr>
                <m:sty m:val="p"/>
              </m:rPr>
              <w:rPr>
                <w:rFonts w:ascii="Cambria Math" w:hAnsi="Cambria Math"/>
              </w:rPr>
              <m:t>,</m:t>
            </m:r>
            <m:r>
              <w:rPr>
                <w:rFonts w:ascii="Cambria Math" w:hAnsi="Cambria Math"/>
              </w:rPr>
              <m:t>n</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c</m:t>
                </m:r>
              </m:e>
            </m:acc>
          </m:e>
          <m:sub>
            <m:r>
              <w:rPr>
                <w:rFonts w:ascii="Cambria Math" w:hAnsi="Cambria Math"/>
              </w:rPr>
              <m:t>b</m:t>
            </m:r>
            <m:r>
              <m:rPr>
                <m:sty m:val="p"/>
              </m:rPr>
              <w:rPr>
                <w:rFonts w:ascii="Cambria Math" w:hAnsi="Cambria Math"/>
              </w:rPr>
              <m:t>,</m:t>
            </m:r>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sep</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mean</m:t>
            </m:r>
          </m:e>
          <m:lim>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lim>
        </m:limLow>
        <m:r>
          <m:rPr>
            <m:sty m:val="p"/>
          </m:rPr>
          <w:rPr>
            <w:rFonts w:ascii="Cambria Math" w:hAnsi="Cambria Math"/>
          </w:rPr>
          <m:t>[ReLU(cos(</m:t>
        </m:r>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c</m:t>
                </m:r>
              </m:e>
            </m:acc>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c</m:t>
                </m:r>
              </m:e>
            </m:acc>
          </m:e>
          <m:sub>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max</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Pr>
          <w:rFonts w:ascii="Arial" w:hAnsi="Arial" w:cs="Arial"/>
          <w:color w:val="000000"/>
          <w:shd w:val="clear" w:color="auto" w:fill="FFFFFF"/>
        </w:rPr>
        <w:t>  (15)</w:t>
      </w:r>
    </w:p>
    <w:p w14:paraId="360C915D" w14:textId="77777777" w:rsidR="00232A42" w:rsidRDefault="00000000">
      <w:pPr>
        <w:spacing w:line="360" w:lineRule="auto"/>
        <w:ind w:firstLine="426"/>
        <w:jc w:val="both"/>
        <w:rPr>
          <w:rFonts w:ascii="Arial" w:hAnsi="Arial" w:cs="Arial"/>
          <w:color w:val="000000"/>
        </w:rPr>
      </w:pPr>
      <w:r>
        <w:rPr>
          <w:rFonts w:ascii="Arial" w:hAnsi="Arial" w:cs="Arial"/>
          <w:b/>
          <w:bCs/>
          <w:color w:val="000000"/>
          <w:shd w:val="clear" w:color="auto" w:fill="FFFFFF"/>
        </w:rPr>
        <w:t xml:space="preserve">where </w:t>
      </w:r>
      <m:oMath>
        <m:sSub>
          <m:sSubPr>
            <m:ctrlPr>
              <w:rPr>
                <w:rFonts w:ascii="Cambria Math" w:hAnsi="Cambria Math"/>
              </w:rPr>
            </m:ctrlPr>
          </m:sSubPr>
          <m:e>
            <m:r>
              <w:rPr>
                <w:rFonts w:ascii="Cambria Math" w:hAnsi="Cambria Math"/>
              </w:rPr>
              <m:t>y</m:t>
            </m:r>
          </m:e>
          <m:sub>
            <m:r>
              <w:rPr>
                <w:rFonts w:ascii="Cambria Math" w:hAnsi="Cambria Math"/>
              </w:rPr>
              <m:t>b</m:t>
            </m:r>
          </m:sub>
        </m:sSub>
      </m:oMath>
      <w:r>
        <w:rPr>
          <w:rFonts w:ascii="Arial" w:hAnsi="Arial" w:cs="Arial"/>
          <w:color w:val="000000"/>
          <w:shd w:val="clear" w:color="auto" w:fill="FFFFFF"/>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b</m:t>
            </m:r>
          </m:sub>
        </m:sSub>
      </m:oMath>
      <w:r>
        <w:rPr>
          <w:rFonts w:ascii="Arial" w:hAnsi="Arial" w:cs="Arial"/>
          <w:color w:val="000000"/>
          <w:shd w:val="clear" w:color="auto" w:fill="FFFFFF"/>
        </w:rPr>
        <w:t xml:space="preserve"> are the experimental and predicted pIC50; </w:t>
      </w:r>
      <m:oMath>
        <m:sSub>
          <m:sSubPr>
            <m:ctrlPr>
              <w:rPr>
                <w:rFonts w:ascii="Cambria Math" w:hAnsi="Cambria Math"/>
              </w:rPr>
            </m:ctrlPr>
          </m:sSubPr>
          <m:e>
            <m:r>
              <w:rPr>
                <w:rFonts w:ascii="Cambria Math" w:hAnsi="Cambria Math"/>
              </w:rPr>
              <m:t>w</m:t>
            </m:r>
          </m:e>
          <m:sub>
            <m:r>
              <w:rPr>
                <w:rFonts w:ascii="Cambria Math" w:hAnsi="Cambria Math"/>
              </w:rPr>
              <m:t>b</m:t>
            </m:r>
          </m:sub>
        </m:sSub>
      </m:oMath>
      <w:r>
        <w:rPr>
          <w:rFonts w:ascii="Arial" w:hAnsi="Arial" w:cs="Arial"/>
          <w:color w:val="000000"/>
          <w:shd w:val="clear" w:color="auto" w:fill="FFFFFF"/>
        </w:rPr>
        <w:t xml:space="preserve"> the per-molecule series-importance weight; </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clus</m:t>
            </m:r>
          </m:sub>
        </m:sSub>
      </m:oMath>
      <w:r>
        <w:rPr>
          <w:rFonts w:ascii="Arial" w:hAnsi="Arial" w:cs="Arial"/>
          <w:color w:val="000000"/>
          <w:shd w:val="clear" w:color="auto" w:fill="FFFFFF"/>
        </w:rPr>
        <w:t xml:space="preserve"> the cluster-preservation regularizer with coefficients </w:t>
      </w:r>
      <m:oMath>
        <m:r>
          <w:rPr>
            <w:rFonts w:ascii="Cambria Math" w:hAnsi="Cambria Math"/>
          </w:rPr>
          <m:t>η</m:t>
        </m:r>
      </m:oMath>
      <w:r>
        <w:rPr>
          <w:rFonts w:ascii="Arial" w:hAnsi="Arial" w:cs="Arial"/>
          <w:color w:val="000000"/>
          <w:shd w:val="clear" w:color="auto" w:fill="FFFFFF"/>
        </w:rPr>
        <w:t xml:space="preserve">, </w:t>
      </w:r>
      <m:oMath>
        <m:sSub>
          <m:sSubPr>
            <m:ctrlPr>
              <w:rPr>
                <w:rFonts w:ascii="Cambria Math" w:hAnsi="Cambria Math"/>
              </w:rPr>
            </m:ctrlPr>
          </m:sSubPr>
          <m:e>
            <m:r>
              <w:rPr>
                <w:rFonts w:ascii="Cambria Math" w:hAnsi="Cambria Math"/>
              </w:rPr>
              <m:t>w</m:t>
            </m:r>
          </m:e>
          <m:sub>
            <m:r>
              <w:rPr>
                <w:rFonts w:ascii="Cambria Math" w:hAnsi="Cambria Math"/>
              </w:rPr>
              <m:t>c</m:t>
            </m:r>
          </m:sub>
        </m:sSub>
      </m:oMath>
      <w:r>
        <w:rPr>
          <w:rFonts w:ascii="Arial" w:hAnsi="Arial" w:cs="Arial"/>
          <w:color w:val="000000"/>
          <w:shd w:val="clear" w:color="auto" w:fill="FFFFFF"/>
        </w:rPr>
        <w:t xml:space="preserve">, </w:t>
      </w:r>
      <m:oMath>
        <m:sSub>
          <m:sSubPr>
            <m:ctrlPr>
              <w:rPr>
                <w:rFonts w:ascii="Cambria Math" w:hAnsi="Cambria Math"/>
              </w:rPr>
            </m:ctrlPr>
          </m:sSubPr>
          <m:e>
            <m:r>
              <w:rPr>
                <w:rFonts w:ascii="Cambria Math" w:hAnsi="Cambria Math"/>
              </w:rPr>
              <m:t>w</m:t>
            </m:r>
          </m:e>
          <m:sub>
            <m:r>
              <w:rPr>
                <w:rFonts w:ascii="Cambria Math" w:hAnsi="Cambria Math"/>
              </w:rPr>
              <m:t>s</m:t>
            </m:r>
          </m:sub>
        </m:sSub>
      </m:oMath>
      <w:r>
        <w:rPr>
          <w:rFonts w:ascii="Arial" w:hAnsi="Arial" w:cs="Arial"/>
          <w:color w:val="000000"/>
          <w:shd w:val="clear" w:color="auto" w:fill="FFFFFF"/>
        </w:rPr>
        <w:t xml:space="preserve">; </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z</m:t>
                </m:r>
              </m:e>
            </m:acc>
          </m:e>
          <m:sub>
            <m:r>
              <w:rPr>
                <w:rFonts w:ascii="Cambria Math" w:hAnsi="Cambria Math"/>
              </w:rPr>
              <m:t>b</m:t>
            </m:r>
            <m:r>
              <m:rPr>
                <m:sty m:val="p"/>
              </m:rPr>
              <w:rPr>
                <w:rFonts w:ascii="Cambria Math" w:hAnsi="Cambria Math"/>
              </w:rPr>
              <m:t>,</m:t>
            </m:r>
            <m:r>
              <w:rPr>
                <w:rFonts w:ascii="Cambria Math" w:hAnsi="Cambria Math"/>
              </w:rPr>
              <m:t>n</m:t>
            </m:r>
          </m:sub>
        </m:sSub>
      </m:oMath>
      <w:r>
        <w:rPr>
          <w:rFonts w:ascii="Arial" w:hAnsi="Arial" w:cs="Arial"/>
          <w:color w:val="000000"/>
          <w:shd w:val="clear" w:color="auto" w:fill="FFFFFF"/>
        </w:rPr>
        <w:t xml:space="preserve"> and </w:t>
      </w:r>
      <m:oMath>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c</m:t>
                </m:r>
              </m:e>
            </m:acc>
          </m:e>
          <m:sub>
            <m:r>
              <w:rPr>
                <w:rFonts w:ascii="Cambria Math" w:hAnsi="Cambria Math"/>
              </w:rPr>
              <m:t>b</m:t>
            </m:r>
            <m:r>
              <m:rPr>
                <m:sty m:val="p"/>
              </m:rPr>
              <w:rPr>
                <w:rFonts w:ascii="Cambria Math" w:hAnsi="Cambria Math"/>
              </w:rPr>
              <m:t>,</m:t>
            </m:r>
            <m:r>
              <w:rPr>
                <w:rFonts w:ascii="Cambria Math" w:hAnsi="Cambria Math"/>
              </w:rPr>
              <m:t>k</m:t>
            </m:r>
          </m:sub>
        </m:sSub>
      </m:oMath>
      <w:r>
        <w:rPr>
          <w:rFonts w:ascii="Arial" w:hAnsi="Arial" w:cs="Arial"/>
          <w:color w:val="000000"/>
          <w:shd w:val="clear" w:color="auto" w:fill="FFFFFF"/>
        </w:rPr>
        <w:t xml:space="preserve"> the L2-normalized conformer embeddings and unit cluster centroids; and </w:t>
      </w:r>
      <m:oMath>
        <m:sSub>
          <m:sSubPr>
            <m:ctrlPr>
              <w:rPr>
                <w:rFonts w:ascii="Cambria Math" w:hAnsi="Cambria Math"/>
              </w:rPr>
            </m:ctrlPr>
          </m:sSubPr>
          <m:e>
            <m:r>
              <w:rPr>
                <w:rFonts w:ascii="Cambria Math" w:hAnsi="Cambria Math"/>
              </w:rPr>
              <m:t>s</m:t>
            </m:r>
          </m:e>
          <m:sub>
            <m:r>
              <m:rPr>
                <m:sty m:val="p"/>
              </m:rPr>
              <w:rPr>
                <w:rFonts w:ascii="Cambria Math" w:hAnsi="Cambria Math"/>
              </w:rPr>
              <m:t>max</m:t>
            </m:r>
          </m:sub>
        </m:sSub>
      </m:oMath>
      <w:r>
        <w:rPr>
          <w:rFonts w:ascii="Arial" w:hAnsi="Arial" w:cs="Arial"/>
          <w:color w:val="000000"/>
          <w:shd w:val="clear" w:color="auto" w:fill="FFFFFF"/>
        </w:rPr>
        <w:t xml:space="preserve"> the maximum allowed inter-centroid cosine similarity.</w:t>
      </w:r>
    </w:p>
    <w:p w14:paraId="1929F3DA" w14:textId="7C0A7752" w:rsidR="00232A42" w:rsidRDefault="00000000">
      <w:pPr>
        <w:spacing w:line="360" w:lineRule="auto"/>
        <w:ind w:firstLine="426"/>
        <w:jc w:val="both"/>
        <w:rPr>
          <w:rFonts w:ascii="Arial" w:hAnsi="Arial" w:cs="Arial"/>
          <w:color w:val="000000"/>
        </w:rPr>
      </w:pPr>
      <w:r>
        <w:rPr>
          <w:rFonts w:ascii="Arial" w:hAnsi="Arial" w:cs="Arial"/>
          <w:b/>
          <w:bCs/>
          <w:color w:val="000000"/>
          <w:shd w:val="clear" w:color="auto" w:fill="FFFFFF"/>
        </w:rPr>
        <w:t>Training procedure.</w:t>
      </w:r>
      <w:r>
        <w:rPr>
          <w:rFonts w:ascii="Arial" w:hAnsi="Arial" w:cs="Arial"/>
          <w:color w:val="000000"/>
          <w:shd w:val="clear" w:color="auto" w:fill="FFFFFF"/>
        </w:rPr>
        <w:t xml:space="preserve"> Optimization uses AdamW with decoupled weight decay (excluded on biases and normalization parameters) and separate learning rates for the encoder, contextualizer, aggregator, predictor, and active-query builder. Training proceeds in two regimes governed by a validation</w:t>
      </w:r>
      <w:r w:rsidR="005935A2">
        <w:rPr>
          <w:rFonts w:ascii="Arial" w:hAnsi="Arial" w:cs="Arial"/>
          <w:color w:val="000000"/>
          <w:shd w:val="clear" w:color="auto" w:fill="FFFFFF"/>
        </w:rPr>
        <w:t xml:space="preserve"> </w:t>
      </w:r>
      <w:r>
        <w:rPr>
          <w:rFonts w:ascii="Arial" w:hAnsi="Arial" w:cs="Arial"/>
          <w:color w:val="000000"/>
          <w:shd w:val="clear" w:color="auto" w:fill="FFFFFF"/>
        </w:rPr>
        <w:t xml:space="preserve">loss (Figure </w:t>
      </w:r>
      <w:r w:rsidR="005935A2">
        <w:rPr>
          <w:rFonts w:ascii="Arial" w:hAnsi="Arial" w:cs="Arial"/>
          <w:color w:val="000000"/>
          <w:shd w:val="clear" w:color="auto" w:fill="FFFFFF"/>
        </w:rPr>
        <w:t>5</w:t>
      </w:r>
      <w:r>
        <w:rPr>
          <w:rFonts w:ascii="Arial" w:hAnsi="Arial" w:cs="Arial"/>
          <w:color w:val="000000"/>
          <w:shd w:val="clear" w:color="auto" w:fill="FFFFFF"/>
        </w:rPr>
        <w:t xml:space="preserve">). In the </w:t>
      </w:r>
      <w:r>
        <w:rPr>
          <w:rFonts w:ascii="Arial" w:hAnsi="Arial" w:cs="Arial"/>
          <w:i/>
          <w:iCs/>
          <w:color w:val="000000"/>
          <w:shd w:val="clear" w:color="auto" w:fill="FFFFFF"/>
        </w:rPr>
        <w:t>base phase</w:t>
      </w:r>
      <w:r>
        <w:rPr>
          <w:rFonts w:ascii="Arial" w:hAnsi="Arial" w:cs="Arial"/>
          <w:color w:val="000000"/>
          <w:shd w:val="clear" w:color="auto" w:fill="FFFFFF"/>
        </w:rPr>
        <w:t>, the full network is trained end-to-end on the objective of Eqs. (13)</w:t>
      </w:r>
      <w:r w:rsidR="00767A75">
        <w:rPr>
          <w:rFonts w:ascii="Arial" w:hAnsi="Arial" w:cs="Arial"/>
          <w:color w:val="000000"/>
          <w:shd w:val="clear" w:color="auto" w:fill="FFFFFF"/>
        </w:rPr>
        <w:t xml:space="preserve"> </w:t>
      </w:r>
      <w:r>
        <w:rPr>
          <w:rFonts w:ascii="Arial" w:hAnsi="Arial" w:cs="Arial"/>
          <w:color w:val="000000"/>
          <w:shd w:val="clear" w:color="auto" w:fill="FFFFFF"/>
        </w:rPr>
        <w:t>–</w:t>
      </w:r>
      <w:r w:rsidR="00767A75">
        <w:rPr>
          <w:rFonts w:ascii="Arial" w:hAnsi="Arial" w:cs="Arial"/>
          <w:color w:val="000000"/>
          <w:shd w:val="clear" w:color="auto" w:fill="FFFFFF"/>
        </w:rPr>
        <w:t xml:space="preserve"> </w:t>
      </w:r>
      <w:r>
        <w:rPr>
          <w:rFonts w:ascii="Arial" w:hAnsi="Arial" w:cs="Arial"/>
          <w:color w:val="000000"/>
          <w:shd w:val="clear" w:color="auto" w:fill="FFFFFF"/>
        </w:rPr>
        <w:t>(15); from a warm-up epoch</w:t>
      </w:r>
      <w:r w:rsidR="005935A2">
        <w:rPr>
          <w:rFonts w:ascii="Arial" w:hAnsi="Arial" w:cs="Arial"/>
          <w:color w:val="000000"/>
          <w:shd w:val="clear" w:color="auto" w:fill="FFFFFF"/>
        </w:rPr>
        <w:t>,</w:t>
      </w:r>
      <w:r>
        <w:rPr>
          <w:rFonts w:ascii="Arial" w:hAnsi="Arial" w:cs="Arial"/>
          <w:color w:val="000000"/>
          <w:shd w:val="clear" w:color="auto" w:fill="FFFFFF"/>
        </w:rPr>
        <w:t xml:space="preserve"> the active-prototype memory begins accumulating candidate conformers from training batches, while the active query stays off (query weight </w:t>
      </w:r>
      <m:oMath>
        <m:r>
          <w:rPr>
            <w:rFonts w:ascii="Cambria Math" w:hAnsi="Cambria Math"/>
          </w:rPr>
          <m:t>w</m:t>
        </m:r>
      </m:oMath>
      <w:r>
        <w:rPr>
          <w:rFonts w:ascii="Arial" w:hAnsi="Arial" w:cs="Arial"/>
          <w:color w:val="000000"/>
          <w:shd w:val="clear" w:color="auto" w:fill="FFFFFF"/>
        </w:rPr>
        <w:t xml:space="preserve"> = 0). When the validation loss plateaus (no improvement above </w:t>
      </w:r>
      <m:oMath>
        <m:r>
          <w:rPr>
            <w:rFonts w:ascii="Cambria Math" w:hAnsi="Cambria Math"/>
          </w:rPr>
          <m:t>δ</m:t>
        </m:r>
      </m:oMath>
      <w:r>
        <w:rPr>
          <w:rFonts w:ascii="Arial" w:hAnsi="Arial" w:cs="Arial"/>
          <w:color w:val="000000"/>
          <w:shd w:val="clear" w:color="auto" w:fill="FFFFFF"/>
        </w:rPr>
        <w:t xml:space="preserve"> = 0.005 for 3 epochs) and the memory holds enough prototypes, the </w:t>
      </w:r>
      <w:r w:rsidR="00403A15">
        <w:rPr>
          <w:rFonts w:ascii="Arial" w:hAnsi="Arial" w:cs="Arial"/>
          <w:color w:val="000000"/>
          <w:shd w:val="clear" w:color="auto" w:fill="FFFFFF"/>
        </w:rPr>
        <w:t>training</w:t>
      </w:r>
      <w:r>
        <w:rPr>
          <w:rFonts w:ascii="Arial" w:hAnsi="Arial" w:cs="Arial"/>
          <w:color w:val="000000"/>
          <w:shd w:val="clear" w:color="auto" w:fill="FFFFFF"/>
        </w:rPr>
        <w:t xml:space="preserve"> enters the </w:t>
      </w:r>
      <w:r>
        <w:rPr>
          <w:rFonts w:ascii="Arial" w:hAnsi="Arial" w:cs="Arial"/>
          <w:i/>
          <w:iCs/>
          <w:color w:val="000000"/>
          <w:shd w:val="clear" w:color="auto" w:fill="FFFFFF"/>
        </w:rPr>
        <w:t>focus phase</w:t>
      </w:r>
      <w:r>
        <w:rPr>
          <w:rFonts w:ascii="Arial" w:hAnsi="Arial" w:cs="Arial"/>
          <w:color w:val="000000"/>
          <w:shd w:val="clear" w:color="auto" w:fill="FFFFFF"/>
        </w:rPr>
        <w:t>: the backbone is frozen by scaling the encoder and predictor learning rates by 0.01, while the aggregator and active-query builder keep training at full rate, so refinement concentrates on instance selection. At the same time</w:t>
      </w:r>
      <w:r w:rsidR="00403A15">
        <w:rPr>
          <w:rFonts w:ascii="Arial" w:hAnsi="Arial" w:cs="Arial"/>
          <w:color w:val="000000"/>
          <w:shd w:val="clear" w:color="auto" w:fill="FFFFFF"/>
        </w:rPr>
        <w:t>,</w:t>
      </w:r>
      <w:r>
        <w:rPr>
          <w:rFonts w:ascii="Arial" w:hAnsi="Arial" w:cs="Arial"/>
          <w:color w:val="000000"/>
          <w:shd w:val="clear" w:color="auto" w:fill="FFFFFF"/>
        </w:rPr>
        <w:t xml:space="preserve"> the active query is switched on</w:t>
      </w:r>
      <w:r w:rsidR="00403A15">
        <w:rPr>
          <w:rFonts w:ascii="Arial" w:hAnsi="Arial" w:cs="Arial"/>
          <w:color w:val="000000"/>
          <w:shd w:val="clear" w:color="auto" w:fill="FFFFFF"/>
        </w:rPr>
        <w:t>,</w:t>
      </w:r>
      <w:r>
        <w:rPr>
          <w:rFonts w:ascii="Arial" w:hAnsi="Arial" w:cs="Arial"/>
          <w:color w:val="000000"/>
          <w:shd w:val="clear" w:color="auto" w:fill="FFFFFF"/>
        </w:rPr>
        <w:t xml:space="preserve"> and its blend weight is ramped linearly from 0 to </w:t>
      </w:r>
      <m:oMath>
        <m:sSub>
          <m:sSubPr>
            <m:ctrlPr>
              <w:rPr>
                <w:rFonts w:ascii="Cambria Math" w:hAnsi="Cambria Math"/>
              </w:rPr>
            </m:ctrlPr>
          </m:sSubPr>
          <m:e>
            <m:r>
              <w:rPr>
                <w:rFonts w:ascii="Cambria Math" w:hAnsi="Cambria Math"/>
              </w:rPr>
              <m:t>w</m:t>
            </m:r>
          </m:e>
          <m:sub>
            <m:r>
              <m:rPr>
                <m:sty m:val="p"/>
              </m:rPr>
              <w:rPr>
                <w:rFonts w:ascii="Cambria Math" w:hAnsi="Cambria Math"/>
              </w:rPr>
              <m:t>max</m:t>
            </m:r>
          </m:sub>
        </m:sSub>
      </m:oMath>
      <w:r>
        <w:rPr>
          <w:rFonts w:ascii="Arial" w:hAnsi="Arial" w:cs="Arial"/>
          <w:color w:val="000000"/>
          <w:shd w:val="clear" w:color="auto" w:fill="FFFFFF"/>
        </w:rPr>
        <w:t xml:space="preserve"> over </w:t>
      </w:r>
      <m:oMath>
        <m:r>
          <w:rPr>
            <w:rFonts w:ascii="Cambria Math" w:hAnsi="Cambria Math"/>
          </w:rPr>
          <m:t>R</m:t>
        </m:r>
      </m:oMath>
      <w:r>
        <w:rPr>
          <w:rFonts w:ascii="Arial" w:hAnsi="Arial" w:cs="Arial"/>
          <w:color w:val="000000"/>
          <w:shd w:val="clear" w:color="auto" w:fill="FFFFFF"/>
        </w:rPr>
        <w:t xml:space="preserve"> epochs:</w:t>
      </w:r>
    </w:p>
    <w:p w14:paraId="545A701A" w14:textId="77777777" w:rsidR="00232A42" w:rsidRDefault="00000000">
      <w:pPr>
        <w:spacing w:line="360" w:lineRule="auto"/>
        <w:jc w:val="center"/>
        <w:rPr>
          <w:rFonts w:ascii="Arial" w:hAnsi="Arial" w:cs="Arial"/>
        </w:rPr>
      </w:pPr>
      <m:oMath>
        <m:r>
          <w:rPr>
            <w:rFonts w:ascii="Cambria Math" w:hAnsi="Cambria Math"/>
          </w:rPr>
          <m:t>w</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max</m:t>
            </m:r>
          </m:sub>
        </m:sSub>
        <m:r>
          <m:rPr>
            <m:sty m:val="p"/>
          </m:rPr>
          <w:rPr>
            <w:rFonts w:ascii="Cambria Math" w:hAnsi="Cambria Math"/>
          </w:rPr>
          <m:t>⋅clip</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focus</m:t>
                    </m:r>
                  </m:sub>
                </m:sSub>
              </m:num>
              <m:den>
                <m:r>
                  <w:rPr>
                    <w:rFonts w:ascii="Cambria Math" w:hAnsi="Cambria Math"/>
                  </w:rPr>
                  <m:t>R</m:t>
                </m:r>
              </m:den>
            </m:f>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1</m:t>
            </m:r>
          </m:e>
        </m:d>
      </m:oMath>
      <w:r>
        <w:rPr>
          <w:rFonts w:ascii="Arial" w:hAnsi="Arial" w:cs="Arial"/>
          <w:color w:val="000000"/>
          <w:shd w:val="clear" w:color="auto" w:fill="FFFFFF"/>
        </w:rPr>
        <w:t>  (16)</w:t>
      </w:r>
    </w:p>
    <w:p w14:paraId="5D8DB87A" w14:textId="438C7407" w:rsidR="00232A42" w:rsidRDefault="00000000">
      <w:pPr>
        <w:spacing w:line="360" w:lineRule="auto"/>
        <w:ind w:firstLine="426"/>
        <w:jc w:val="both"/>
        <w:rPr>
          <w:rFonts w:ascii="Arial" w:hAnsi="Arial" w:cs="Arial"/>
          <w:color w:val="000000"/>
        </w:rPr>
      </w:pPr>
      <w:r>
        <w:rPr>
          <w:rFonts w:ascii="Arial" w:hAnsi="Arial" w:cs="Arial"/>
          <w:color w:val="000000"/>
          <w:shd w:val="clear" w:color="auto" w:fill="FFFFFF"/>
        </w:rPr>
        <w:t xml:space="preserve">The focus phase runs for a minimum number of epochs and then stops at the next validation-loss plateau. Variable-size bags are padded and masked; each mini-batch is balanced to contain all congeneric series and the training loss is importance-weighted (Eq. 13) to remove the </w:t>
      </w:r>
      <w:r w:rsidR="003F3B06">
        <w:rPr>
          <w:rFonts w:ascii="Arial" w:hAnsi="Arial" w:cs="Arial"/>
          <w:color w:val="000000"/>
          <w:shd w:val="clear" w:color="auto" w:fill="FFFFFF"/>
        </w:rPr>
        <w:t>over</w:t>
      </w:r>
      <w:r>
        <w:rPr>
          <w:rFonts w:ascii="Arial" w:hAnsi="Arial" w:cs="Arial"/>
          <w:color w:val="000000"/>
          <w:shd w:val="clear" w:color="auto" w:fill="FFFFFF"/>
        </w:rPr>
        <w:t xml:space="preserve">sampling bias. The reported model is the checkpoint with the lowest validation loss among epochs </w:t>
      </w:r>
      <w:r w:rsidR="000C6558">
        <w:rPr>
          <w:rFonts w:ascii="Arial" w:hAnsi="Arial" w:cs="Arial"/>
          <w:color w:val="000000"/>
          <w:shd w:val="clear" w:color="auto" w:fill="FFFFFF"/>
        </w:rPr>
        <w:t xml:space="preserve">of </w:t>
      </w:r>
      <w:r w:rsidR="008B38E9">
        <w:rPr>
          <w:rFonts w:ascii="Arial" w:hAnsi="Arial" w:cs="Arial"/>
          <w:color w:val="000000"/>
          <w:shd w:val="clear" w:color="auto" w:fill="FFFFFF"/>
        </w:rPr>
        <w:t xml:space="preserve">the </w:t>
      </w:r>
      <w:r w:rsidR="000C6558">
        <w:rPr>
          <w:rFonts w:ascii="Arial" w:hAnsi="Arial" w:cs="Arial"/>
          <w:color w:val="000000"/>
          <w:shd w:val="clear" w:color="auto" w:fill="FFFFFF"/>
        </w:rPr>
        <w:t>focus phase.</w:t>
      </w:r>
    </w:p>
    <w:p w14:paraId="5E3EA06A" w14:textId="77777777" w:rsidR="00232A42" w:rsidRDefault="00000000">
      <w:pPr>
        <w:spacing w:before="160" w:after="60"/>
        <w:jc w:val="center"/>
      </w:pPr>
      <w:r>
        <w:rPr>
          <w:noProof/>
        </w:rPr>
        <w:lastRenderedPageBreak/>
        <w:drawing>
          <wp:inline distT="0" distB="0" distL="0" distR="0" wp14:anchorId="161D3913" wp14:editId="7A2354EE">
            <wp:extent cx="5943600" cy="2890007"/>
            <wp:effectExtent l="0" t="0" r="0" b="0"/>
            <wp:docPr id="801" name="Training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 name="Training curves"/>
                    <pic:cNvPicPr/>
                  </pic:nvPicPr>
                  <pic:blipFill>
                    <a:blip r:embed="rId18"/>
                    <a:stretch>
                      <a:fillRect/>
                    </a:stretch>
                  </pic:blipFill>
                  <pic:spPr>
                    <a:xfrm>
                      <a:off x="0" y="0"/>
                      <a:ext cx="5943600" cy="2890007"/>
                    </a:xfrm>
                    <a:prstGeom prst="rect">
                      <a:avLst/>
                    </a:prstGeom>
                  </pic:spPr>
                </pic:pic>
              </a:graphicData>
            </a:graphic>
          </wp:inline>
        </w:drawing>
      </w:r>
    </w:p>
    <w:p w14:paraId="19C08A3F" w14:textId="7BDE103D" w:rsidR="00232A42" w:rsidRPr="00815123" w:rsidRDefault="00000000" w:rsidP="00815123">
      <w:pPr>
        <w:spacing w:line="360" w:lineRule="auto"/>
        <w:jc w:val="both"/>
        <w:rPr>
          <w:rFonts w:ascii="Arial" w:hAnsi="Arial" w:cs="Arial"/>
          <w:color w:val="000000"/>
          <w:shd w:val="clear" w:color="auto" w:fill="FFFFFF"/>
          <w14:ligatures w14:val="none"/>
        </w:rPr>
      </w:pPr>
      <w:r w:rsidRPr="00D813FF">
        <w:rPr>
          <w:rFonts w:ascii="Arial" w:hAnsi="Arial" w:cs="Arial"/>
          <w:b/>
          <w:bCs/>
          <w:color w:val="000000"/>
          <w:shd w:val="clear" w:color="auto" w:fill="FFFFFF"/>
          <w14:ligatures w14:val="none"/>
        </w:rPr>
        <w:t xml:space="preserve">Figure </w:t>
      </w:r>
      <w:r w:rsidR="00D813FF" w:rsidRPr="00D813FF">
        <w:rPr>
          <w:rFonts w:ascii="Arial" w:hAnsi="Arial" w:cs="Arial"/>
          <w:b/>
          <w:bCs/>
          <w:color w:val="000000"/>
          <w:shd w:val="clear" w:color="auto" w:fill="FFFFFF"/>
          <w14:ligatures w14:val="none"/>
        </w:rPr>
        <w:t>4</w:t>
      </w:r>
      <w:r w:rsidRPr="00D813FF">
        <w:rPr>
          <w:rFonts w:ascii="Arial" w:hAnsi="Arial" w:cs="Arial"/>
          <w:b/>
          <w:bCs/>
          <w:color w:val="000000"/>
          <w:shd w:val="clear" w:color="auto" w:fill="FFFFFF"/>
          <w14:ligatures w14:val="none"/>
        </w:rPr>
        <w:t>.</w:t>
      </w:r>
      <w:r w:rsidRPr="00815123">
        <w:rPr>
          <w:rFonts w:ascii="Arial" w:hAnsi="Arial" w:cs="Arial"/>
          <w:color w:val="000000"/>
          <w:shd w:val="clear" w:color="auto" w:fill="FFFFFF"/>
          <w14:ligatures w14:val="none"/>
        </w:rPr>
        <w:t xml:space="preserve"> Training dynamics of the </w:t>
      </w:r>
      <w:r w:rsidR="00815123" w:rsidRPr="00815123">
        <w:rPr>
          <w:rFonts w:ascii="Arial" w:hAnsi="Arial" w:cs="Arial"/>
          <w:color w:val="000000"/>
          <w:shd w:val="clear" w:color="auto" w:fill="FFFFFF"/>
          <w14:ligatures w14:val="none"/>
        </w:rPr>
        <w:t xml:space="preserve">MIL </w:t>
      </w:r>
      <w:r w:rsidRPr="00815123">
        <w:rPr>
          <w:rFonts w:ascii="Arial" w:hAnsi="Arial" w:cs="Arial"/>
          <w:color w:val="000000"/>
          <w:shd w:val="clear" w:color="auto" w:fill="FFFFFF"/>
          <w14:ligatures w14:val="none"/>
        </w:rPr>
        <w:t>model: KID validation top-1/3/5 pose-recovery</w:t>
      </w:r>
      <w:r w:rsidR="00815123">
        <w:rPr>
          <w:rFonts w:ascii="Arial" w:hAnsi="Arial" w:cs="Arial"/>
          <w:color w:val="000000"/>
          <w:shd w:val="clear" w:color="auto" w:fill="FFFFFF"/>
          <w14:ligatures w14:val="none"/>
        </w:rPr>
        <w:t xml:space="preserve"> </w:t>
      </w:r>
      <w:r w:rsidRPr="00815123">
        <w:rPr>
          <w:rFonts w:ascii="Arial" w:hAnsi="Arial" w:cs="Arial"/>
          <w:color w:val="000000"/>
          <w:shd w:val="clear" w:color="auto" w:fill="FFFFFF"/>
          <w14:ligatures w14:val="none"/>
        </w:rPr>
        <w:t>success (RMSD ≤ 2 Å, left axis) and train/validation loss (right axis) over epochs. Shading</w:t>
      </w:r>
      <w:r w:rsidR="00815123">
        <w:rPr>
          <w:rFonts w:ascii="Arial" w:hAnsi="Arial" w:cs="Arial"/>
          <w:color w:val="000000"/>
          <w:shd w:val="clear" w:color="auto" w:fill="FFFFFF"/>
          <w14:ligatures w14:val="none"/>
        </w:rPr>
        <w:t xml:space="preserve"> </w:t>
      </w:r>
      <w:r w:rsidRPr="00815123">
        <w:rPr>
          <w:rFonts w:ascii="Arial" w:hAnsi="Arial" w:cs="Arial"/>
          <w:color w:val="000000"/>
          <w:shd w:val="clear" w:color="auto" w:fill="FFFFFF"/>
          <w14:ligatures w14:val="none"/>
        </w:rPr>
        <w:t>marks the base phase (blue) and the active-query focus phase (yellow); the dashed dark-red line is the top-1 linear trend. Averaged over epochs, KID top-1 rises from 0.50 (active query off, epochs 0–12) to 0.65 (active query on, epochs 13–38)</w:t>
      </w:r>
      <w:r w:rsidR="00815123" w:rsidRPr="00815123">
        <w:rPr>
          <w:rFonts w:ascii="Arial" w:hAnsi="Arial" w:cs="Arial"/>
          <w:color w:val="000000"/>
          <w:shd w:val="clear" w:color="auto" w:fill="FFFFFF"/>
          <w14:ligatures w14:val="none"/>
        </w:rPr>
        <w:t xml:space="preserve">. </w:t>
      </w:r>
      <w:r w:rsidRPr="00815123">
        <w:rPr>
          <w:rFonts w:ascii="Arial" w:hAnsi="Arial" w:cs="Arial"/>
          <w:color w:val="000000"/>
          <w:shd w:val="clear" w:color="auto" w:fill="FFFFFF"/>
          <w14:ligatures w14:val="none"/>
        </w:rPr>
        <w:t>The numbered markers denote:</w:t>
      </w:r>
      <w:r w:rsidR="00815123" w:rsidRPr="00815123">
        <w:rPr>
          <w:rFonts w:ascii="Arial" w:hAnsi="Arial" w:cs="Arial"/>
          <w:color w:val="000000"/>
          <w:shd w:val="clear" w:color="auto" w:fill="FFFFFF"/>
          <w14:ligatures w14:val="none"/>
        </w:rPr>
        <w:t xml:space="preserve"> </w:t>
      </w:r>
      <w:r w:rsidR="001271D9">
        <w:rPr>
          <w:rFonts w:ascii="Arial" w:hAnsi="Arial" w:cs="Arial"/>
          <w:color w:val="000000"/>
          <w:shd w:val="clear" w:color="auto" w:fill="FFFFFF"/>
          <w14:ligatures w14:val="none"/>
        </w:rPr>
        <w:t xml:space="preserve">(1) </w:t>
      </w:r>
      <w:r w:rsidRPr="00815123">
        <w:rPr>
          <w:rFonts w:ascii="Arial" w:hAnsi="Arial" w:cs="Arial"/>
          <w:color w:val="000000"/>
          <w:shd w:val="clear" w:color="auto" w:fill="FFFFFF"/>
          <w14:ligatures w14:val="none"/>
        </w:rPr>
        <w:t>epoch 5: the active-prototype bank begins collecting candidate conformers (warm-up; active-query steering off).</w:t>
      </w:r>
      <w:r w:rsidR="00815123" w:rsidRPr="00815123">
        <w:rPr>
          <w:rFonts w:ascii="Arial" w:hAnsi="Arial" w:cs="Arial"/>
          <w:color w:val="000000"/>
          <w:shd w:val="clear" w:color="auto" w:fill="FFFFFF"/>
          <w14:ligatures w14:val="none"/>
        </w:rPr>
        <w:t xml:space="preserve"> </w:t>
      </w:r>
      <w:r w:rsidR="001271D9">
        <w:rPr>
          <w:rFonts w:ascii="Arial" w:hAnsi="Arial" w:cs="Arial"/>
          <w:color w:val="000000"/>
          <w:shd w:val="clear" w:color="auto" w:fill="FFFFFF"/>
          <w14:ligatures w14:val="none"/>
        </w:rPr>
        <w:t xml:space="preserve">(2) </w:t>
      </w:r>
      <w:r w:rsidRPr="00815123">
        <w:rPr>
          <w:rFonts w:ascii="Arial" w:hAnsi="Arial" w:cs="Arial"/>
          <w:color w:val="000000"/>
          <w:shd w:val="clear" w:color="auto" w:fill="FFFFFF"/>
          <w14:ligatures w14:val="none"/>
        </w:rPr>
        <w:t>epoch 12: the curriculum triggers on the validation-loss plateau; the backbone (encoder and predictor) learning rate is cut ×0.01 while the aggregator keeps training.</w:t>
      </w:r>
      <w:r w:rsidR="00815123" w:rsidRPr="00815123">
        <w:rPr>
          <w:rFonts w:ascii="Arial" w:hAnsi="Arial" w:cs="Arial"/>
          <w:color w:val="000000"/>
          <w:shd w:val="clear" w:color="auto" w:fill="FFFFFF"/>
          <w14:ligatures w14:val="none"/>
        </w:rPr>
        <w:t xml:space="preserve"> </w:t>
      </w:r>
      <w:r w:rsidR="001271D9">
        <w:rPr>
          <w:rFonts w:ascii="Arial" w:hAnsi="Arial" w:cs="Arial"/>
          <w:color w:val="000000"/>
          <w:shd w:val="clear" w:color="auto" w:fill="FFFFFF"/>
          <w14:ligatures w14:val="none"/>
        </w:rPr>
        <w:t xml:space="preserve">(3) </w:t>
      </w:r>
      <w:r w:rsidRPr="00815123">
        <w:rPr>
          <w:rFonts w:ascii="Arial" w:hAnsi="Arial" w:cs="Arial"/>
          <w:color w:val="000000"/>
          <w:shd w:val="clear" w:color="auto" w:fill="FFFFFF"/>
          <w14:ligatures w14:val="none"/>
        </w:rPr>
        <w:t>epoch 13: active-query steering engages; the query weight w ramps 0 → 0.8 over epochs 13–17.</w:t>
      </w:r>
      <w:r w:rsidR="00815123" w:rsidRPr="00815123">
        <w:rPr>
          <w:rFonts w:ascii="Arial" w:hAnsi="Arial" w:cs="Arial"/>
          <w:color w:val="000000"/>
          <w:shd w:val="clear" w:color="auto" w:fill="FFFFFF"/>
          <w14:ligatures w14:val="none"/>
        </w:rPr>
        <w:t xml:space="preserve"> </w:t>
      </w:r>
      <w:r w:rsidR="001271D9">
        <w:rPr>
          <w:rFonts w:ascii="Arial" w:hAnsi="Arial" w:cs="Arial"/>
          <w:color w:val="000000"/>
          <w:shd w:val="clear" w:color="auto" w:fill="FFFFFF"/>
          <w14:ligatures w14:val="none"/>
        </w:rPr>
        <w:t xml:space="preserve">(4) </w:t>
      </w:r>
      <w:r w:rsidRPr="00815123">
        <w:rPr>
          <w:rFonts w:ascii="Arial" w:hAnsi="Arial" w:cs="Arial"/>
          <w:color w:val="000000"/>
          <w:shd w:val="clear" w:color="auto" w:fill="FFFFFF"/>
          <w14:ligatures w14:val="none"/>
        </w:rPr>
        <w:t>epoch 18: the global validation-loss minimum, excluded from selection by the minimum-epoch guard.</w:t>
      </w:r>
      <w:r w:rsidR="00815123" w:rsidRPr="00815123">
        <w:rPr>
          <w:rFonts w:ascii="Arial" w:hAnsi="Arial" w:cs="Arial"/>
          <w:color w:val="000000"/>
          <w:shd w:val="clear" w:color="auto" w:fill="FFFFFF"/>
          <w14:ligatures w14:val="none"/>
        </w:rPr>
        <w:t xml:space="preserve"> </w:t>
      </w:r>
      <w:r w:rsidR="001271D9">
        <w:rPr>
          <w:rFonts w:ascii="Arial" w:hAnsi="Arial" w:cs="Arial"/>
          <w:color w:val="000000"/>
          <w:shd w:val="clear" w:color="auto" w:fill="FFFFFF"/>
          <w14:ligatures w14:val="none"/>
        </w:rPr>
        <w:t xml:space="preserve">(5) </w:t>
      </w:r>
      <w:r w:rsidRPr="00815123">
        <w:rPr>
          <w:rFonts w:ascii="Arial" w:hAnsi="Arial" w:cs="Arial"/>
          <w:color w:val="000000"/>
          <w:shd w:val="clear" w:color="auto" w:fill="FFFFFF"/>
          <w14:ligatures w14:val="none"/>
        </w:rPr>
        <w:t>epoch 20: the minimum-epoch guard is passed</w:t>
      </w:r>
      <w:r w:rsidR="00815123" w:rsidRPr="00815123">
        <w:rPr>
          <w:rFonts w:ascii="Arial" w:hAnsi="Arial" w:cs="Arial"/>
          <w:color w:val="000000"/>
          <w:shd w:val="clear" w:color="auto" w:fill="FFFFFF"/>
          <w14:ligatures w14:val="none"/>
        </w:rPr>
        <w:t>,</w:t>
      </w:r>
      <w:r w:rsidRPr="00815123">
        <w:rPr>
          <w:rFonts w:ascii="Arial" w:hAnsi="Arial" w:cs="Arial"/>
          <w:color w:val="000000"/>
          <w:shd w:val="clear" w:color="auto" w:fill="FFFFFF"/>
          <w14:ligatures w14:val="none"/>
        </w:rPr>
        <w:t xml:space="preserve"> and model selection becomes eligible.</w:t>
      </w:r>
      <w:r w:rsidR="00815123" w:rsidRPr="00815123">
        <w:rPr>
          <w:rFonts w:ascii="Arial" w:hAnsi="Arial" w:cs="Arial"/>
          <w:color w:val="000000"/>
          <w:shd w:val="clear" w:color="auto" w:fill="FFFFFF"/>
          <w14:ligatures w14:val="none"/>
        </w:rPr>
        <w:t xml:space="preserve"> </w:t>
      </w:r>
      <w:r w:rsidR="001271D9">
        <w:rPr>
          <w:rFonts w:ascii="Arial" w:hAnsi="Arial" w:cs="Arial"/>
          <w:color w:val="000000"/>
          <w:shd w:val="clear" w:color="auto" w:fill="FFFFFF"/>
          <w14:ligatures w14:val="none"/>
        </w:rPr>
        <w:t xml:space="preserve">(6) </w:t>
      </w:r>
      <w:r w:rsidRPr="00815123">
        <w:rPr>
          <w:rFonts w:ascii="Arial" w:hAnsi="Arial" w:cs="Arial"/>
          <w:color w:val="000000"/>
          <w:shd w:val="clear" w:color="auto" w:fill="FFFFFF"/>
          <w14:ligatures w14:val="none"/>
        </w:rPr>
        <w:t>epoch 31: the selected model — lowest validation loss among epochs ≥ 20</w:t>
      </w:r>
      <w:r w:rsidR="00815123" w:rsidRPr="00815123">
        <w:rPr>
          <w:rFonts w:ascii="Arial" w:hAnsi="Arial" w:cs="Arial"/>
          <w:color w:val="000000"/>
          <w:shd w:val="clear" w:color="auto" w:fill="FFFFFF"/>
          <w14:ligatures w14:val="none"/>
        </w:rPr>
        <w:t xml:space="preserve">. </w:t>
      </w:r>
      <w:r w:rsidR="001271D9">
        <w:rPr>
          <w:rFonts w:ascii="Arial" w:hAnsi="Arial" w:cs="Arial"/>
          <w:color w:val="000000"/>
          <w:shd w:val="clear" w:color="auto" w:fill="FFFFFF"/>
          <w14:ligatures w14:val="none"/>
        </w:rPr>
        <w:t xml:space="preserve">(7) </w:t>
      </w:r>
      <w:r w:rsidRPr="00815123">
        <w:rPr>
          <w:rFonts w:ascii="Arial" w:hAnsi="Arial" w:cs="Arial"/>
          <w:color w:val="000000"/>
          <w:shd w:val="clear" w:color="auto" w:fill="FFFFFF"/>
          <w14:ligatures w14:val="none"/>
        </w:rPr>
        <w:t>epoch 37: the focus phase stops (trigger epoch 12 plus 25 minimum focus epochs).</w:t>
      </w:r>
    </w:p>
    <w:p w14:paraId="4062B3AB" w14:textId="16803EEC" w:rsidR="000D20E1" w:rsidRDefault="008A776F" w:rsidP="008A776F">
      <w:pPr>
        <w:pStyle w:val="Heading2"/>
        <w:numPr>
          <w:ilvl w:val="1"/>
          <w:numId w:val="1"/>
        </w:numPr>
        <w:tabs>
          <w:tab w:val="num" w:pos="360"/>
        </w:tabs>
        <w:spacing w:before="240" w:after="120"/>
        <w:ind w:left="1077" w:hanging="652"/>
        <w:rPr>
          <w:rFonts w:ascii="Arial" w:hAnsi="Arial" w:cs="Arial"/>
          <w:color w:val="000000" w:themeColor="text1"/>
          <w:sz w:val="24"/>
          <w:szCs w:val="24"/>
        </w:rPr>
      </w:pPr>
      <w:r>
        <w:rPr>
          <w:rFonts w:ascii="Arial" w:hAnsi="Arial" w:cs="Arial"/>
          <w:color w:val="000000" w:themeColor="text1"/>
          <w:sz w:val="24"/>
          <w:szCs w:val="24"/>
        </w:rPr>
        <w:t>KID Evaluation</w:t>
      </w:r>
    </w:p>
    <w:p w14:paraId="6DB385B1" w14:textId="67E96AB1" w:rsidR="00043B24" w:rsidRDefault="001427C2" w:rsidP="001C60BD">
      <w:pPr>
        <w:pStyle w:val="ListParagraph"/>
        <w:numPr>
          <w:ilvl w:val="0"/>
          <w:numId w:val="18"/>
        </w:numPr>
        <w:spacing w:line="360" w:lineRule="auto"/>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Molecule KID Eligibility Criteria: KID performance was evaluated only for successful bags, that is, those with at least one bioactive-like conformer. Additionally, we constrained the analysis to compounds with experimental pIC50 </w:t>
      </w:r>
      <w:r>
        <w:rPr>
          <w:rFonts w:ascii="Arial" w:hAnsi="Arial" w:cs="Arial"/>
          <w:color w:val="000000"/>
          <w:shd w:val="clear" w:color="auto" w:fill="FFFFFF"/>
          <w14:ligatures w14:val="none"/>
        </w:rPr>
        <w:lastRenderedPageBreak/>
        <w:t xml:space="preserve">≥ 7.0 and an absolute prediction error ≤ 1 log unit to focus on the best-case examples: potent, well-predicted compounds. </w:t>
      </w:r>
    </w:p>
    <w:p w14:paraId="0FDA07BF" w14:textId="17FC4C4B" w:rsidR="00982691" w:rsidRDefault="001427C2" w:rsidP="00682753">
      <w:pPr>
        <w:pStyle w:val="ListParagraph"/>
        <w:numPr>
          <w:ilvl w:val="0"/>
          <w:numId w:val="18"/>
        </w:numPr>
        <w:spacing w:line="360" w:lineRule="auto"/>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To quantify KID performance, conformers within each molecular bag were ranked by their attention weights (i.e., relative importance scores). The KID was evaluated using the top-k retrieval rate, as defined in </w:t>
      </w:r>
      <w:r>
        <w:rPr>
          <w:rFonts w:ascii="Arial" w:hAnsi="Arial" w:cs="Arial"/>
          <w:b/>
          <w:bCs/>
          <w:color w:val="000000"/>
          <w:highlight w:val="lightGray"/>
          <w:shd w:val="clear" w:color="auto" w:fill="FFFFFF"/>
          <w14:ligatures w14:val="none"/>
        </w:rPr>
        <w:t>Formula 1 in the Supporting Information.</w:t>
      </w:r>
    </w:p>
    <w:p w14:paraId="38732476" w14:textId="4A23A258" w:rsidR="001B71B6" w:rsidRPr="00E147A8" w:rsidRDefault="001427C2" w:rsidP="001B71B6">
      <w:pPr>
        <w:pStyle w:val="ListParagraph"/>
        <w:numPr>
          <w:ilvl w:val="0"/>
          <w:numId w:val="18"/>
        </w:numPr>
        <w:spacing w:line="360" w:lineRule="auto"/>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A random-selection baseline was analytically computed using the hypergeometric distribution. For each eligible molecule, the probability of retrieving at least one bioactive-like conformer in the top-k random draws without replacement was calculated using </w:t>
      </w:r>
      <w:r>
        <w:rPr>
          <w:rFonts w:ascii="Arial" w:hAnsi="Arial" w:cs="Arial"/>
          <w:b/>
          <w:bCs/>
          <w:color w:val="000000"/>
          <w:highlight w:val="lightGray"/>
          <w:shd w:val="clear" w:color="auto" w:fill="FFFFFF"/>
          <w14:ligatures w14:val="none"/>
        </w:rPr>
        <w:t>Equations 2 and 3 in the Supporting Information.</w:t>
      </w:r>
      <w:r>
        <w:rPr>
          <w:rFonts w:ascii="Arial" w:hAnsi="Arial" w:cs="Arial"/>
          <w:color w:val="000000"/>
          <w:shd w:val="clear" w:color="auto" w:fill="FFFFFF"/>
          <w14:ligatures w14:val="none"/>
        </w:rPr>
        <w:t xml:space="preserve"> </w:t>
      </w:r>
    </w:p>
    <w:p w14:paraId="192C1233" w14:textId="1BD4E64D" w:rsidR="00FA6CA1" w:rsidRPr="00982691" w:rsidRDefault="00982691" w:rsidP="00982691">
      <w:pPr>
        <w:spacing w:line="360" w:lineRule="auto"/>
        <w:jc w:val="both"/>
        <w:rPr>
          <w:rFonts w:ascii="Arial" w:hAnsi="Arial" w:cs="Arial"/>
          <w:color w:val="000000"/>
          <w:shd w:val="clear" w:color="auto" w:fill="FFFFFF"/>
          <w14:ligatures w14:val="none"/>
        </w:rPr>
      </w:pPr>
      <w:r>
        <w:rPr>
          <w:noProof/>
          <w:shd w:val="clear" w:color="auto" w:fill="FFFFFF"/>
        </w:rPr>
        <w:drawing>
          <wp:inline distT="0" distB="0" distL="0" distR="0" wp14:anchorId="5193C83A" wp14:editId="57078219">
            <wp:extent cx="5943600" cy="4793615"/>
            <wp:effectExtent l="0" t="0" r="0" b="0"/>
            <wp:docPr id="19550640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64077" name="Picture 195506407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793615"/>
                    </a:xfrm>
                    <a:prstGeom prst="rect">
                      <a:avLst/>
                    </a:prstGeom>
                  </pic:spPr>
                </pic:pic>
              </a:graphicData>
            </a:graphic>
          </wp:inline>
        </w:drawing>
      </w:r>
    </w:p>
    <w:p w14:paraId="0A3EDE1E" w14:textId="2E4B7373" w:rsidR="00A76701" w:rsidRDefault="00000000" w:rsidP="006C0283">
      <w:pPr>
        <w:spacing w:line="360" w:lineRule="auto"/>
        <w:jc w:val="both"/>
        <w:rPr>
          <w:rFonts w:ascii="Arial" w:hAnsi="Arial" w:cs="Arial"/>
          <w:color w:val="000000"/>
          <w:shd w:val="clear" w:color="auto" w:fill="FFFFFF"/>
          <w14:ligatures w14:val="none"/>
        </w:rPr>
      </w:pPr>
      <w:commentRangeStart w:id="10"/>
      <w:r>
        <w:rPr>
          <w:rFonts w:ascii="Arial" w:hAnsi="Arial" w:cs="Arial"/>
          <w:b/>
          <w:bCs/>
          <w:color w:val="000000"/>
          <w:highlight w:val="green"/>
          <w:shd w:val="clear" w:color="auto" w:fill="FFFFFF"/>
          <w14:ligatures w14:val="none"/>
        </w:rPr>
        <w:t xml:space="preserve">Figure </w:t>
      </w:r>
      <w:r w:rsidR="007344AF">
        <w:rPr>
          <w:rFonts w:ascii="Arial" w:hAnsi="Arial" w:cs="Arial"/>
          <w:b/>
          <w:bCs/>
          <w:color w:val="000000"/>
          <w:highlight w:val="green"/>
          <w:shd w:val="clear" w:color="auto" w:fill="FFFFFF"/>
          <w14:ligatures w14:val="none"/>
        </w:rPr>
        <w:t>5</w:t>
      </w:r>
      <w:r>
        <w:rPr>
          <w:rFonts w:ascii="Arial" w:hAnsi="Arial" w:cs="Arial"/>
          <w:b/>
          <w:bCs/>
          <w:color w:val="000000"/>
          <w:highlight w:val="green"/>
          <w:shd w:val="clear" w:color="auto" w:fill="FFFFFF"/>
          <w14:ligatures w14:val="none"/>
        </w:rPr>
        <w:t>.</w:t>
      </w:r>
      <w:r>
        <w:rPr>
          <w:rFonts w:ascii="Arial" w:hAnsi="Arial" w:cs="Arial"/>
          <w:color w:val="000000"/>
          <w:shd w:val="clear" w:color="auto" w:fill="FFFFFF"/>
          <w14:ligatures w14:val="none"/>
        </w:rPr>
        <w:t xml:space="preserve"> </w:t>
      </w:r>
      <w:commentRangeEnd w:id="10"/>
      <w:r>
        <w:rPr>
          <w:rStyle w:val="CommentReference"/>
          <w:rFonts w:ascii="Arial" w:hAnsi="Arial" w:cs="Arial"/>
          <w:color w:val="000000"/>
          <w:sz w:val="24"/>
          <w:szCs w:val="24"/>
          <w:shd w:val="clear" w:color="auto" w:fill="FFFFFF"/>
          <w14:ligatures w14:val="none"/>
        </w:rPr>
        <w:commentReference w:id="10"/>
      </w:r>
      <w:r>
        <w:rPr>
          <w:rFonts w:ascii="Arial" w:hAnsi="Arial" w:cs="Arial"/>
          <w:color w:val="000000"/>
          <w:shd w:val="clear" w:color="auto" w:fill="FFFFFF"/>
          <w14:ligatures w14:val="none"/>
        </w:rPr>
        <w:t xml:space="preserve">Bag-composition statistics for Split_2 molecules with available bioactive conformers. (A) Violin plot: distribution of the number of generated conformers per </w:t>
      </w:r>
      <w:r>
        <w:rPr>
          <w:rFonts w:ascii="Arial" w:hAnsi="Arial" w:cs="Arial"/>
          <w:color w:val="000000"/>
          <w:shd w:val="clear" w:color="auto" w:fill="FFFFFF"/>
          <w14:ligatures w14:val="none"/>
        </w:rPr>
        <w:lastRenderedPageBreak/>
        <w:t>molecule. (B-D) Witness-rate distribution for different metrics and thresholds.  (B) RMSD metric. (C) O3A metric (D) Combination of O3A &gt; 0.8 with different thresholds using the RMSD metric.</w:t>
      </w:r>
    </w:p>
    <w:p w14:paraId="69419D3C" w14:textId="7F51BAFF" w:rsidR="00ED78ED" w:rsidRDefault="00ED78ED" w:rsidP="004167A1">
      <w:pPr>
        <w:pStyle w:val="ListParagraph"/>
        <w:numPr>
          <w:ilvl w:val="0"/>
          <w:numId w:val="10"/>
        </w:numPr>
        <w:spacing w:line="360" w:lineRule="auto"/>
        <w:rPr>
          <w:rFonts w:ascii="Arial" w:hAnsi="Arial" w:cs="Arial"/>
          <w:b/>
          <w:bCs/>
        </w:rPr>
      </w:pPr>
      <w:r>
        <w:rPr>
          <w:rFonts w:ascii="Arial" w:hAnsi="Arial" w:cs="Arial"/>
          <w:b/>
          <w:bCs/>
        </w:rPr>
        <w:t>Results and Discussion</w:t>
      </w:r>
    </w:p>
    <w:p w14:paraId="6CD989B9" w14:textId="5B918536" w:rsidR="00230042" w:rsidRDefault="00ED78ED" w:rsidP="00ED78ED">
      <w:pPr>
        <w:spacing w:line="360" w:lineRule="auto"/>
        <w:ind w:firstLine="426"/>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The results are presented as follows. We first evaluate the predictive performance of the proposed MILKID model and benchmark it against the methods reported in [45]. We then assess KID performance on the validation set of models trained on Split_2 as well as on an external KID Test Set. Finally, we analyze and discuss the observed KID results. </w:t>
      </w:r>
    </w:p>
    <w:p w14:paraId="716925F3" w14:textId="4A1398CB" w:rsidR="005B4B2C" w:rsidRDefault="005B4B2C" w:rsidP="00ED78ED">
      <w:pPr>
        <w:spacing w:line="360" w:lineRule="auto"/>
        <w:ind w:firstLine="426"/>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Use cases: </w:t>
      </w:r>
    </w:p>
    <w:p w14:paraId="36281B19" w14:textId="77777777" w:rsidR="005B4B2C" w:rsidRDefault="005B4B2C" w:rsidP="005B4B2C">
      <w:pPr>
        <w:pStyle w:val="ListParagraph"/>
        <w:numPr>
          <w:ilvl w:val="0"/>
          <w:numId w:val="12"/>
        </w:numPr>
        <w:spacing w:line="360" w:lineRule="auto"/>
        <w:jc w:val="both"/>
        <w:rPr>
          <w:rFonts w:ascii="Arial" w:hAnsi="Arial" w:cs="Arial"/>
          <w:color w:val="000000"/>
          <w:shd w:val="clear" w:color="auto" w:fill="FFFFFF"/>
          <w14:ligatures w14:val="none"/>
        </w:rPr>
      </w:pPr>
      <w:commentRangeStart w:id="11"/>
      <w:r>
        <w:rPr>
          <w:rFonts w:ascii="Arial" w:hAnsi="Arial" w:cs="Arial"/>
          <w:color w:val="000000"/>
          <w:shd w:val="clear" w:color="auto" w:fill="FFFFFF"/>
          <w14:ligatures w14:val="none"/>
        </w:rPr>
        <w:t>Correct prediction – correct attention – consistent over CS</w:t>
      </w:r>
      <w:commentRangeEnd w:id="11"/>
      <w:r>
        <w:rPr>
          <w:rStyle w:val="CommentReference"/>
          <w:rFonts w:ascii="Arial" w:hAnsi="Arial" w:cs="Arial"/>
          <w:color w:val="000000"/>
          <w:sz w:val="24"/>
          <w:szCs w:val="24"/>
          <w:shd w:val="clear" w:color="auto" w:fill="FFFFFF"/>
          <w14:ligatures w14:val="none"/>
        </w:rPr>
        <w:commentReference w:id="11"/>
      </w:r>
    </w:p>
    <w:p w14:paraId="3EC3411B" w14:textId="4CF7CA4E" w:rsidR="001E31B7" w:rsidRPr="007344AF" w:rsidRDefault="005B4B2C" w:rsidP="00246403">
      <w:pPr>
        <w:pStyle w:val="ListParagraph"/>
        <w:numPr>
          <w:ilvl w:val="0"/>
          <w:numId w:val="12"/>
        </w:numPr>
        <w:spacing w:line="360" w:lineRule="auto"/>
        <w:jc w:val="both"/>
        <w:rPr>
          <w:rFonts w:ascii="Arial" w:hAnsi="Arial" w:cs="Arial"/>
          <w:color w:val="000000"/>
          <w:shd w:val="clear" w:color="auto" w:fill="FFFFFF"/>
          <w14:ligatures w14:val="none"/>
        </w:rPr>
      </w:pPr>
      <w:commentRangeStart w:id="12"/>
      <w:r>
        <w:rPr>
          <w:rFonts w:ascii="Arial" w:hAnsi="Arial" w:cs="Arial"/>
          <w:color w:val="000000"/>
          <w:shd w:val="clear" w:color="auto" w:fill="FFFFFF"/>
          <w14:ligatures w14:val="none"/>
        </w:rPr>
        <w:t>Correct prediction – incorrect attention – check over CS1, compare with CS2 -&gt; maybe “bioactive pattern” was mixed with another CS]</w:t>
      </w:r>
      <w:commentRangeEnd w:id="12"/>
      <w:r w:rsidRPr="007344AF">
        <w:rPr>
          <w:rStyle w:val="CommentReference"/>
          <w:rFonts w:ascii="Arial" w:hAnsi="Arial" w:cs="Arial"/>
          <w:color w:val="000000"/>
          <w:sz w:val="24"/>
          <w:szCs w:val="24"/>
          <w:shd w:val="clear" w:color="auto" w:fill="FFFFFF"/>
          <w14:ligatures w14:val="none"/>
        </w:rPr>
        <w:commentReference w:id="12"/>
      </w:r>
    </w:p>
    <w:p w14:paraId="68DAA660" w14:textId="7B6869B7" w:rsidR="00E87BD3" w:rsidRDefault="00E87BD3" w:rsidP="00246403">
      <w:pPr>
        <w:spacing w:line="360" w:lineRule="auto"/>
        <w:jc w:val="both"/>
        <w:rPr>
          <w:rFonts w:ascii="Arial" w:hAnsi="Arial" w:cs="Arial"/>
          <w:color w:val="000000"/>
          <w:shd w:val="clear" w:color="auto" w:fill="FFFFFF"/>
          <w14:ligatures w14:val="none"/>
        </w:rPr>
      </w:pPr>
      <w:r>
        <w:rPr>
          <w:rFonts w:ascii="Arial" w:hAnsi="Arial" w:cs="Arial"/>
          <w:noProof/>
          <w:color w:val="000000"/>
          <w:shd w:val="clear" w:color="auto" w:fill="FFFFFF"/>
        </w:rPr>
        <w:drawing>
          <wp:inline distT="0" distB="0" distL="0" distR="0" wp14:anchorId="6FAC9E58" wp14:editId="3DDBD368">
            <wp:extent cx="5943600" cy="3397250"/>
            <wp:effectExtent l="0" t="0" r="0" b="6350"/>
            <wp:docPr id="14264479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47997" name="Picture 14264479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97250"/>
                    </a:xfrm>
                    <a:prstGeom prst="rect">
                      <a:avLst/>
                    </a:prstGeom>
                  </pic:spPr>
                </pic:pic>
              </a:graphicData>
            </a:graphic>
          </wp:inline>
        </w:drawing>
      </w:r>
    </w:p>
    <w:p w14:paraId="19DA849D" w14:textId="7E48A3CE" w:rsidR="007344AF" w:rsidRDefault="007344AF" w:rsidP="007344AF">
      <w:pPr>
        <w:spacing w:line="360" w:lineRule="auto"/>
        <w:jc w:val="center"/>
        <w:rPr>
          <w:rFonts w:ascii="Arial" w:hAnsi="Arial" w:cs="Arial"/>
          <w:color w:val="000000"/>
          <w:shd w:val="clear" w:color="auto" w:fill="FFFFFF"/>
          <w14:ligatures w14:val="none"/>
        </w:rPr>
      </w:pPr>
      <w:commentRangeStart w:id="13"/>
      <w:r>
        <w:rPr>
          <w:rFonts w:ascii="Arial" w:hAnsi="Arial" w:cs="Arial"/>
          <w:b/>
          <w:bCs/>
          <w:color w:val="000000"/>
          <w:shd w:val="clear" w:color="auto" w:fill="FFFFFF"/>
          <w14:ligatures w14:val="none"/>
        </w:rPr>
        <w:t>Figure 6.</w:t>
      </w:r>
      <w:r>
        <w:rPr>
          <w:rFonts w:ascii="Arial" w:hAnsi="Arial" w:cs="Arial"/>
          <w:color w:val="000000"/>
          <w:shd w:val="clear" w:color="auto" w:fill="FFFFFF"/>
          <w14:ligatures w14:val="none"/>
        </w:rPr>
        <w:t xml:space="preserve"> KID Performance Metrics</w:t>
      </w:r>
      <w:r w:rsidR="00293934">
        <w:rPr>
          <w:rFonts w:ascii="Arial" w:hAnsi="Arial" w:cs="Arial"/>
          <w:color w:val="000000"/>
          <w:shd w:val="clear" w:color="auto" w:fill="FFFFFF"/>
          <w14:ligatures w14:val="none"/>
        </w:rPr>
        <w:t xml:space="preserve"> on validation set</w:t>
      </w:r>
      <w:r>
        <w:rPr>
          <w:rFonts w:ascii="Arial" w:hAnsi="Arial" w:cs="Arial"/>
          <w:color w:val="000000"/>
          <w:shd w:val="clear" w:color="auto" w:fill="FFFFFF"/>
          <w14:ligatures w14:val="none"/>
        </w:rPr>
        <w:t>.</w:t>
      </w:r>
      <w:commentRangeEnd w:id="13"/>
      <w:r>
        <w:rPr>
          <w:rStyle w:val="CommentReference"/>
          <w:rFonts w:ascii="Arial" w:hAnsi="Arial" w:cs="Arial"/>
          <w:color w:val="000000"/>
          <w:sz w:val="24"/>
          <w:szCs w:val="24"/>
          <w:shd w:val="clear" w:color="auto" w:fill="FFFFFF"/>
          <w14:ligatures w14:val="none"/>
        </w:rPr>
        <w:commentReference w:id="13"/>
      </w:r>
      <w:r>
        <w:rPr>
          <w:rFonts w:ascii="Arial" w:hAnsi="Arial" w:cs="Arial"/>
          <w:color w:val="000000"/>
          <w:shd w:val="clear" w:color="auto" w:fill="FFFFFF"/>
          <w14:ligatures w14:val="none"/>
        </w:rPr>
        <w:t xml:space="preserve"> (train and test in SI).</w:t>
      </w:r>
    </w:p>
    <w:p w14:paraId="6AF37B9F" w14:textId="77777777" w:rsidR="007344AF" w:rsidRDefault="007344AF" w:rsidP="00246403">
      <w:pPr>
        <w:spacing w:line="360" w:lineRule="auto"/>
        <w:jc w:val="both"/>
        <w:rPr>
          <w:rFonts w:ascii="Arial" w:hAnsi="Arial" w:cs="Arial"/>
          <w:color w:val="000000"/>
          <w:shd w:val="clear" w:color="auto" w:fill="FFFFFF"/>
          <w14:ligatures w14:val="none"/>
        </w:rPr>
      </w:pPr>
    </w:p>
    <w:p w14:paraId="1AE0EEE3" w14:textId="77777777" w:rsidR="00246403" w:rsidRDefault="00246403" w:rsidP="00246403">
      <w:pPr>
        <w:jc w:val="center"/>
        <w:rPr>
          <w:rFonts w:ascii="Arial" w:hAnsi="Arial" w:cs="Arial"/>
          <w:color w:val="000000"/>
          <w:shd w:val="clear" w:color="auto" w:fill="FFFFFF"/>
          <w14:ligatures w14:val="none"/>
        </w:rPr>
      </w:pPr>
      <w:r>
        <w:rPr>
          <w:rFonts w:ascii="Arial" w:hAnsi="Arial" w:cs="Arial"/>
          <w:noProof/>
          <w:color w:val="000000"/>
          <w:shd w:val="clear" w:color="auto" w:fill="FFFFFF"/>
        </w:rPr>
        <w:lastRenderedPageBreak/>
        <w:drawing>
          <wp:inline distT="0" distB="0" distL="0" distR="0" wp14:anchorId="27D5DE99" wp14:editId="52C96B9F">
            <wp:extent cx="3641791" cy="5228492"/>
            <wp:effectExtent l="0" t="0" r="3175" b="0"/>
            <wp:docPr id="1787410062"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4899" name="Graphic 59194899"/>
                    <pic:cNvPicPr>
                      <a:picLocks noChangeAspect="1"/>
                    </pic:cNvPicPr>
                  </pic:nvPicPr>
                  <pic:blipFill>
                    <a:blip r:embed="rId25"/>
                    <a:stretch/>
                  </pic:blipFill>
                  <pic:spPr bwMode="auto">
                    <a:xfrm>
                      <a:off x="0" y="0"/>
                      <a:ext cx="3692268" cy="5300961"/>
                    </a:xfrm>
                    <a:prstGeom prst="rect">
                      <a:avLst/>
                    </a:prstGeom>
                  </pic:spPr>
                </pic:pic>
              </a:graphicData>
            </a:graphic>
          </wp:inline>
        </w:drawing>
      </w:r>
    </w:p>
    <w:p w14:paraId="1505CEF3" w14:textId="13AB9B21" w:rsidR="00246403" w:rsidRDefault="00246403" w:rsidP="00246403">
      <w:pPr>
        <w:spacing w:line="360" w:lineRule="auto"/>
        <w:jc w:val="both"/>
        <w:rPr>
          <w:rFonts w:ascii="Arial" w:hAnsi="Arial" w:cs="Arial"/>
          <w:color w:val="000000"/>
          <w:shd w:val="clear" w:color="auto" w:fill="FFFFFF"/>
          <w14:ligatures w14:val="none"/>
        </w:rPr>
      </w:pPr>
      <w:r>
        <w:rPr>
          <w:rFonts w:ascii="Arial" w:hAnsi="Arial" w:cs="Arial"/>
          <w:b/>
          <w:bCs/>
          <w:color w:val="000000"/>
          <w:shd w:val="clear" w:color="auto" w:fill="FFFFFF"/>
          <w14:ligatures w14:val="none"/>
        </w:rPr>
        <w:t>Figure 7.</w:t>
      </w:r>
      <w:r>
        <w:rPr>
          <w:rFonts w:ascii="Arial" w:hAnsi="Arial" w:cs="Arial"/>
          <w:color w:val="000000"/>
          <w:shd w:val="clear" w:color="auto" w:fill="FFFFFF"/>
          <w14:ligatures w14:val="none"/>
        </w:rPr>
        <w:t xml:space="preserve"> </w:t>
      </w:r>
      <w:r>
        <w:rPr>
          <w:rFonts w:ascii="Arial" w:hAnsi="Arial" w:cs="Arial"/>
          <w:color w:val="000000"/>
          <w:highlight w:val="darkGray"/>
          <w:shd w:val="clear" w:color="auto" w:fill="FFFFFF"/>
          <w14:ligatures w14:val="none"/>
        </w:rPr>
        <w:t>(MIL worked as we expected)</w:t>
      </w:r>
      <w:r>
        <w:rPr>
          <w:rFonts w:ascii="Arial" w:hAnsi="Arial" w:cs="Arial"/>
          <w:color w:val="000000"/>
          <w:shd w:val="clear" w:color="auto" w:fill="FFFFFF"/>
          <w14:ligatures w14:val="none"/>
        </w:rPr>
        <w:t xml:space="preserve"> Interpretation of KID results in the context of RI 3D-QSAR. (A) Bioactive conformers aligned to the reference crystal structure 2QP8; the co-crystallized ligand from 3IN3 is highlighted in red (ball-and-stick representation). (B) Conformational ensemble of 3IN3, with the experimental (bioactive) pose shown in ball-and-stick representation. (C) Most highly attended conformers of 3IN3 identified by the MIL model. (D) Conformational ensemble of 3IN3 aligned to a structure-based pharmacophore model. (E–F) Comparison of the most attended conformers for two bags corresponding to the same molecule, in the presence (E) and absence (F) of a known bioactive pose. (G) Additional examples from the validation set within the same congeneric series, illustrating consistency of attention-driven conformer selection.</w:t>
      </w:r>
    </w:p>
    <w:p w14:paraId="75E376F8" w14:textId="77777777" w:rsidR="00FA6CA1" w:rsidRDefault="00000000">
      <w:pPr>
        <w:spacing w:line="360" w:lineRule="auto"/>
        <w:ind w:firstLine="426"/>
        <w:rPr>
          <w:rFonts w:ascii="Arial" w:hAnsi="Arial" w:cs="Arial"/>
          <w:b/>
          <w:bCs/>
        </w:rPr>
      </w:pPr>
      <w:r>
        <w:rPr>
          <w:rFonts w:ascii="Arial" w:hAnsi="Arial" w:cs="Arial"/>
          <w:b/>
          <w:bCs/>
        </w:rPr>
        <w:lastRenderedPageBreak/>
        <w:t>References:</w:t>
      </w:r>
    </w:p>
    <w:p w14:paraId="32580E71" w14:textId="77777777" w:rsidR="00FA6CA1" w:rsidRDefault="00000000">
      <w:pPr>
        <w:pStyle w:val="ListParagraph"/>
        <w:numPr>
          <w:ilvl w:val="0"/>
          <w:numId w:val="2"/>
        </w:numPr>
        <w:spacing w:line="360" w:lineRule="auto"/>
        <w:jc w:val="both"/>
      </w:pPr>
      <w:bookmarkStart w:id="14" w:name="_Ref210938003"/>
      <w:bookmarkStart w:id="15" w:name="_Ref210934975"/>
      <w:bookmarkStart w:id="16" w:name="_Ref208948481"/>
      <w:r>
        <w:t>Cramer, R. D., Patterson, D. E., &amp; Bunce, J. D. (1988). Comparative molecular field analysis (CoMFA). 1. Effect of shape on binding of steroids to carrier proteins.</w:t>
      </w:r>
      <w:r>
        <w:rPr>
          <w:rStyle w:val="apple-converted-space"/>
        </w:rPr>
        <w:t> </w:t>
      </w:r>
      <w:r>
        <w:rPr>
          <w:i/>
          <w:iCs/>
        </w:rPr>
        <w:t>Journal of the American Chemical Society</w:t>
      </w:r>
      <w:r>
        <w:t>,</w:t>
      </w:r>
      <w:r>
        <w:rPr>
          <w:rStyle w:val="apple-converted-space"/>
        </w:rPr>
        <w:t> </w:t>
      </w:r>
      <w:r>
        <w:rPr>
          <w:i/>
          <w:iCs/>
        </w:rPr>
        <w:t>110</w:t>
      </w:r>
      <w:r>
        <w:t xml:space="preserve">(18), 5959–5967. </w:t>
      </w:r>
      <w:hyperlink r:id="rId26" w:tooltip="https://doi.org/10.1021/ja00226a005" w:history="1">
        <w:r w:rsidR="00FA6CA1">
          <w:rPr>
            <w:rStyle w:val="Hyperlink"/>
          </w:rPr>
          <w:t>https://doi.org/10.1021/ja00226a005</w:t>
        </w:r>
      </w:hyperlink>
      <w:bookmarkEnd w:id="14"/>
    </w:p>
    <w:p w14:paraId="772ED2C0" w14:textId="77777777" w:rsidR="00FA6CA1" w:rsidRDefault="00000000">
      <w:pPr>
        <w:pStyle w:val="ListParagraph"/>
        <w:numPr>
          <w:ilvl w:val="0"/>
          <w:numId w:val="2"/>
        </w:numPr>
        <w:spacing w:line="360" w:lineRule="auto"/>
        <w:jc w:val="both"/>
      </w:pPr>
      <w:bookmarkStart w:id="17" w:name="_Ref210938416"/>
      <w:r>
        <w:t>Klebe, G., Mietzner, T., &amp; Abraham, U. (1994). Molecular similarity indices in a comparative analysis (CoMSIA) of drug molecules to correlate and predict their biological activity.</w:t>
      </w:r>
      <w:r>
        <w:rPr>
          <w:rStyle w:val="apple-converted-space"/>
        </w:rPr>
        <w:t> </w:t>
      </w:r>
      <w:r>
        <w:rPr>
          <w:i/>
          <w:iCs/>
        </w:rPr>
        <w:t>Journal of Medicinal Chemistry</w:t>
      </w:r>
      <w:r>
        <w:t>,</w:t>
      </w:r>
      <w:r>
        <w:rPr>
          <w:rStyle w:val="apple-converted-space"/>
        </w:rPr>
        <w:t> </w:t>
      </w:r>
      <w:r>
        <w:rPr>
          <w:i/>
          <w:iCs/>
        </w:rPr>
        <w:t>37</w:t>
      </w:r>
      <w:r>
        <w:t xml:space="preserve">(24), 4130–4146. </w:t>
      </w:r>
      <w:hyperlink r:id="rId27" w:tooltip="https://doi.org/10.1021/jm00050a010" w:history="1">
        <w:r w:rsidR="00FA6CA1">
          <w:rPr>
            <w:rStyle w:val="Hyperlink"/>
          </w:rPr>
          <w:t>https://doi.org/10.1021/jm00050a010</w:t>
        </w:r>
      </w:hyperlink>
      <w:bookmarkEnd w:id="17"/>
    </w:p>
    <w:p w14:paraId="5A57F773" w14:textId="77777777" w:rsidR="00FA6CA1" w:rsidRDefault="00000000">
      <w:pPr>
        <w:pStyle w:val="ListParagraph"/>
        <w:numPr>
          <w:ilvl w:val="0"/>
          <w:numId w:val="2"/>
        </w:numPr>
        <w:spacing w:line="360" w:lineRule="auto"/>
        <w:jc w:val="both"/>
      </w:pPr>
      <w:bookmarkStart w:id="18" w:name="_Ref210941237"/>
      <w:r>
        <w:t>Pastor, M., Pickett, S., Clementi, S., Mclay, I., &amp; Cruciani, G. (2000). GRid-INdependent descriptors (GRIND): a novel class of alignment-independent three-dimensional molecular descriptors.</w:t>
      </w:r>
      <w:r>
        <w:rPr>
          <w:rStyle w:val="apple-converted-space"/>
        </w:rPr>
        <w:t> </w:t>
      </w:r>
      <w:r>
        <w:rPr>
          <w:i/>
          <w:iCs/>
        </w:rPr>
        <w:t>Journal of Medicinal Chemistry</w:t>
      </w:r>
      <w:r>
        <w:t>,</w:t>
      </w:r>
      <w:r>
        <w:rPr>
          <w:rStyle w:val="apple-converted-space"/>
        </w:rPr>
        <w:t> </w:t>
      </w:r>
      <w:r>
        <w:rPr>
          <w:i/>
          <w:iCs/>
        </w:rPr>
        <w:t>43</w:t>
      </w:r>
      <w:r>
        <w:t xml:space="preserve">(17), 3233–3243. </w:t>
      </w:r>
      <w:hyperlink r:id="rId28" w:tooltip="https://doi.org/10.1021/jm000941m" w:history="1">
        <w:r w:rsidR="00FA6CA1">
          <w:rPr>
            <w:rStyle w:val="Hyperlink"/>
          </w:rPr>
          <w:t>https://doi.org/10.1021/jm000941m</w:t>
        </w:r>
      </w:hyperlink>
      <w:bookmarkEnd w:id="18"/>
    </w:p>
    <w:p w14:paraId="7BBCDF99" w14:textId="77777777" w:rsidR="00FA6CA1" w:rsidRDefault="00000000">
      <w:pPr>
        <w:pStyle w:val="ListParagraph"/>
        <w:numPr>
          <w:ilvl w:val="0"/>
          <w:numId w:val="2"/>
        </w:numPr>
        <w:spacing w:line="360" w:lineRule="auto"/>
        <w:jc w:val="both"/>
      </w:pPr>
      <w:bookmarkStart w:id="19" w:name="_Ref210997436"/>
      <w:r>
        <w:t>Turner, D. B. (2000). The EVA spectral descriptor.</w:t>
      </w:r>
      <w:r>
        <w:rPr>
          <w:rStyle w:val="apple-converted-space"/>
        </w:rPr>
        <w:t> </w:t>
      </w:r>
      <w:r>
        <w:rPr>
          <w:i/>
          <w:iCs/>
        </w:rPr>
        <w:t>European Journal of Medicinal Chemistry</w:t>
      </w:r>
      <w:r>
        <w:t>,</w:t>
      </w:r>
      <w:r>
        <w:rPr>
          <w:rStyle w:val="apple-converted-space"/>
        </w:rPr>
        <w:t> </w:t>
      </w:r>
      <w:r>
        <w:rPr>
          <w:i/>
          <w:iCs/>
        </w:rPr>
        <w:t>35</w:t>
      </w:r>
      <w:r>
        <w:t xml:space="preserve">(4), 367–375. </w:t>
      </w:r>
      <w:hyperlink r:id="rId29" w:tooltip="https://doi.org/10.1016/s0223-5234(00)00141-0" w:history="1">
        <w:r w:rsidR="00FA6CA1">
          <w:rPr>
            <w:rStyle w:val="Hyperlink"/>
          </w:rPr>
          <w:t>https://doi.org/10.1016/s0223-5234(00)00141-0</w:t>
        </w:r>
      </w:hyperlink>
      <w:bookmarkEnd w:id="19"/>
    </w:p>
    <w:p w14:paraId="17DAF535" w14:textId="77777777" w:rsidR="00FA6CA1" w:rsidRDefault="00000000">
      <w:pPr>
        <w:pStyle w:val="ListParagraph"/>
        <w:numPr>
          <w:ilvl w:val="0"/>
          <w:numId w:val="2"/>
        </w:numPr>
        <w:spacing w:line="360" w:lineRule="auto"/>
        <w:jc w:val="both"/>
      </w:pPr>
      <w:bookmarkStart w:id="20" w:name="_Ref211004200"/>
      <w:r>
        <w:t>Gasteiger, J., Steinhauer, L., Schuur, J., Steinhauer, V., Sadowski, J., &amp; Selzer, P. (1996). Chemical Information in 3D Space.</w:t>
      </w:r>
      <w:r>
        <w:rPr>
          <w:rStyle w:val="apple-converted-space"/>
        </w:rPr>
        <w:t> </w:t>
      </w:r>
      <w:r>
        <w:rPr>
          <w:i/>
          <w:iCs/>
        </w:rPr>
        <w:t>Journal of Chemical Information and Computer Sciences</w:t>
      </w:r>
      <w:r>
        <w:t>,</w:t>
      </w:r>
      <w:r>
        <w:rPr>
          <w:rStyle w:val="apple-converted-space"/>
        </w:rPr>
        <w:t> </w:t>
      </w:r>
      <w:r>
        <w:rPr>
          <w:i/>
          <w:iCs/>
        </w:rPr>
        <w:t>36</w:t>
      </w:r>
      <w:r>
        <w:t xml:space="preserve">(5), 1030–1037. </w:t>
      </w:r>
      <w:hyperlink r:id="rId30" w:tooltip="https://doi.org/10.1021/ci960343" w:history="1">
        <w:r w:rsidR="00FA6CA1">
          <w:rPr>
            <w:rStyle w:val="Hyperlink"/>
          </w:rPr>
          <w:t>https://doi.org/10.1021/ci960343</w:t>
        </w:r>
      </w:hyperlink>
      <w:r>
        <w:t>+</w:t>
      </w:r>
      <w:bookmarkEnd w:id="20"/>
    </w:p>
    <w:p w14:paraId="45FDB910" w14:textId="77777777" w:rsidR="00FA6CA1" w:rsidRPr="002E75CF" w:rsidRDefault="00000000">
      <w:pPr>
        <w:pStyle w:val="ListParagraph"/>
        <w:numPr>
          <w:ilvl w:val="0"/>
          <w:numId w:val="2"/>
        </w:numPr>
        <w:spacing w:line="360" w:lineRule="auto"/>
        <w:jc w:val="both"/>
        <w:rPr>
          <w:highlight w:val="lightGray"/>
        </w:rPr>
      </w:pPr>
      <w:bookmarkStart w:id="21" w:name="_Ref211005518"/>
      <w:r>
        <w:rPr>
          <w:highlight w:val="lightGray"/>
        </w:rPr>
        <w:t>Qi, J., Feng, C., Shi, Y., Yang, J., Zhang, F., Li, G., &amp; Han, R. (2024). FP-Zernike: An Open-source Structural Database Construction Toolkit for Fast Structure Retrieval.</w:t>
      </w:r>
      <w:r>
        <w:rPr>
          <w:rStyle w:val="apple-converted-space"/>
          <w:highlight w:val="lightGray"/>
        </w:rPr>
        <w:t> </w:t>
      </w:r>
      <w:r>
        <w:rPr>
          <w:i/>
          <w:iCs/>
          <w:highlight w:val="lightGray"/>
        </w:rPr>
        <w:t>Genomics, Proteomics &amp; Bioinformatics</w:t>
      </w:r>
      <w:r>
        <w:rPr>
          <w:highlight w:val="lightGray"/>
        </w:rPr>
        <w:t>,</w:t>
      </w:r>
      <w:r>
        <w:rPr>
          <w:i/>
          <w:iCs/>
          <w:highlight w:val="lightGray"/>
        </w:rPr>
        <w:t>22</w:t>
      </w:r>
      <w:r>
        <w:rPr>
          <w:highlight w:val="lightGray"/>
        </w:rPr>
        <w:t xml:space="preserve">(1). </w:t>
      </w:r>
      <w:hyperlink r:id="rId31" w:tooltip="https://doi.org/10.1093/gpbjnl/qzae007" w:history="1">
        <w:r w:rsidR="00FA6CA1">
          <w:rPr>
            <w:rStyle w:val="Hyperlink"/>
            <w:highlight w:val="lightGray"/>
          </w:rPr>
          <w:t>https://doi.org/10.1093/gpbjnl/qzae007</w:t>
        </w:r>
      </w:hyperlink>
      <w:bookmarkEnd w:id="21"/>
    </w:p>
    <w:p w14:paraId="31B1673E" w14:textId="75EF9A47" w:rsidR="00FA6CA1" w:rsidRPr="002E75CF" w:rsidRDefault="00000000">
      <w:pPr>
        <w:pStyle w:val="ListParagraph"/>
        <w:numPr>
          <w:ilvl w:val="0"/>
          <w:numId w:val="2"/>
        </w:numPr>
        <w:spacing w:line="360" w:lineRule="auto"/>
        <w:jc w:val="both"/>
        <w:rPr>
          <w:highlight w:val="lightGray"/>
        </w:rPr>
      </w:pPr>
      <w:bookmarkStart w:id="22" w:name="_Ref211005685"/>
      <w:r>
        <w:rPr>
          <w:highlight w:val="lightGray"/>
        </w:rPr>
        <w:t>Kuzminykh, D., Zhebrak, A., Kadurin, A., Nikolenko, S., Zhavoronkov, A., Polykovskiy, D., Baskov, I., &amp; Shayakhmetov, R. (2018). 3D Molecular Representations Based on the Wave Transform for Convolutional Neural Networks.</w:t>
      </w:r>
      <w:r>
        <w:rPr>
          <w:rStyle w:val="apple-converted-space"/>
          <w:highlight w:val="lightGray"/>
        </w:rPr>
        <w:t> </w:t>
      </w:r>
      <w:r>
        <w:rPr>
          <w:i/>
          <w:iCs/>
          <w:highlight w:val="lightGray"/>
        </w:rPr>
        <w:t>Molecular Pharmaceutics</w:t>
      </w:r>
      <w:r>
        <w:rPr>
          <w:highlight w:val="lightGray"/>
        </w:rPr>
        <w:t>,</w:t>
      </w:r>
      <w:r>
        <w:rPr>
          <w:rStyle w:val="apple-converted-space"/>
          <w:highlight w:val="lightGray"/>
        </w:rPr>
        <w:t> </w:t>
      </w:r>
      <w:r>
        <w:rPr>
          <w:i/>
          <w:iCs/>
          <w:highlight w:val="lightGray"/>
        </w:rPr>
        <w:t>15</w:t>
      </w:r>
      <w:r>
        <w:rPr>
          <w:highlight w:val="lightGray"/>
        </w:rPr>
        <w:t xml:space="preserve">(10), 4378–4385. </w:t>
      </w:r>
      <w:hyperlink r:id="rId32" w:tooltip="https://doi.org/10.1021/acs.molpharmaceut.7b01134" w:history="1">
        <w:r w:rsidR="00FA6CA1">
          <w:rPr>
            <w:rStyle w:val="Hyperlink"/>
            <w:highlight w:val="lightGray"/>
          </w:rPr>
          <w:t>https://doi.org/10.1021/acs.molpharmaceut.7b01134</w:t>
        </w:r>
      </w:hyperlink>
      <w:bookmarkEnd w:id="22"/>
    </w:p>
    <w:p w14:paraId="7DD2737C" w14:textId="77777777" w:rsidR="00FA6CA1" w:rsidRDefault="00000000">
      <w:pPr>
        <w:pStyle w:val="ListParagraph"/>
        <w:numPr>
          <w:ilvl w:val="0"/>
          <w:numId w:val="2"/>
        </w:numPr>
        <w:spacing w:line="360" w:lineRule="auto"/>
        <w:jc w:val="both"/>
      </w:pPr>
      <w:bookmarkStart w:id="23" w:name="_Ref211005790"/>
      <w:r>
        <w:lastRenderedPageBreak/>
        <w:t>Wiercioch, M. (2019). Exploring the Potential of Spherical Harmonics and PCVM for Compounds Activity Prediction.</w:t>
      </w:r>
      <w:r>
        <w:rPr>
          <w:rStyle w:val="apple-converted-space"/>
        </w:rPr>
        <w:t> </w:t>
      </w:r>
      <w:r>
        <w:rPr>
          <w:i/>
          <w:iCs/>
        </w:rPr>
        <w:t>International Journal of Molecular Sciences</w:t>
      </w:r>
      <w:r>
        <w:t>,</w:t>
      </w:r>
      <w:r>
        <w:rPr>
          <w:rStyle w:val="apple-converted-space"/>
        </w:rPr>
        <w:t> </w:t>
      </w:r>
      <w:r>
        <w:rPr>
          <w:i/>
          <w:iCs/>
        </w:rPr>
        <w:t>20</w:t>
      </w:r>
      <w:r>
        <w:t>(9), 2175. https://doi.org/10.3390/ijms20092175</w:t>
      </w:r>
      <w:bookmarkEnd w:id="23"/>
      <w:r>
        <w:t xml:space="preserve"> </w:t>
      </w:r>
    </w:p>
    <w:p w14:paraId="0DA56492" w14:textId="77777777" w:rsidR="00FA6CA1" w:rsidRDefault="00000000">
      <w:pPr>
        <w:pStyle w:val="ListParagraph"/>
        <w:numPr>
          <w:ilvl w:val="0"/>
          <w:numId w:val="2"/>
        </w:numPr>
        <w:spacing w:line="360" w:lineRule="auto"/>
        <w:jc w:val="both"/>
      </w:pPr>
      <w:bookmarkStart w:id="24" w:name="_Ref210998791"/>
      <w:r>
        <w:t>Pandey, G., &amp; Saxena, A. K. (2006). 3D QSAR Studies on Protein Tyrosine Phosphatase 1B Inhibitors: Comparison of the Quality and Predictivity among 3D QSAR Models Obtained from Different Conformer-Based Alignments.</w:t>
      </w:r>
      <w:r>
        <w:rPr>
          <w:rStyle w:val="apple-converted-space"/>
        </w:rPr>
        <w:t> </w:t>
      </w:r>
      <w:r>
        <w:rPr>
          <w:i/>
          <w:iCs/>
        </w:rPr>
        <w:t>Journal of Chemical Information and Modeling</w:t>
      </w:r>
      <w:r>
        <w:t>,</w:t>
      </w:r>
      <w:r>
        <w:rPr>
          <w:rStyle w:val="apple-converted-space"/>
        </w:rPr>
        <w:t> </w:t>
      </w:r>
      <w:r>
        <w:rPr>
          <w:i/>
          <w:iCs/>
        </w:rPr>
        <w:t>46</w:t>
      </w:r>
      <w:r>
        <w:t xml:space="preserve">(6), 2579–2590. </w:t>
      </w:r>
      <w:hyperlink r:id="rId33" w:tooltip="https://doi.org/10.1021/ci600224n" w:history="1">
        <w:r w:rsidR="00FA6CA1">
          <w:rPr>
            <w:rStyle w:val="Hyperlink"/>
          </w:rPr>
          <w:t>https://doi.org/10.1021/ci600224n</w:t>
        </w:r>
      </w:hyperlink>
      <w:bookmarkEnd w:id="24"/>
      <w:r>
        <w:t xml:space="preserve"> </w:t>
      </w:r>
    </w:p>
    <w:p w14:paraId="1D0FE692" w14:textId="77777777" w:rsidR="00FA6CA1" w:rsidRDefault="00000000">
      <w:pPr>
        <w:pStyle w:val="ListParagraph"/>
        <w:numPr>
          <w:ilvl w:val="0"/>
          <w:numId w:val="2"/>
        </w:numPr>
        <w:spacing w:line="360" w:lineRule="auto"/>
        <w:jc w:val="both"/>
      </w:pPr>
      <w:bookmarkStart w:id="25" w:name="_Ref210996677"/>
      <w:r>
        <w:t>Cubillán, N., Marrero-Ponce, Y., Alvarado, Y. J., Barigye, S. J., Valdes-Martini, J. R., Ariza-Rico, H., &amp; García-Jacas, C. R. (2015). Novel global and local 3D atom-based linear descriptors of the Minkowski distance matrix: theory, diversity–variability analysis and QSPR applications.</w:t>
      </w:r>
      <w:r>
        <w:rPr>
          <w:rStyle w:val="apple-converted-space"/>
        </w:rPr>
        <w:t> </w:t>
      </w:r>
      <w:r>
        <w:rPr>
          <w:i/>
          <w:iCs/>
        </w:rPr>
        <w:t>Journal of Mathematical Chemistry</w:t>
      </w:r>
      <w:r>
        <w:t>,</w:t>
      </w:r>
      <w:r>
        <w:rPr>
          <w:rStyle w:val="apple-converted-space"/>
        </w:rPr>
        <w:t> </w:t>
      </w:r>
      <w:r>
        <w:rPr>
          <w:i/>
          <w:iCs/>
        </w:rPr>
        <w:t>53</w:t>
      </w:r>
      <w:r>
        <w:t xml:space="preserve">(9), 2028–2064. </w:t>
      </w:r>
      <w:hyperlink r:id="rId34" w:tooltip="https://doi.org/10.1007/s10910-015-0533-3" w:history="1">
        <w:r w:rsidR="00FA6CA1">
          <w:rPr>
            <w:rStyle w:val="Hyperlink"/>
          </w:rPr>
          <w:t>https://doi.org/10.1007/s10910-015-0533-3</w:t>
        </w:r>
      </w:hyperlink>
      <w:bookmarkEnd w:id="25"/>
    </w:p>
    <w:p w14:paraId="060D24FE" w14:textId="77777777" w:rsidR="00FA6CA1" w:rsidRDefault="00000000">
      <w:pPr>
        <w:pStyle w:val="ListParagraph"/>
        <w:numPr>
          <w:ilvl w:val="0"/>
          <w:numId w:val="2"/>
        </w:numPr>
        <w:spacing w:line="360" w:lineRule="auto"/>
        <w:jc w:val="both"/>
      </w:pPr>
      <w:bookmarkStart w:id="26" w:name="_Ref211027310"/>
      <w:r>
        <w:t>Hopfinger, A. J., Duraiswami, C., Albuquerque, M., Tokarski, J. S., Wang, S., Jin, B., &amp; Madhav, P. J. (1997). Construction of 3D-QSAR Models Using the 4D-QSAR Analysis Formalism.</w:t>
      </w:r>
      <w:r>
        <w:rPr>
          <w:rStyle w:val="apple-converted-space"/>
        </w:rPr>
        <w:t> </w:t>
      </w:r>
      <w:r>
        <w:rPr>
          <w:i/>
          <w:iCs/>
        </w:rPr>
        <w:t>Journal of the American Chemical Society</w:t>
      </w:r>
      <w:r>
        <w:t>,</w:t>
      </w:r>
      <w:r>
        <w:rPr>
          <w:rStyle w:val="apple-converted-space"/>
        </w:rPr>
        <w:t> </w:t>
      </w:r>
      <w:r>
        <w:rPr>
          <w:i/>
          <w:iCs/>
        </w:rPr>
        <w:t>119</w:t>
      </w:r>
      <w:r>
        <w:t xml:space="preserve">(43), 10509–10524. </w:t>
      </w:r>
      <w:hyperlink r:id="rId35" w:tooltip="https://doi.org/10.1021/ja9718937" w:history="1">
        <w:r w:rsidR="00FA6CA1">
          <w:rPr>
            <w:rStyle w:val="Hyperlink"/>
          </w:rPr>
          <w:t>https://doi.org/10.1021/ja9718937</w:t>
        </w:r>
      </w:hyperlink>
      <w:bookmarkEnd w:id="26"/>
    </w:p>
    <w:p w14:paraId="4150CF5C" w14:textId="77777777" w:rsidR="00FA6CA1" w:rsidRDefault="00000000">
      <w:pPr>
        <w:pStyle w:val="ListParagraph"/>
        <w:numPr>
          <w:ilvl w:val="0"/>
          <w:numId w:val="2"/>
        </w:numPr>
        <w:spacing w:line="360" w:lineRule="auto"/>
        <w:jc w:val="both"/>
      </w:pPr>
      <w:bookmarkStart w:id="27" w:name="_Ref210935369"/>
      <w:r>
        <w:t>Bak, A. (2021). Two Decades of 4D-QSAR: A Dying Art or Staging a Comeback?</w:t>
      </w:r>
      <w:r>
        <w:rPr>
          <w:rStyle w:val="apple-converted-space"/>
        </w:rPr>
        <w:t> </w:t>
      </w:r>
      <w:r>
        <w:rPr>
          <w:i/>
          <w:iCs/>
        </w:rPr>
        <w:t>International Journal of Molecular Sciences</w:t>
      </w:r>
      <w:r>
        <w:t>,</w:t>
      </w:r>
      <w:r>
        <w:rPr>
          <w:rStyle w:val="apple-converted-space"/>
        </w:rPr>
        <w:t> </w:t>
      </w:r>
      <w:r>
        <w:rPr>
          <w:i/>
          <w:iCs/>
        </w:rPr>
        <w:t>22</w:t>
      </w:r>
      <w:r>
        <w:t xml:space="preserve">(10), 5212. </w:t>
      </w:r>
      <w:hyperlink r:id="rId36" w:tooltip="https://doi.org/10.3390/ijms22105212" w:history="1">
        <w:r w:rsidR="00FA6CA1">
          <w:rPr>
            <w:rStyle w:val="Hyperlink"/>
          </w:rPr>
          <w:t>https://doi.org/10.3390/ijms22105212</w:t>
        </w:r>
      </w:hyperlink>
      <w:bookmarkEnd w:id="15"/>
      <w:bookmarkEnd w:id="27"/>
    </w:p>
    <w:p w14:paraId="542FC0E8" w14:textId="77777777" w:rsidR="00FA6CA1" w:rsidRDefault="00000000">
      <w:pPr>
        <w:pStyle w:val="ListParagraph"/>
        <w:numPr>
          <w:ilvl w:val="0"/>
          <w:numId w:val="2"/>
        </w:numPr>
        <w:spacing w:line="360" w:lineRule="auto"/>
        <w:jc w:val="both"/>
      </w:pPr>
      <w:bookmarkStart w:id="28" w:name="_Ref211000471"/>
      <w:r>
        <w:t>Vitorović-Todorović, M. D., Cvijetić, I. N., Juranić, I. O., &amp; Drakulić, B. J. (2012). The 3D-QSAR study of 110 diverse, dual binding, acetylcholinesterase inhibitors based on alignment independent descriptors (GRIND-2). The effects of conformation on predictive power and interpretability of the models.</w:t>
      </w:r>
      <w:r>
        <w:rPr>
          <w:rStyle w:val="apple-converted-space"/>
        </w:rPr>
        <w:t> </w:t>
      </w:r>
      <w:r>
        <w:rPr>
          <w:i/>
          <w:iCs/>
        </w:rPr>
        <w:t>Journal of Molecular Graphics and Modelling</w:t>
      </w:r>
      <w:r>
        <w:t>,</w:t>
      </w:r>
      <w:r>
        <w:rPr>
          <w:rStyle w:val="apple-converted-space"/>
        </w:rPr>
        <w:t> </w:t>
      </w:r>
      <w:r>
        <w:rPr>
          <w:i/>
          <w:iCs/>
        </w:rPr>
        <w:t>38</w:t>
      </w:r>
      <w:r>
        <w:t xml:space="preserve">, 194–210. </w:t>
      </w:r>
      <w:hyperlink r:id="rId37" w:tooltip="https://doi.org/10.1016/j.jmgm.2012.08.001" w:history="1">
        <w:r w:rsidR="00FA6CA1">
          <w:rPr>
            <w:rStyle w:val="Hyperlink"/>
          </w:rPr>
          <w:t>https://doi.org/10.1016/j.jmgm.2012.08.001</w:t>
        </w:r>
      </w:hyperlink>
      <w:bookmarkEnd w:id="28"/>
    </w:p>
    <w:p w14:paraId="47085EDF" w14:textId="77777777" w:rsidR="00FA6CA1" w:rsidRDefault="00000000">
      <w:pPr>
        <w:pStyle w:val="ListParagraph"/>
        <w:numPr>
          <w:ilvl w:val="0"/>
          <w:numId w:val="2"/>
        </w:numPr>
        <w:spacing w:line="360" w:lineRule="auto"/>
        <w:jc w:val="both"/>
      </w:pPr>
      <w:bookmarkStart w:id="29" w:name="_Ref211003593"/>
      <w:r>
        <w:rPr>
          <w:lang w:val="fr-FR"/>
        </w:rPr>
        <w:t xml:space="preserve">Zhou, Z., &amp; Madura, J. D. (2004). </w:t>
      </w:r>
      <w:r>
        <w:t>CoMFA 3D-QSAR Analysis of HIV-1 RT Nonnucleoside Inhibitors, TIBO Derivatives Based on Docking Conformation and Alignment.</w:t>
      </w:r>
      <w:r>
        <w:rPr>
          <w:rStyle w:val="apple-converted-space"/>
        </w:rPr>
        <w:t> </w:t>
      </w:r>
      <w:r>
        <w:rPr>
          <w:i/>
          <w:iCs/>
        </w:rPr>
        <w:t>Journal of Chemical Information and Computer Sciences</w:t>
      </w:r>
      <w:r>
        <w:t>,</w:t>
      </w:r>
      <w:r>
        <w:rPr>
          <w:rStyle w:val="apple-converted-space"/>
        </w:rPr>
        <w:t> </w:t>
      </w:r>
      <w:r>
        <w:rPr>
          <w:i/>
          <w:iCs/>
        </w:rPr>
        <w:t>44</w:t>
      </w:r>
      <w:r>
        <w:t xml:space="preserve">(6), 2167–2178. </w:t>
      </w:r>
      <w:hyperlink r:id="rId38" w:tooltip="https://doi.org/10.1021/ci049893v" w:history="1">
        <w:r w:rsidR="00FA6CA1">
          <w:rPr>
            <w:rStyle w:val="Hyperlink"/>
          </w:rPr>
          <w:t>https://doi.org/10.1021/ci049893v</w:t>
        </w:r>
      </w:hyperlink>
      <w:bookmarkEnd w:id="29"/>
    </w:p>
    <w:p w14:paraId="272C5BA4" w14:textId="77777777" w:rsidR="00FA6CA1" w:rsidRDefault="00000000">
      <w:pPr>
        <w:pStyle w:val="ListParagraph"/>
        <w:numPr>
          <w:ilvl w:val="0"/>
          <w:numId w:val="2"/>
        </w:numPr>
        <w:spacing w:line="360" w:lineRule="auto"/>
        <w:jc w:val="both"/>
      </w:pPr>
      <w:bookmarkStart w:id="30" w:name="_Ref211003981"/>
      <w:r>
        <w:rPr>
          <w:lang w:val="fr-FR"/>
        </w:rPr>
        <w:lastRenderedPageBreak/>
        <w:t xml:space="preserve">Brogi, S., Papazafiri, P., Roussis, V., &amp; Tafi, A. (2013). </w:t>
      </w:r>
      <w:r>
        <w:t>3D-QSAR using pharmacophore-based alignment and virtual screening for discovery of novel MCF-7 cell line inhibitors.</w:t>
      </w:r>
      <w:r>
        <w:rPr>
          <w:rStyle w:val="apple-converted-space"/>
        </w:rPr>
        <w:t> </w:t>
      </w:r>
      <w:r>
        <w:rPr>
          <w:i/>
          <w:iCs/>
        </w:rPr>
        <w:t>European Journal of Medicinal Chemistry</w:t>
      </w:r>
      <w:r>
        <w:t>,</w:t>
      </w:r>
      <w:r>
        <w:rPr>
          <w:rStyle w:val="apple-converted-space"/>
        </w:rPr>
        <w:t> </w:t>
      </w:r>
      <w:r>
        <w:rPr>
          <w:i/>
          <w:iCs/>
        </w:rPr>
        <w:t>67</w:t>
      </w:r>
      <w:r>
        <w:t>, 344–351. https://doi.org/10.1016/j.ejmech.2013.06.048</w:t>
      </w:r>
      <w:bookmarkEnd w:id="30"/>
      <w:r>
        <w:t xml:space="preserve"> </w:t>
      </w:r>
    </w:p>
    <w:p w14:paraId="6BC4791E" w14:textId="77777777" w:rsidR="00FA6CA1" w:rsidRDefault="00000000">
      <w:pPr>
        <w:pStyle w:val="ListParagraph"/>
        <w:numPr>
          <w:ilvl w:val="0"/>
          <w:numId w:val="2"/>
        </w:numPr>
        <w:spacing w:line="360" w:lineRule="auto"/>
        <w:jc w:val="both"/>
      </w:pPr>
      <w:bookmarkStart w:id="31" w:name="_Ref210935523"/>
      <w:r>
        <w:t>Hawkins, P. C. D. (2017). Conformation Generation: The State of the Art.</w:t>
      </w:r>
      <w:r>
        <w:rPr>
          <w:rStyle w:val="apple-converted-space"/>
        </w:rPr>
        <w:t> </w:t>
      </w:r>
      <w:r>
        <w:rPr>
          <w:i/>
          <w:iCs/>
        </w:rPr>
        <w:t>Journal of Chemical Information and Modeling</w:t>
      </w:r>
      <w:r>
        <w:t>,</w:t>
      </w:r>
      <w:r>
        <w:rPr>
          <w:rStyle w:val="apple-converted-space"/>
        </w:rPr>
        <w:t> </w:t>
      </w:r>
      <w:r>
        <w:rPr>
          <w:i/>
          <w:iCs/>
        </w:rPr>
        <w:t>57</w:t>
      </w:r>
      <w:r>
        <w:t xml:space="preserve">(8), 1747–1756. </w:t>
      </w:r>
      <w:hyperlink r:id="rId39" w:tooltip="https://doi.org/10.1021/acs.jcim.7b00221" w:history="1">
        <w:r w:rsidR="00FA6CA1">
          <w:rPr>
            <w:rStyle w:val="Hyperlink"/>
          </w:rPr>
          <w:t>https://doi.org/10.1021/acs.jcim.7b00221</w:t>
        </w:r>
      </w:hyperlink>
      <w:bookmarkEnd w:id="31"/>
    </w:p>
    <w:p w14:paraId="6B676C3B" w14:textId="77777777" w:rsidR="00FA6CA1" w:rsidRDefault="00000000">
      <w:pPr>
        <w:pStyle w:val="ListParagraph"/>
        <w:numPr>
          <w:ilvl w:val="0"/>
          <w:numId w:val="2"/>
        </w:numPr>
        <w:spacing w:line="360" w:lineRule="auto"/>
        <w:jc w:val="both"/>
      </w:pPr>
      <w:r>
        <w:t>Fu, G., Liu, H., Patel, R. Y., Nan, X., Doerksen, R. J., Daga, P. R., Chen, Y., &amp; Wilkins, D. E. (2012). Implementation of multiple-instance learning in drug activity prediction.</w:t>
      </w:r>
      <w:r>
        <w:rPr>
          <w:rStyle w:val="apple-converted-space"/>
        </w:rPr>
        <w:t> </w:t>
      </w:r>
      <w:r>
        <w:rPr>
          <w:i/>
          <w:iCs/>
        </w:rPr>
        <w:t>BMC Bioinformatics</w:t>
      </w:r>
      <w:r>
        <w:t>,</w:t>
      </w:r>
      <w:r>
        <w:rPr>
          <w:rStyle w:val="apple-converted-space"/>
        </w:rPr>
        <w:t> </w:t>
      </w:r>
      <w:r>
        <w:rPr>
          <w:i/>
          <w:iCs/>
        </w:rPr>
        <w:t>13</w:t>
      </w:r>
      <w:r>
        <w:t xml:space="preserve">(Suppl 15). </w:t>
      </w:r>
      <w:hyperlink r:id="rId40" w:tooltip="https://doi.org/10.1186/1471-2105-13-s15-s3" w:history="1">
        <w:r w:rsidR="00FA6CA1">
          <w:rPr>
            <w:rStyle w:val="Hyperlink"/>
          </w:rPr>
          <w:t>https://doi.org/10.1186/1471-2105-13-s15-s3</w:t>
        </w:r>
      </w:hyperlink>
      <w:bookmarkEnd w:id="16"/>
    </w:p>
    <w:p w14:paraId="79B008B1" w14:textId="77777777" w:rsidR="00FA6CA1" w:rsidRDefault="00000000">
      <w:pPr>
        <w:pStyle w:val="ListParagraph"/>
        <w:numPr>
          <w:ilvl w:val="0"/>
          <w:numId w:val="2"/>
        </w:numPr>
        <w:spacing w:line="360" w:lineRule="auto"/>
        <w:jc w:val="both"/>
      </w:pPr>
      <w:bookmarkStart w:id="32" w:name="_Ref208948631"/>
      <w:r>
        <w:t>Chen, Y., Bi, J., &amp; Wang, J. Z. (2006). MILES: Multiple-Instance Learning via Embedded Instance Selection.</w:t>
      </w:r>
      <w:r>
        <w:rPr>
          <w:rStyle w:val="apple-converted-space"/>
        </w:rPr>
        <w:t> </w:t>
      </w:r>
      <w:r>
        <w:rPr>
          <w:i/>
          <w:iCs/>
        </w:rPr>
        <w:t>IEEE Transactions on Pattern Analysis and Machine Intelligence</w:t>
      </w:r>
      <w:r>
        <w:t>,</w:t>
      </w:r>
      <w:r>
        <w:rPr>
          <w:rStyle w:val="apple-converted-space"/>
        </w:rPr>
        <w:t> </w:t>
      </w:r>
      <w:r>
        <w:rPr>
          <w:i/>
          <w:iCs/>
        </w:rPr>
        <w:t>28</w:t>
      </w:r>
      <w:r>
        <w:t xml:space="preserve">(12), 1931–1947. </w:t>
      </w:r>
      <w:hyperlink r:id="rId41" w:tooltip="https://doi.org/10.1109/tpami.2006.248" w:history="1">
        <w:r w:rsidR="00FA6CA1">
          <w:rPr>
            <w:rStyle w:val="Hyperlink"/>
          </w:rPr>
          <w:t>https://doi.org/10.1109/tpami.2006.248</w:t>
        </w:r>
      </w:hyperlink>
      <w:bookmarkEnd w:id="32"/>
    </w:p>
    <w:p w14:paraId="714A78D7" w14:textId="77777777" w:rsidR="00FA6CA1" w:rsidRDefault="00000000">
      <w:pPr>
        <w:pStyle w:val="ListParagraph"/>
        <w:numPr>
          <w:ilvl w:val="0"/>
          <w:numId w:val="2"/>
        </w:numPr>
        <w:spacing w:line="360" w:lineRule="auto"/>
        <w:jc w:val="both"/>
      </w:pPr>
      <w:bookmarkStart w:id="33" w:name="_Ref208948956"/>
      <w:r>
        <w:t>Zhao, Z., Chen, Y., Elokely, K. M., Liu, S., Fu, G., Wilkins, D. E., &amp; Doerksen, R. J. (2013). Drug activity prediction using multiple-instance learning via joint instance and feature selection.</w:t>
      </w:r>
      <w:r>
        <w:rPr>
          <w:rStyle w:val="apple-converted-space"/>
        </w:rPr>
        <w:t> </w:t>
      </w:r>
      <w:r>
        <w:rPr>
          <w:i/>
          <w:iCs/>
        </w:rPr>
        <w:t>BMC Bioinformatics</w:t>
      </w:r>
      <w:r>
        <w:t>,</w:t>
      </w:r>
      <w:r>
        <w:rPr>
          <w:rStyle w:val="apple-converted-space"/>
        </w:rPr>
        <w:t> </w:t>
      </w:r>
      <w:r>
        <w:rPr>
          <w:i/>
          <w:iCs/>
        </w:rPr>
        <w:t>14</w:t>
      </w:r>
      <w:r>
        <w:t xml:space="preserve">(Suppl 14). </w:t>
      </w:r>
      <w:hyperlink r:id="rId42" w:tooltip="https://doi.org/10.1186/1471-2105-14-s14-s16" w:history="1">
        <w:r w:rsidR="00FA6CA1">
          <w:rPr>
            <w:rStyle w:val="Hyperlink"/>
          </w:rPr>
          <w:t>https://doi.org/10.1186/1471-2105-14-s14-s16</w:t>
        </w:r>
      </w:hyperlink>
      <w:bookmarkEnd w:id="33"/>
    </w:p>
    <w:p w14:paraId="510ACAC3" w14:textId="77777777" w:rsidR="00FA6CA1" w:rsidRDefault="00000000">
      <w:pPr>
        <w:pStyle w:val="ListParagraph"/>
        <w:numPr>
          <w:ilvl w:val="0"/>
          <w:numId w:val="2"/>
        </w:numPr>
        <w:spacing w:line="360" w:lineRule="auto"/>
        <w:jc w:val="both"/>
      </w:pPr>
      <w:bookmarkStart w:id="34" w:name="_Ref208952151"/>
      <w:r>
        <w:t>Fatima, S., Ali, S., &amp; Kim, H.-C. (2023). A Comprehensive Review on Multiple Instance Learning.</w:t>
      </w:r>
      <w:r>
        <w:rPr>
          <w:rStyle w:val="apple-converted-space"/>
        </w:rPr>
        <w:t> </w:t>
      </w:r>
      <w:r>
        <w:rPr>
          <w:i/>
          <w:iCs/>
        </w:rPr>
        <w:t>Electronics</w:t>
      </w:r>
      <w:r>
        <w:t>,</w:t>
      </w:r>
      <w:r>
        <w:rPr>
          <w:rStyle w:val="apple-converted-space"/>
        </w:rPr>
        <w:t> </w:t>
      </w:r>
      <w:r>
        <w:rPr>
          <w:i/>
          <w:iCs/>
        </w:rPr>
        <w:t>12</w:t>
      </w:r>
      <w:r>
        <w:t xml:space="preserve">(20), 4323. </w:t>
      </w:r>
      <w:hyperlink r:id="rId43" w:tooltip="https://doi.org/10.3390/electronics12204323" w:history="1">
        <w:r w:rsidR="00FA6CA1">
          <w:rPr>
            <w:rStyle w:val="Hyperlink"/>
          </w:rPr>
          <w:t>https://doi.org/10.3390/electronics12204323</w:t>
        </w:r>
      </w:hyperlink>
      <w:bookmarkEnd w:id="34"/>
    </w:p>
    <w:p w14:paraId="26118205" w14:textId="77777777" w:rsidR="00FA6CA1" w:rsidRDefault="00000000">
      <w:pPr>
        <w:pStyle w:val="ListParagraph"/>
        <w:numPr>
          <w:ilvl w:val="0"/>
          <w:numId w:val="2"/>
        </w:numPr>
        <w:spacing w:line="360" w:lineRule="auto"/>
        <w:jc w:val="both"/>
      </w:pPr>
      <w:bookmarkStart w:id="35" w:name="_Ref208988794"/>
      <w:r>
        <w:t>Wang, X., Yan, Y., Tang, P., Bai, X., &amp; Liu, W. (2016).</w:t>
      </w:r>
      <w:r>
        <w:rPr>
          <w:rStyle w:val="apple-converted-space"/>
        </w:rPr>
        <w:t> </w:t>
      </w:r>
      <w:r>
        <w:rPr>
          <w:i/>
          <w:iCs/>
        </w:rPr>
        <w:t>Revisiting Multiple Instance Neural Networks</w:t>
      </w:r>
      <w:r>
        <w:t xml:space="preserve">. </w:t>
      </w:r>
      <w:hyperlink r:id="rId44" w:tooltip="https://doi.org/10.48550/arxiv.1610.02501" w:history="1">
        <w:r w:rsidR="00FA6CA1">
          <w:rPr>
            <w:rStyle w:val="Hyperlink"/>
          </w:rPr>
          <w:t>https://doi.org/10.48550/arxiv.1610.02501</w:t>
        </w:r>
      </w:hyperlink>
      <w:bookmarkEnd w:id="35"/>
    </w:p>
    <w:p w14:paraId="08B5B1DE" w14:textId="77777777" w:rsidR="00FA6CA1" w:rsidRDefault="00000000">
      <w:pPr>
        <w:pStyle w:val="ListParagraph"/>
        <w:numPr>
          <w:ilvl w:val="0"/>
          <w:numId w:val="2"/>
        </w:numPr>
        <w:spacing w:line="360" w:lineRule="auto"/>
        <w:jc w:val="both"/>
      </w:pPr>
      <w:bookmarkStart w:id="36" w:name="_Ref210802352"/>
      <w:r>
        <w:t>Shazeer, N. (2020).</w:t>
      </w:r>
      <w:r>
        <w:rPr>
          <w:rStyle w:val="apple-converted-space"/>
        </w:rPr>
        <w:t> </w:t>
      </w:r>
      <w:r>
        <w:rPr>
          <w:i/>
          <w:iCs/>
        </w:rPr>
        <w:t>GLU Variants Improve Transformer</w:t>
      </w:r>
      <w:r>
        <w:t xml:space="preserve">. Cornell University. </w:t>
      </w:r>
      <w:hyperlink r:id="rId45" w:tooltip="https://doi.org/10.48550/arxiv.2002.05202" w:history="1">
        <w:r w:rsidR="00FA6CA1">
          <w:rPr>
            <w:rStyle w:val="Hyperlink"/>
          </w:rPr>
          <w:t>https://doi.org/10.48550/arxiv.2002.05202</w:t>
        </w:r>
      </w:hyperlink>
      <w:bookmarkEnd w:id="36"/>
    </w:p>
    <w:p w14:paraId="3D754008" w14:textId="77777777" w:rsidR="00FA6CA1" w:rsidRDefault="00000000">
      <w:pPr>
        <w:pStyle w:val="ListParagraph"/>
        <w:numPr>
          <w:ilvl w:val="0"/>
          <w:numId w:val="2"/>
        </w:numPr>
        <w:spacing w:line="360" w:lineRule="auto"/>
        <w:jc w:val="both"/>
      </w:pPr>
      <w:bookmarkStart w:id="37" w:name="_Ref210802664"/>
      <w:r>
        <w:t>An, B., Tan, F., Li, C., Hu, Y., Hu, C., Zhang, R., Wang, Z., Lyu, J., &amp; Chen, C. (2020).</w:t>
      </w:r>
      <w:r>
        <w:rPr>
          <w:rStyle w:val="apple-converted-space"/>
        </w:rPr>
        <w:t> </w:t>
      </w:r>
      <w:r>
        <w:rPr>
          <w:i/>
          <w:iCs/>
        </w:rPr>
        <w:t>Repulsive Attention: Rethinking Multi-head Attention as Bayesian Inference</w:t>
      </w:r>
      <w:r>
        <w:t xml:space="preserve">. Cornell University. </w:t>
      </w:r>
      <w:hyperlink r:id="rId46" w:tooltip="https://doi.org/10.48550/arxiv.2009.09364" w:history="1">
        <w:r w:rsidR="00FA6CA1">
          <w:rPr>
            <w:rStyle w:val="Hyperlink"/>
          </w:rPr>
          <w:t>https://doi.org/10.48550/arxiv.2009.09364</w:t>
        </w:r>
      </w:hyperlink>
      <w:bookmarkEnd w:id="37"/>
    </w:p>
    <w:p w14:paraId="56263717" w14:textId="77777777" w:rsidR="00FA6CA1" w:rsidRDefault="00000000">
      <w:pPr>
        <w:pStyle w:val="ListParagraph"/>
        <w:numPr>
          <w:ilvl w:val="0"/>
          <w:numId w:val="2"/>
        </w:numPr>
        <w:spacing w:line="360" w:lineRule="auto"/>
        <w:jc w:val="both"/>
      </w:pPr>
      <w:bookmarkStart w:id="38" w:name="_Ref210803921"/>
      <w:r>
        <w:lastRenderedPageBreak/>
        <w:t>Clark, K., Khandelwal, U., Manning, C. D., &amp; Levy, O. (2019, January 1).</w:t>
      </w:r>
      <w:r>
        <w:rPr>
          <w:rStyle w:val="apple-converted-space"/>
        </w:rPr>
        <w:t> </w:t>
      </w:r>
      <w:r>
        <w:rPr>
          <w:i/>
          <w:iCs/>
        </w:rPr>
        <w:t>What Does BERT Look at? An Analysis of BERT’s Attention</w:t>
      </w:r>
      <w:r>
        <w:t xml:space="preserve">. </w:t>
      </w:r>
      <w:hyperlink r:id="rId47" w:tooltip="https://doi.org/10.18653/v1/w19-4828" w:history="1">
        <w:r w:rsidR="00FA6CA1">
          <w:rPr>
            <w:rStyle w:val="Hyperlink"/>
          </w:rPr>
          <w:t>https://doi.org/10.18653/v1/w19-4828</w:t>
        </w:r>
      </w:hyperlink>
      <w:bookmarkEnd w:id="38"/>
    </w:p>
    <w:p w14:paraId="131C5270" w14:textId="77777777" w:rsidR="00FA6CA1" w:rsidRDefault="00000000">
      <w:pPr>
        <w:pStyle w:val="ListParagraph"/>
        <w:numPr>
          <w:ilvl w:val="0"/>
          <w:numId w:val="2"/>
        </w:numPr>
        <w:spacing w:line="360" w:lineRule="auto"/>
        <w:jc w:val="both"/>
      </w:pPr>
      <w:bookmarkStart w:id="39" w:name="_Ref210804034"/>
      <w:r>
        <w:t>Vaswani, A., Shazeer, N., Parmar, N., Uszkoreit, J., Jones, L., Gomez, A., Kaiser, L., &amp; Polosukhin, I. (2017).</w:t>
      </w:r>
      <w:r>
        <w:rPr>
          <w:rStyle w:val="apple-converted-space"/>
        </w:rPr>
        <w:t> </w:t>
      </w:r>
      <w:r>
        <w:rPr>
          <w:i/>
          <w:iCs/>
        </w:rPr>
        <w:t>Attention Is All You Need</w:t>
      </w:r>
      <w:r>
        <w:t xml:space="preserve">. </w:t>
      </w:r>
      <w:hyperlink r:id="rId48" w:tooltip="https://doi.org/10.48550/arxiv.1706.03762" w:history="1">
        <w:r w:rsidR="00FA6CA1">
          <w:rPr>
            <w:rStyle w:val="Hyperlink"/>
          </w:rPr>
          <w:t>https://doi.org/10.48550/arxiv.1706.03762</w:t>
        </w:r>
      </w:hyperlink>
      <w:bookmarkEnd w:id="39"/>
    </w:p>
    <w:p w14:paraId="40934770" w14:textId="77777777" w:rsidR="00FA6CA1" w:rsidRDefault="00000000">
      <w:pPr>
        <w:pStyle w:val="ListParagraph"/>
        <w:numPr>
          <w:ilvl w:val="0"/>
          <w:numId w:val="2"/>
        </w:numPr>
        <w:spacing w:line="360" w:lineRule="auto"/>
        <w:jc w:val="both"/>
      </w:pPr>
      <w:bookmarkStart w:id="40" w:name="_Ref211025911"/>
      <w:r>
        <w:t>Vedani, A., Dobler, M., &amp; Zbinden, P. (1998). Quasi-Atomistic Receptor Surface Models: A Bridge between 3-D QSAR and Receptor Modeling.</w:t>
      </w:r>
      <w:r>
        <w:rPr>
          <w:rStyle w:val="apple-converted-space"/>
        </w:rPr>
        <w:t> </w:t>
      </w:r>
      <w:r>
        <w:rPr>
          <w:i/>
          <w:iCs/>
        </w:rPr>
        <w:t>Journal of the American Chemical Society</w:t>
      </w:r>
      <w:r>
        <w:t>,</w:t>
      </w:r>
      <w:r>
        <w:rPr>
          <w:rStyle w:val="apple-converted-space"/>
        </w:rPr>
        <w:t> </w:t>
      </w:r>
      <w:r>
        <w:rPr>
          <w:i/>
          <w:iCs/>
        </w:rPr>
        <w:t>120</w:t>
      </w:r>
      <w:r>
        <w:t xml:space="preserve">(18), 4471–4477. </w:t>
      </w:r>
      <w:hyperlink r:id="rId49" w:tooltip="https://doi.org/10.1021/ja973976t" w:history="1">
        <w:r w:rsidR="00FA6CA1">
          <w:rPr>
            <w:rStyle w:val="Hyperlink"/>
          </w:rPr>
          <w:t>https://doi.org/10.1021/ja973976t</w:t>
        </w:r>
      </w:hyperlink>
      <w:bookmarkEnd w:id="40"/>
    </w:p>
    <w:p w14:paraId="6D2868BB" w14:textId="77777777" w:rsidR="00FA6CA1" w:rsidRDefault="00000000">
      <w:pPr>
        <w:pStyle w:val="ListParagraph"/>
        <w:numPr>
          <w:ilvl w:val="0"/>
          <w:numId w:val="2"/>
        </w:numPr>
        <w:spacing w:line="360" w:lineRule="auto"/>
        <w:jc w:val="both"/>
      </w:pPr>
      <w:bookmarkStart w:id="41" w:name="_Ref211025960"/>
      <w:r>
        <w:t>Vedani, A., Mcmasters, D. R., &amp; Dobler, M. (2000). Multi-conformational Ligand Representation in 4D-QSAR: Reducing the Bias Associated with Ligand Alignment.</w:t>
      </w:r>
      <w:r>
        <w:rPr>
          <w:rStyle w:val="apple-converted-space"/>
        </w:rPr>
        <w:t> </w:t>
      </w:r>
      <w:r>
        <w:rPr>
          <w:i/>
          <w:iCs/>
        </w:rPr>
        <w:t>Quantitative Structure-Activity Relationships</w:t>
      </w:r>
      <w:r>
        <w:t>,</w:t>
      </w:r>
      <w:r>
        <w:rPr>
          <w:rStyle w:val="apple-converted-space"/>
        </w:rPr>
        <w:t> </w:t>
      </w:r>
      <w:r>
        <w:rPr>
          <w:i/>
          <w:iCs/>
        </w:rPr>
        <w:t>19</w:t>
      </w:r>
      <w:r>
        <w:t xml:space="preserve">(2), 149–161. </w:t>
      </w:r>
      <w:hyperlink r:id="rId50" w:tooltip="https://doi.org/10.1002/1521-3838(200004)19:2%3c149::aid-qsar149%3e3.0.co;2-9" w:history="1">
        <w:r w:rsidR="00FA6CA1">
          <w:rPr>
            <w:rStyle w:val="Hyperlink"/>
          </w:rPr>
          <w:t>https://doi.org/10.1002/1521-3838(200004)19:2&lt;149::aid-qsar149&gt;3.0.co;2-9</w:t>
        </w:r>
      </w:hyperlink>
      <w:bookmarkEnd w:id="41"/>
    </w:p>
    <w:p w14:paraId="4246ADFE" w14:textId="77777777" w:rsidR="00FA6CA1" w:rsidRDefault="00000000">
      <w:pPr>
        <w:pStyle w:val="ListParagraph"/>
        <w:numPr>
          <w:ilvl w:val="0"/>
          <w:numId w:val="2"/>
        </w:numPr>
        <w:spacing w:line="360" w:lineRule="auto"/>
        <w:jc w:val="both"/>
      </w:pPr>
      <w:bookmarkStart w:id="42" w:name="_Ref211027386"/>
      <w:r>
        <w:t>Hasegawa, K., Arakawa, M., &amp; Funatsu, K. (2003). Simultaneous determination of bioactive conformations and alignment rules by multi-way PLS modeling.</w:t>
      </w:r>
      <w:r>
        <w:rPr>
          <w:rStyle w:val="apple-converted-space"/>
        </w:rPr>
        <w:t> </w:t>
      </w:r>
      <w:r>
        <w:rPr>
          <w:i/>
          <w:iCs/>
        </w:rPr>
        <w:t>Computational Biology and Chemistry</w:t>
      </w:r>
      <w:r>
        <w:t>,</w:t>
      </w:r>
      <w:r>
        <w:rPr>
          <w:rStyle w:val="apple-converted-space"/>
        </w:rPr>
        <w:t> </w:t>
      </w:r>
      <w:r>
        <w:rPr>
          <w:i/>
          <w:iCs/>
        </w:rPr>
        <w:t>27</w:t>
      </w:r>
      <w:r>
        <w:t xml:space="preserve">(3), 211–216. </w:t>
      </w:r>
      <w:hyperlink r:id="rId51" w:tooltip="https://doi.org/10.1016/s0097-8485(02)00055-4" w:history="1">
        <w:r w:rsidR="00FA6CA1">
          <w:rPr>
            <w:rStyle w:val="Hyperlink"/>
          </w:rPr>
          <w:t>https://doi.org/10.1016/s0097-8485(02)00055-4</w:t>
        </w:r>
      </w:hyperlink>
      <w:bookmarkEnd w:id="42"/>
    </w:p>
    <w:p w14:paraId="2C8DBDDE" w14:textId="77777777" w:rsidR="00FA6CA1" w:rsidRDefault="00000000">
      <w:pPr>
        <w:pStyle w:val="ListParagraph"/>
        <w:numPr>
          <w:ilvl w:val="0"/>
          <w:numId w:val="2"/>
        </w:numPr>
        <w:spacing w:line="360" w:lineRule="auto"/>
        <w:jc w:val="both"/>
      </w:pPr>
      <w:bookmarkStart w:id="43" w:name="_Ref211027628"/>
      <w:r>
        <w:t>Appell, M., Dunn, W. J., Reith, M. E. A., Miller, L., &amp; Flippen-Anderson, J. L. (2002). An Analysis of the Binding of Cocaine Analogues to the Monoamine Transporters Using Tensor Decomposition 3-D QSAR.</w:t>
      </w:r>
      <w:r>
        <w:rPr>
          <w:rStyle w:val="apple-converted-space"/>
        </w:rPr>
        <w:t> </w:t>
      </w:r>
      <w:r>
        <w:rPr>
          <w:i/>
          <w:iCs/>
        </w:rPr>
        <w:t>Bioorganic &amp; Medicinal Chemistry</w:t>
      </w:r>
      <w:r>
        <w:t>,</w:t>
      </w:r>
      <w:r>
        <w:rPr>
          <w:rStyle w:val="apple-converted-space"/>
        </w:rPr>
        <w:t> </w:t>
      </w:r>
      <w:r>
        <w:rPr>
          <w:i/>
          <w:iCs/>
        </w:rPr>
        <w:t>10</w:t>
      </w:r>
      <w:r>
        <w:t xml:space="preserve">(5), 1197–1206. </w:t>
      </w:r>
      <w:hyperlink r:id="rId52" w:tooltip="https://doi.org/10.1016/s0968-0896(01)00389-3" w:history="1">
        <w:r w:rsidR="00FA6CA1">
          <w:rPr>
            <w:rStyle w:val="Hyperlink"/>
          </w:rPr>
          <w:t>https://doi.org/10.1016/s0968-0896(01)00389-3</w:t>
        </w:r>
      </w:hyperlink>
      <w:bookmarkEnd w:id="43"/>
    </w:p>
    <w:p w14:paraId="54B9CA42" w14:textId="77777777" w:rsidR="00FA6CA1" w:rsidRDefault="00000000">
      <w:pPr>
        <w:pStyle w:val="ListParagraph"/>
        <w:numPr>
          <w:ilvl w:val="0"/>
          <w:numId w:val="2"/>
        </w:numPr>
        <w:spacing w:line="360" w:lineRule="auto"/>
        <w:jc w:val="both"/>
      </w:pPr>
      <w:bookmarkStart w:id="44" w:name="_Ref211027720"/>
      <w:r>
        <w:t>Hasegawa, K., Arakawa, M., &amp; Funatsu, K. (2000). Rational choice of bioactive conformations through use of conformation analysis and 3-way partial least squares modeling.</w:t>
      </w:r>
      <w:r>
        <w:rPr>
          <w:rStyle w:val="apple-converted-space"/>
        </w:rPr>
        <w:t> </w:t>
      </w:r>
      <w:r>
        <w:rPr>
          <w:i/>
          <w:iCs/>
        </w:rPr>
        <w:t>Chemometrics and Intelligent Laboratory Systems</w:t>
      </w:r>
      <w:r>
        <w:t>,</w:t>
      </w:r>
      <w:r>
        <w:rPr>
          <w:rStyle w:val="apple-converted-space"/>
        </w:rPr>
        <w:t> </w:t>
      </w:r>
      <w:r>
        <w:rPr>
          <w:i/>
          <w:iCs/>
        </w:rPr>
        <w:t>50</w:t>
      </w:r>
      <w:r>
        <w:t xml:space="preserve">(2), 253–261. </w:t>
      </w:r>
      <w:hyperlink r:id="rId53" w:tooltip="https://doi.org/10.1016/s0169-7439(99)00063-5" w:history="1">
        <w:r w:rsidR="00FA6CA1">
          <w:rPr>
            <w:rStyle w:val="Hyperlink"/>
          </w:rPr>
          <w:t>https://doi.org/10.1016/s0169-7439(99)00063-5</w:t>
        </w:r>
      </w:hyperlink>
      <w:bookmarkEnd w:id="44"/>
    </w:p>
    <w:p w14:paraId="7691334B" w14:textId="77777777" w:rsidR="00FA6CA1" w:rsidRDefault="00000000">
      <w:pPr>
        <w:pStyle w:val="ListParagraph"/>
        <w:numPr>
          <w:ilvl w:val="0"/>
          <w:numId w:val="2"/>
        </w:numPr>
        <w:spacing w:after="0" w:line="360" w:lineRule="auto"/>
        <w:rPr>
          <w:rFonts w:ascii="Times" w:hAnsi="Times"/>
        </w:rPr>
      </w:pPr>
      <w:bookmarkStart w:id="45" w:name="_Ref191232652"/>
      <w:r>
        <w:t>Goodford, P. J. (1985). A computational procedure for determining energetically favorable binding sites on biologically important macromolecules.</w:t>
      </w:r>
      <w:r>
        <w:rPr>
          <w:rStyle w:val="apple-converted-space"/>
        </w:rPr>
        <w:t> </w:t>
      </w:r>
      <w:r>
        <w:rPr>
          <w:i/>
          <w:iCs/>
        </w:rPr>
        <w:t>Journal of Medicinal Chemistry</w:t>
      </w:r>
      <w:r>
        <w:t>,</w:t>
      </w:r>
      <w:r>
        <w:rPr>
          <w:rStyle w:val="apple-converted-space"/>
        </w:rPr>
        <w:t> </w:t>
      </w:r>
      <w:r>
        <w:rPr>
          <w:i/>
          <w:iCs/>
        </w:rPr>
        <w:t>28</w:t>
      </w:r>
      <w:r>
        <w:t xml:space="preserve">(7), 849–857. </w:t>
      </w:r>
      <w:hyperlink r:id="rId54" w:tooltip="https://doi.org/10.1021/jm00145a002" w:history="1">
        <w:r w:rsidR="00FA6CA1">
          <w:rPr>
            <w:rStyle w:val="Hyperlink"/>
          </w:rPr>
          <w:t>https://doi.org/10.1021/jm00145a002</w:t>
        </w:r>
      </w:hyperlink>
      <w:bookmarkEnd w:id="45"/>
    </w:p>
    <w:p w14:paraId="3B69C4F9" w14:textId="77777777" w:rsidR="00FA6CA1" w:rsidRDefault="00000000">
      <w:pPr>
        <w:pStyle w:val="ListParagraph"/>
        <w:numPr>
          <w:ilvl w:val="0"/>
          <w:numId w:val="2"/>
        </w:numPr>
        <w:spacing w:after="0" w:line="360" w:lineRule="auto"/>
        <w:rPr>
          <w:rFonts w:ascii="Times" w:hAnsi="Times"/>
        </w:rPr>
      </w:pPr>
      <w:bookmarkStart w:id="46" w:name="_Ref191232747"/>
      <w:r>
        <w:rPr>
          <w:lang w:val="fr-FR"/>
        </w:rPr>
        <w:lastRenderedPageBreak/>
        <w:t xml:space="preserve">Lu, S., Yuan, H.-L., Yang, P., Zhang, L., Lu, T., Liu, H.-C., Gao, Y.-P., Sun, S.-L., &amp; Chen, Y.-D. (2011). </w:t>
      </w:r>
      <w:r>
        <w:t>Combined Pharmacophore Modeling, Docking, and 3D-QSAR Studies of PLK1 Inhibitors.</w:t>
      </w:r>
      <w:r>
        <w:rPr>
          <w:rStyle w:val="apple-converted-space"/>
        </w:rPr>
        <w:t> </w:t>
      </w:r>
      <w:r>
        <w:rPr>
          <w:i/>
          <w:iCs/>
        </w:rPr>
        <w:t>International Journal of Molecular Sciences</w:t>
      </w:r>
      <w:r>
        <w:t>,</w:t>
      </w:r>
      <w:r>
        <w:rPr>
          <w:rStyle w:val="apple-converted-space"/>
        </w:rPr>
        <w:t> </w:t>
      </w:r>
      <w:r>
        <w:rPr>
          <w:i/>
          <w:iCs/>
        </w:rPr>
        <w:t>12</w:t>
      </w:r>
      <w:r>
        <w:t xml:space="preserve">(12), 8713–8739. </w:t>
      </w:r>
      <w:hyperlink r:id="rId55" w:tooltip="https://doi.org/10.3390/ijms12128713" w:history="1">
        <w:r w:rsidR="00FA6CA1">
          <w:rPr>
            <w:rStyle w:val="Hyperlink"/>
          </w:rPr>
          <w:t>https://doi.org/10.3390/ijms12128713</w:t>
        </w:r>
      </w:hyperlink>
      <w:bookmarkEnd w:id="46"/>
    </w:p>
    <w:p w14:paraId="63B6608B" w14:textId="77777777" w:rsidR="00FA6CA1" w:rsidRDefault="00000000">
      <w:pPr>
        <w:pStyle w:val="ListParagraph"/>
        <w:numPr>
          <w:ilvl w:val="0"/>
          <w:numId w:val="2"/>
        </w:numPr>
        <w:spacing w:line="360" w:lineRule="auto"/>
        <w:jc w:val="both"/>
      </w:pPr>
      <w:r>
        <w:t>Dunn, W. J., Duraiswami, C., Hopfinger, A. J., &amp; Catana, C. (1996). Solution of the conformation and alignment tensors for the binding of trimethoprim and its analogs to dihydrofolate reductase: 3D-quantitative structure-activity relationship study using molecular shape analysis, 3-way partial least-squares regression, and 3-way factor analysis.</w:t>
      </w:r>
      <w:r>
        <w:rPr>
          <w:rStyle w:val="apple-converted-space"/>
        </w:rPr>
        <w:t> </w:t>
      </w:r>
      <w:r>
        <w:rPr>
          <w:i/>
          <w:iCs/>
        </w:rPr>
        <w:t>Journal of Medicinal Chemistry</w:t>
      </w:r>
      <w:r>
        <w:t>,</w:t>
      </w:r>
      <w:r>
        <w:rPr>
          <w:rStyle w:val="apple-converted-space"/>
        </w:rPr>
        <w:t> </w:t>
      </w:r>
      <w:r>
        <w:rPr>
          <w:i/>
          <w:iCs/>
        </w:rPr>
        <w:t>39</w:t>
      </w:r>
      <w:r>
        <w:t xml:space="preserve">(24), 4825–4832. </w:t>
      </w:r>
      <w:hyperlink r:id="rId56" w:tooltip="https://doi.org/10.1021/jm960491r" w:history="1">
        <w:r w:rsidR="00FA6CA1">
          <w:rPr>
            <w:rStyle w:val="Hyperlink"/>
          </w:rPr>
          <w:t>https://doi.org/10.1021/jm960491r</w:t>
        </w:r>
      </w:hyperlink>
    </w:p>
    <w:p w14:paraId="66A29766" w14:textId="77777777" w:rsidR="00FA6CA1" w:rsidRDefault="00000000">
      <w:pPr>
        <w:pStyle w:val="ListParagraph"/>
        <w:numPr>
          <w:ilvl w:val="0"/>
          <w:numId w:val="2"/>
        </w:numPr>
        <w:spacing w:line="360" w:lineRule="auto"/>
        <w:jc w:val="both"/>
      </w:pPr>
      <w:r>
        <w:t>Hasegawa, K., Arakawa, M., &amp; Funatsu, K. (2003). Simultaneous determination of bioactive conformations and alignment rules by multi-way PLS modeling.</w:t>
      </w:r>
      <w:r>
        <w:rPr>
          <w:rStyle w:val="apple-converted-space"/>
        </w:rPr>
        <w:t> </w:t>
      </w:r>
      <w:r>
        <w:rPr>
          <w:i/>
          <w:iCs/>
        </w:rPr>
        <w:t>Computational Biology and Chemistry</w:t>
      </w:r>
      <w:r>
        <w:t>,</w:t>
      </w:r>
      <w:r>
        <w:rPr>
          <w:rStyle w:val="apple-converted-space"/>
        </w:rPr>
        <w:t> </w:t>
      </w:r>
      <w:r>
        <w:rPr>
          <w:i/>
          <w:iCs/>
        </w:rPr>
        <w:t>27</w:t>
      </w:r>
      <w:r>
        <w:t xml:space="preserve">(3), 211–216. </w:t>
      </w:r>
      <w:hyperlink r:id="rId57" w:tooltip="https://doi.org/10.1016/s0097-8485(02)00055-4" w:history="1">
        <w:r w:rsidR="00FA6CA1">
          <w:rPr>
            <w:rStyle w:val="Hyperlink"/>
          </w:rPr>
          <w:t>https://doi.org/10.1016/s0097-8485(02)00055-4</w:t>
        </w:r>
      </w:hyperlink>
    </w:p>
    <w:p w14:paraId="06971B45" w14:textId="77777777" w:rsidR="00FA6CA1" w:rsidRDefault="00000000">
      <w:pPr>
        <w:pStyle w:val="ListParagraph"/>
        <w:numPr>
          <w:ilvl w:val="0"/>
          <w:numId w:val="2"/>
        </w:numPr>
        <w:spacing w:after="0" w:line="360" w:lineRule="auto"/>
        <w:rPr>
          <w:rFonts w:ascii="Times" w:hAnsi="Times"/>
        </w:rPr>
      </w:pPr>
      <w:bookmarkStart w:id="47" w:name="_Ref189643174"/>
      <w:r>
        <w:t>Dietterich, T. G., Lathrop, R. H., &amp; Lozano-Pérez, T. (1997). Solving the multiple instance problem with axis-parallel rectangles.</w:t>
      </w:r>
      <w:r>
        <w:rPr>
          <w:rStyle w:val="apple-converted-space"/>
        </w:rPr>
        <w:t> </w:t>
      </w:r>
      <w:r>
        <w:rPr>
          <w:i/>
          <w:iCs/>
        </w:rPr>
        <w:t>Artificial Intelligence</w:t>
      </w:r>
      <w:r>
        <w:t>,</w:t>
      </w:r>
      <w:r>
        <w:rPr>
          <w:rStyle w:val="apple-converted-space"/>
        </w:rPr>
        <w:t> </w:t>
      </w:r>
      <w:r>
        <w:rPr>
          <w:i/>
          <w:iCs/>
        </w:rPr>
        <w:t>89</w:t>
      </w:r>
      <w:r>
        <w:t xml:space="preserve">(1–2), 31–71. </w:t>
      </w:r>
      <w:hyperlink r:id="rId58" w:tooltip="https://doi.org/10.1016/s0004-3702(96)00034-3" w:history="1">
        <w:r w:rsidR="00FA6CA1">
          <w:rPr>
            <w:rStyle w:val="Hyperlink"/>
          </w:rPr>
          <w:t>https://doi.org/10.1016/s0004-3702(96)00034-3</w:t>
        </w:r>
      </w:hyperlink>
      <w:bookmarkEnd w:id="47"/>
    </w:p>
    <w:p w14:paraId="6DFDD92A" w14:textId="77777777" w:rsidR="00FA6CA1" w:rsidRDefault="00000000">
      <w:pPr>
        <w:pStyle w:val="ListParagraph"/>
        <w:numPr>
          <w:ilvl w:val="0"/>
          <w:numId w:val="2"/>
        </w:numPr>
        <w:spacing w:after="0" w:line="360" w:lineRule="auto"/>
        <w:rPr>
          <w:rFonts w:ascii="Times" w:hAnsi="Times"/>
        </w:rPr>
      </w:pPr>
      <w:r>
        <w:t>Gürsoy, O., &amp; Smieško, M. (2017). Searching for bioactive conformations of drug-like ligands with current force fields: how good are we?</w:t>
      </w:r>
      <w:r>
        <w:rPr>
          <w:rStyle w:val="apple-converted-space"/>
        </w:rPr>
        <w:t> </w:t>
      </w:r>
      <w:r>
        <w:rPr>
          <w:i/>
          <w:iCs/>
        </w:rPr>
        <w:t>Journal of Cheminformatics</w:t>
      </w:r>
      <w:r>
        <w:t>,</w:t>
      </w:r>
      <w:r>
        <w:rPr>
          <w:rStyle w:val="apple-converted-space"/>
        </w:rPr>
        <w:t> </w:t>
      </w:r>
      <w:r>
        <w:rPr>
          <w:i/>
          <w:iCs/>
        </w:rPr>
        <w:t>9</w:t>
      </w:r>
      <w:r>
        <w:t xml:space="preserve">(1). </w:t>
      </w:r>
      <w:hyperlink r:id="rId59" w:tooltip="https://doi.org/10.1186/s13321-017-0216-0" w:history="1">
        <w:r w:rsidR="00FA6CA1">
          <w:rPr>
            <w:rStyle w:val="Hyperlink"/>
          </w:rPr>
          <w:t>https://doi.org/10.1186/s13321-017-0216-0</w:t>
        </w:r>
      </w:hyperlink>
    </w:p>
    <w:p w14:paraId="3E811BD1" w14:textId="77777777" w:rsidR="00FA6CA1" w:rsidRDefault="00000000">
      <w:pPr>
        <w:pStyle w:val="ListParagraph"/>
        <w:numPr>
          <w:ilvl w:val="0"/>
          <w:numId w:val="2"/>
        </w:numPr>
        <w:spacing w:after="0" w:line="360" w:lineRule="auto"/>
        <w:rPr>
          <w:rFonts w:ascii="Times" w:hAnsi="Times"/>
        </w:rPr>
      </w:pPr>
      <w:r>
        <w:t>Shirali, A., Stebliankin, V., Karki, U., Shi, J., Chapagain, P., &amp; Narasimhan, G. (2025). A comprehensive survey of scoring functions for protein docking models.</w:t>
      </w:r>
      <w:r>
        <w:rPr>
          <w:rStyle w:val="apple-converted-space"/>
        </w:rPr>
        <w:t> </w:t>
      </w:r>
      <w:r>
        <w:rPr>
          <w:i/>
          <w:iCs/>
        </w:rPr>
        <w:t>BMC Bioinformatics</w:t>
      </w:r>
      <w:r>
        <w:t>,</w:t>
      </w:r>
      <w:r>
        <w:rPr>
          <w:rStyle w:val="apple-converted-space"/>
        </w:rPr>
        <w:t> </w:t>
      </w:r>
      <w:r>
        <w:rPr>
          <w:i/>
          <w:iCs/>
        </w:rPr>
        <w:t>26</w:t>
      </w:r>
      <w:r>
        <w:t xml:space="preserve">(1). </w:t>
      </w:r>
      <w:hyperlink r:id="rId60" w:tooltip="https://doi.org/10.1186/s12859-024-05991-4" w:history="1">
        <w:r w:rsidR="00FA6CA1">
          <w:rPr>
            <w:rStyle w:val="Hyperlink"/>
          </w:rPr>
          <w:t>https://doi.org/10.1186/s12859-024-05991-4</w:t>
        </w:r>
      </w:hyperlink>
    </w:p>
    <w:p w14:paraId="7A14E8A1" w14:textId="77777777" w:rsidR="00FA6CA1" w:rsidRDefault="00000000">
      <w:pPr>
        <w:pStyle w:val="ListParagraph"/>
        <w:numPr>
          <w:ilvl w:val="0"/>
          <w:numId w:val="2"/>
        </w:numPr>
        <w:spacing w:after="0" w:line="360" w:lineRule="auto"/>
        <w:rPr>
          <w:rFonts w:ascii="Times" w:hAnsi="Times"/>
        </w:rPr>
      </w:pPr>
      <w:bookmarkStart w:id="48" w:name="_Ref189684090"/>
      <w:r>
        <w:t>Fu, G., Doerksen, R. J., Wilkins, D. E., Liu, H., Patel, R. Y., Chen, Y., Nan, X., &amp; Daga, P. R. (2012). Implementation of multiple-instance learning in drug activity prediction.</w:t>
      </w:r>
      <w:r>
        <w:rPr>
          <w:rStyle w:val="apple-converted-space"/>
        </w:rPr>
        <w:t> </w:t>
      </w:r>
      <w:r>
        <w:rPr>
          <w:i/>
          <w:iCs/>
        </w:rPr>
        <w:t>BMC Bioinformatics</w:t>
      </w:r>
      <w:r>
        <w:t>,</w:t>
      </w:r>
      <w:r>
        <w:rPr>
          <w:rStyle w:val="apple-converted-space"/>
        </w:rPr>
        <w:t> </w:t>
      </w:r>
      <w:r>
        <w:rPr>
          <w:i/>
          <w:iCs/>
        </w:rPr>
        <w:t>13</w:t>
      </w:r>
      <w:r>
        <w:t xml:space="preserve">(S15). </w:t>
      </w:r>
      <w:hyperlink r:id="rId61" w:tooltip="https://doi.org/10.1186/1471-2105-13-s15-s3" w:history="1">
        <w:r w:rsidR="00FA6CA1">
          <w:rPr>
            <w:rStyle w:val="Hyperlink"/>
          </w:rPr>
          <w:t>https://doi.org/10.1186/1471-2105-13-s15-s3</w:t>
        </w:r>
      </w:hyperlink>
      <w:bookmarkEnd w:id="48"/>
    </w:p>
    <w:p w14:paraId="0F2D622D" w14:textId="77777777" w:rsidR="00FA6CA1" w:rsidRDefault="00000000">
      <w:pPr>
        <w:pStyle w:val="ListParagraph"/>
        <w:numPr>
          <w:ilvl w:val="0"/>
          <w:numId w:val="2"/>
        </w:numPr>
        <w:spacing w:after="0" w:line="360" w:lineRule="auto"/>
        <w:rPr>
          <w:rFonts w:ascii="Times" w:hAnsi="Times"/>
        </w:rPr>
      </w:pPr>
      <w:bookmarkStart w:id="49" w:name="_Ref189684280"/>
      <w:r>
        <w:t xml:space="preserve">Zhao, Z., Doerksen, R. J., Elokely, K. M., Chen, Y., Liu, S., Wilkins, D. E., &amp; Fu, G. (2013). Drug activity prediction using multiple-instance learning via joint instance </w:t>
      </w:r>
      <w:r>
        <w:lastRenderedPageBreak/>
        <w:t>and feature selection.</w:t>
      </w:r>
      <w:r>
        <w:rPr>
          <w:rStyle w:val="apple-converted-space"/>
        </w:rPr>
        <w:t> </w:t>
      </w:r>
      <w:r>
        <w:rPr>
          <w:i/>
          <w:iCs/>
        </w:rPr>
        <w:t>BMC Bioinformatics</w:t>
      </w:r>
      <w:r>
        <w:t>,</w:t>
      </w:r>
      <w:r>
        <w:rPr>
          <w:rStyle w:val="apple-converted-space"/>
        </w:rPr>
        <w:t> </w:t>
      </w:r>
      <w:r>
        <w:rPr>
          <w:i/>
          <w:iCs/>
        </w:rPr>
        <w:t>14</w:t>
      </w:r>
      <w:r>
        <w:t xml:space="preserve">(S14). </w:t>
      </w:r>
      <w:hyperlink r:id="rId62" w:tooltip="https://doi.org/10.1186/1471-2105-14-s14-s16" w:history="1">
        <w:r w:rsidR="00FA6CA1">
          <w:rPr>
            <w:rStyle w:val="Hyperlink"/>
          </w:rPr>
          <w:t>https://doi.org/10.1186/1471-2105-14-s14-s16</w:t>
        </w:r>
      </w:hyperlink>
      <w:bookmarkEnd w:id="49"/>
    </w:p>
    <w:p w14:paraId="5B1C0B39" w14:textId="77777777" w:rsidR="00FA6CA1" w:rsidRDefault="00000000">
      <w:pPr>
        <w:pStyle w:val="ListParagraph"/>
        <w:numPr>
          <w:ilvl w:val="0"/>
          <w:numId w:val="2"/>
        </w:numPr>
        <w:spacing w:after="0" w:line="360" w:lineRule="auto"/>
        <w:rPr>
          <w:rFonts w:ascii="Times" w:hAnsi="Times"/>
        </w:rPr>
      </w:pPr>
      <w:bookmarkStart w:id="50" w:name="_Ref189683145"/>
      <w:r>
        <w:t>Doran, G., &amp; Ray, S. (2013). A theoretical and empirical analysis of support vector machine methods for multiple-instance classification.</w:t>
      </w:r>
      <w:r>
        <w:rPr>
          <w:rStyle w:val="apple-converted-space"/>
        </w:rPr>
        <w:t> </w:t>
      </w:r>
      <w:r>
        <w:rPr>
          <w:i/>
          <w:iCs/>
        </w:rPr>
        <w:t>Machine Learning</w:t>
      </w:r>
      <w:r>
        <w:t>,</w:t>
      </w:r>
      <w:r>
        <w:rPr>
          <w:rStyle w:val="apple-converted-space"/>
        </w:rPr>
        <w:t> </w:t>
      </w:r>
      <w:r>
        <w:rPr>
          <w:i/>
          <w:iCs/>
        </w:rPr>
        <w:t>97</w:t>
      </w:r>
      <w:r>
        <w:t xml:space="preserve">(1–2), 79–102. </w:t>
      </w:r>
      <w:hyperlink r:id="rId63" w:tooltip="https://doi.org/10.1007/s10994-013-5429-5" w:history="1">
        <w:r w:rsidR="00FA6CA1">
          <w:rPr>
            <w:rStyle w:val="Hyperlink"/>
          </w:rPr>
          <w:t>https://doi.org/10.1007/s10994-013-5429-5</w:t>
        </w:r>
      </w:hyperlink>
      <w:bookmarkEnd w:id="50"/>
    </w:p>
    <w:p w14:paraId="5DE7705B" w14:textId="77777777" w:rsidR="00FA6CA1" w:rsidRDefault="00000000">
      <w:pPr>
        <w:pStyle w:val="ListParagraph"/>
        <w:numPr>
          <w:ilvl w:val="0"/>
          <w:numId w:val="2"/>
        </w:numPr>
        <w:spacing w:after="0" w:line="360" w:lineRule="auto"/>
        <w:rPr>
          <w:rFonts w:ascii="Times" w:hAnsi="Times"/>
        </w:rPr>
      </w:pPr>
      <w:bookmarkStart w:id="51" w:name="_Ref189682939"/>
      <w:r>
        <w:t>Chuang, K., &amp; Keiser, M. (2020).</w:t>
      </w:r>
      <w:r>
        <w:rPr>
          <w:rStyle w:val="apple-converted-space"/>
        </w:rPr>
        <w:t> </w:t>
      </w:r>
      <w:r>
        <w:rPr>
          <w:i/>
          <w:iCs/>
        </w:rPr>
        <w:t>Attention-Based Learning on Molecular Ensembles</w:t>
      </w:r>
      <w:r>
        <w:t xml:space="preserve">. </w:t>
      </w:r>
      <w:hyperlink r:id="rId64" w:tooltip="https://doi.org/10.48550/arxiv.2011.12820" w:history="1">
        <w:r w:rsidR="00FA6CA1">
          <w:rPr>
            <w:rStyle w:val="Hyperlink"/>
          </w:rPr>
          <w:t>https://doi.org/10.48550/arxiv.2011.12820</w:t>
        </w:r>
      </w:hyperlink>
      <w:bookmarkEnd w:id="51"/>
    </w:p>
    <w:p w14:paraId="12CE4D6B" w14:textId="77777777" w:rsidR="00FA6CA1" w:rsidRDefault="00000000">
      <w:pPr>
        <w:pStyle w:val="ListParagraph"/>
        <w:numPr>
          <w:ilvl w:val="0"/>
          <w:numId w:val="2"/>
        </w:numPr>
        <w:spacing w:after="0" w:line="360" w:lineRule="auto"/>
        <w:rPr>
          <w:rFonts w:ascii="Times" w:hAnsi="Times"/>
        </w:rPr>
      </w:pPr>
      <w:r>
        <w:t>Zankov, D. V., Baskin, I. I., Polishchuk, P., Nikonenko, A. V., Nugmanov, R. I., Varnek, A., Madzhidov, T. I., &amp; Matveieva, M. (2021). QSAR Modeling Based on Conformation Ensembles Using a Multi-Instance Learning Approach.</w:t>
      </w:r>
      <w:r>
        <w:rPr>
          <w:rStyle w:val="apple-converted-space"/>
        </w:rPr>
        <w:t> </w:t>
      </w:r>
      <w:r>
        <w:rPr>
          <w:i/>
          <w:iCs/>
        </w:rPr>
        <w:t>Journal of Chemical Information and Modeling</w:t>
      </w:r>
      <w:r>
        <w:t>,</w:t>
      </w:r>
      <w:r>
        <w:rPr>
          <w:rStyle w:val="apple-converted-space"/>
        </w:rPr>
        <w:t> </w:t>
      </w:r>
      <w:r>
        <w:rPr>
          <w:i/>
          <w:iCs/>
        </w:rPr>
        <w:t>61</w:t>
      </w:r>
      <w:r>
        <w:t xml:space="preserve">(10), 4913–4923. </w:t>
      </w:r>
      <w:hyperlink r:id="rId65" w:tooltip="https://doi.org/10.1021/acs.jcim.1c00692" w:history="1">
        <w:r w:rsidR="00FA6CA1">
          <w:rPr>
            <w:rStyle w:val="Hyperlink"/>
          </w:rPr>
          <w:t>https://doi.org/10.1021/acs.jcim.1c00692</w:t>
        </w:r>
      </w:hyperlink>
      <w:r>
        <w:t xml:space="preserve"> </w:t>
      </w:r>
    </w:p>
    <w:p w14:paraId="0F7CCD1A" w14:textId="77777777" w:rsidR="00FA6CA1" w:rsidRDefault="00000000">
      <w:pPr>
        <w:pStyle w:val="ListParagraph"/>
        <w:numPr>
          <w:ilvl w:val="0"/>
          <w:numId w:val="2"/>
        </w:numPr>
        <w:spacing w:after="0" w:line="360" w:lineRule="auto"/>
        <w:rPr>
          <w:rFonts w:ascii="Times" w:hAnsi="Times"/>
        </w:rPr>
      </w:pPr>
      <w:r>
        <w:t>Zhu, Y., Hwang, J., Adams, K., Liu, Z., Nan, B., Stenfors, B., Du, Y., Chauhan, J., Wiest, O., Isayev, O., Coley, C., Sun, Y., &amp; Wang, W. (2023).</w:t>
      </w:r>
      <w:r>
        <w:rPr>
          <w:rStyle w:val="apple-converted-space"/>
        </w:rPr>
        <w:t> </w:t>
      </w:r>
      <w:r>
        <w:rPr>
          <w:i/>
          <w:iCs/>
        </w:rPr>
        <w:t>Learning Over Molecular Conformer Ensembles: Datasets and Benchmarks</w:t>
      </w:r>
      <w:r>
        <w:t xml:space="preserve">. </w:t>
      </w:r>
      <w:hyperlink r:id="rId66" w:tooltip="https://doi.org/10.48550/arxiv.2310.00115" w:history="1">
        <w:r w:rsidR="00FA6CA1">
          <w:rPr>
            <w:rStyle w:val="Hyperlink"/>
          </w:rPr>
          <w:t>https://doi.org/10.48550/arxiv.2310.00115</w:t>
        </w:r>
      </w:hyperlink>
    </w:p>
    <w:p w14:paraId="41D52002" w14:textId="77777777" w:rsidR="00FA6CA1" w:rsidRDefault="00000000">
      <w:pPr>
        <w:pStyle w:val="ListParagraph"/>
        <w:numPr>
          <w:ilvl w:val="0"/>
          <w:numId w:val="2"/>
        </w:numPr>
        <w:spacing w:after="0" w:line="360" w:lineRule="auto"/>
        <w:rPr>
          <w:rFonts w:ascii="Times" w:hAnsi="Times"/>
        </w:rPr>
      </w:pPr>
      <w:r>
        <w:t>Gu, Y., Kang, H., Li, J., Zheng, S., &amp; Zhang, B. (2023).</w:t>
      </w:r>
      <w:r>
        <w:rPr>
          <w:rStyle w:val="apple-converted-space"/>
        </w:rPr>
        <w:t> </w:t>
      </w:r>
      <w:r>
        <w:rPr>
          <w:i/>
          <w:iCs/>
        </w:rPr>
        <w:t>Employing Molecular Conformations for Ligand-based Virtual Screening with Equivariant Graph Neural Network and Deep Multiple Instance Learning</w:t>
      </w:r>
      <w:r>
        <w:t xml:space="preserve">. Mdpi Ag. </w:t>
      </w:r>
      <w:hyperlink r:id="rId67" w:tooltip="https://doi.org/10.20944/preprints202305.1658.v1" w:history="1">
        <w:r w:rsidR="00FA6CA1">
          <w:rPr>
            <w:rStyle w:val="Hyperlink"/>
          </w:rPr>
          <w:t>https://doi.org/10.20944/preprints202305.1658.v1</w:t>
        </w:r>
      </w:hyperlink>
    </w:p>
    <w:p w14:paraId="2839C418" w14:textId="77777777" w:rsidR="00FA6CA1" w:rsidRDefault="00000000">
      <w:pPr>
        <w:pStyle w:val="ListParagraph"/>
        <w:numPr>
          <w:ilvl w:val="0"/>
          <w:numId w:val="2"/>
        </w:numPr>
        <w:spacing w:after="0" w:line="360" w:lineRule="auto"/>
        <w:rPr>
          <w:rFonts w:ascii="Times" w:hAnsi="Times"/>
        </w:rPr>
      </w:pPr>
      <w:r>
        <w:t>Subramanian, G., Pande, V., Ramsundar, B., &amp; Denny, R. A. (2016). Computational Modeling of β-Secretase 1 (BACE-1) Inhibitors Using Ligand Based Approaches.</w:t>
      </w:r>
      <w:r>
        <w:rPr>
          <w:rStyle w:val="apple-converted-space"/>
        </w:rPr>
        <w:t> </w:t>
      </w:r>
      <w:r>
        <w:rPr>
          <w:i/>
          <w:iCs/>
        </w:rPr>
        <w:t>Journal of Chemical Information and Modeling</w:t>
      </w:r>
      <w:r>
        <w:t>,</w:t>
      </w:r>
      <w:r>
        <w:rPr>
          <w:rStyle w:val="apple-converted-space"/>
        </w:rPr>
        <w:t> </w:t>
      </w:r>
      <w:r>
        <w:rPr>
          <w:i/>
          <w:iCs/>
        </w:rPr>
        <w:t>56</w:t>
      </w:r>
      <w:r>
        <w:t xml:space="preserve">(10), 1936–1949. </w:t>
      </w:r>
      <w:hyperlink r:id="rId68" w:tooltip="https://doi.org/10.1021/acs.jcim.6b00290" w:history="1">
        <w:r w:rsidR="00FA6CA1">
          <w:rPr>
            <w:rStyle w:val="Hyperlink"/>
          </w:rPr>
          <w:t>https://doi.org/10.1021/acs.jcim.6b00290</w:t>
        </w:r>
      </w:hyperlink>
    </w:p>
    <w:p w14:paraId="4B249E9D" w14:textId="77777777" w:rsidR="00FA6CA1" w:rsidRDefault="00000000">
      <w:pPr>
        <w:pStyle w:val="ListParagraph"/>
        <w:numPr>
          <w:ilvl w:val="0"/>
          <w:numId w:val="2"/>
        </w:numPr>
        <w:spacing w:after="0" w:line="360" w:lineRule="auto"/>
        <w:rPr>
          <w:rFonts w:ascii="Times" w:hAnsi="Times"/>
        </w:rPr>
      </w:pPr>
      <w:r>
        <w:t>Bajorath, J. (2016). Molecular Similarity Concepts for Informatics Applications.</w:t>
      </w:r>
      <w:r>
        <w:rPr>
          <w:rStyle w:val="apple-converted-space"/>
        </w:rPr>
        <w:t> </w:t>
      </w:r>
      <w:r>
        <w:rPr>
          <w:i/>
          <w:iCs/>
        </w:rPr>
        <w:t>Methods in Molecular Biology (Clifton, N.J.)</w:t>
      </w:r>
      <w:r>
        <w:t>,</w:t>
      </w:r>
      <w:r>
        <w:rPr>
          <w:rStyle w:val="apple-converted-space"/>
        </w:rPr>
        <w:t> </w:t>
      </w:r>
      <w:r>
        <w:rPr>
          <w:i/>
          <w:iCs/>
        </w:rPr>
        <w:t>1526</w:t>
      </w:r>
      <w:r>
        <w:t xml:space="preserve">, 231–245. </w:t>
      </w:r>
      <w:hyperlink r:id="rId69" w:tooltip="https://doi.org/10.1007/978-1-4939-6613-4_13" w:history="1">
        <w:r w:rsidR="00FA6CA1">
          <w:rPr>
            <w:rStyle w:val="Hyperlink"/>
          </w:rPr>
          <w:t>https://doi.org/10.1007/978-1-4939-6613-4_13</w:t>
        </w:r>
      </w:hyperlink>
    </w:p>
    <w:p w14:paraId="56E5DB54" w14:textId="77777777" w:rsidR="00FA6CA1" w:rsidRDefault="00000000">
      <w:pPr>
        <w:pStyle w:val="ListParagraph"/>
        <w:numPr>
          <w:ilvl w:val="0"/>
          <w:numId w:val="2"/>
        </w:numPr>
        <w:spacing w:after="0" w:line="360" w:lineRule="auto"/>
        <w:rPr>
          <w:rFonts w:ascii="Times" w:hAnsi="Times"/>
        </w:rPr>
      </w:pPr>
      <w:r>
        <w:t xml:space="preserve">Wang, S., Witek, J., Riniker, S., &amp; Landrum, G. A. (2020). Improving Conformer Generation for Small Rings and Macrocycles Based on Distance Geometry and </w:t>
      </w:r>
      <w:r>
        <w:lastRenderedPageBreak/>
        <w:t>Experimental Torsional-Angle Preferences.</w:t>
      </w:r>
      <w:r>
        <w:rPr>
          <w:rStyle w:val="apple-converted-space"/>
        </w:rPr>
        <w:t> </w:t>
      </w:r>
      <w:r>
        <w:rPr>
          <w:i/>
          <w:iCs/>
        </w:rPr>
        <w:t>Journal of Chemical Information and Modeling</w:t>
      </w:r>
      <w:r>
        <w:t>,</w:t>
      </w:r>
      <w:r>
        <w:rPr>
          <w:rStyle w:val="apple-converted-space"/>
        </w:rPr>
        <w:t> </w:t>
      </w:r>
      <w:r>
        <w:rPr>
          <w:i/>
          <w:iCs/>
        </w:rPr>
        <w:t>60</w:t>
      </w:r>
      <w:r>
        <w:t xml:space="preserve">(4), 2044–2058. </w:t>
      </w:r>
      <w:hyperlink r:id="rId70" w:tooltip="https://doi.org/10.1021/acs.jcim.0c00025" w:history="1">
        <w:r w:rsidR="00FA6CA1">
          <w:rPr>
            <w:rStyle w:val="Hyperlink"/>
          </w:rPr>
          <w:t>https://doi.org/10.1021/acs.jcim.0c00025</w:t>
        </w:r>
      </w:hyperlink>
    </w:p>
    <w:p w14:paraId="4B1C0DBE" w14:textId="77777777" w:rsidR="00FA6CA1" w:rsidRDefault="00000000">
      <w:pPr>
        <w:pStyle w:val="ListParagraph"/>
        <w:numPr>
          <w:ilvl w:val="0"/>
          <w:numId w:val="2"/>
        </w:numPr>
        <w:spacing w:after="0" w:line="360" w:lineRule="auto"/>
        <w:rPr>
          <w:rFonts w:ascii="Times" w:hAnsi="Times"/>
        </w:rPr>
      </w:pPr>
      <w:r>
        <w:t>Butina, D. (1999). Unsupervised Data Base Clustering Based on Daylight’s Fingerprint and Tanimoto Similarity: A Fast and Automated Way To Cluster Small and Large Data Sets.</w:t>
      </w:r>
      <w:r>
        <w:rPr>
          <w:rStyle w:val="apple-converted-space"/>
        </w:rPr>
        <w:t> </w:t>
      </w:r>
      <w:r>
        <w:rPr>
          <w:i/>
          <w:iCs/>
        </w:rPr>
        <w:t>Journal of Chemical Information and Computer Sciences</w:t>
      </w:r>
      <w:r>
        <w:t>,</w:t>
      </w:r>
      <w:r>
        <w:rPr>
          <w:rStyle w:val="apple-converted-space"/>
        </w:rPr>
        <w:t> </w:t>
      </w:r>
      <w:r>
        <w:rPr>
          <w:i/>
          <w:iCs/>
        </w:rPr>
        <w:t>39</w:t>
      </w:r>
      <w:r>
        <w:t xml:space="preserve">(4), 747–750. </w:t>
      </w:r>
      <w:hyperlink r:id="rId71" w:tooltip="https://doi.org/10.1021/ci9803381" w:history="1">
        <w:r w:rsidR="00FA6CA1">
          <w:rPr>
            <w:rStyle w:val="Hyperlink"/>
          </w:rPr>
          <w:t>https://doi.org/10.1021/ci9803381</w:t>
        </w:r>
      </w:hyperlink>
    </w:p>
    <w:p w14:paraId="0E47FEE7" w14:textId="77777777" w:rsidR="00FA6CA1" w:rsidRDefault="00000000">
      <w:pPr>
        <w:pStyle w:val="ListParagraph"/>
        <w:numPr>
          <w:ilvl w:val="0"/>
          <w:numId w:val="2"/>
        </w:numPr>
        <w:spacing w:after="0" w:line="360" w:lineRule="auto"/>
        <w:rPr>
          <w:rFonts w:ascii="Times" w:hAnsi="Times"/>
        </w:rPr>
      </w:pPr>
      <w:r>
        <w:t>O’Boyle, N. M., Banck, M., James, C. A., Morley, C., Vandermeersch, T., &amp; Hutchison, G. R. (2011). Open Babel: An open chemical toolbox.</w:t>
      </w:r>
      <w:r>
        <w:rPr>
          <w:rStyle w:val="apple-converted-space"/>
        </w:rPr>
        <w:t> </w:t>
      </w:r>
      <w:r>
        <w:rPr>
          <w:i/>
          <w:iCs/>
        </w:rPr>
        <w:t>Journal of Cheminformatics</w:t>
      </w:r>
      <w:r>
        <w:t>,</w:t>
      </w:r>
      <w:r>
        <w:rPr>
          <w:rStyle w:val="apple-converted-space"/>
        </w:rPr>
        <w:t> </w:t>
      </w:r>
      <w:r>
        <w:rPr>
          <w:i/>
          <w:iCs/>
        </w:rPr>
        <w:t>3</w:t>
      </w:r>
      <w:r>
        <w:t xml:space="preserve">(7). </w:t>
      </w:r>
      <w:hyperlink r:id="rId72" w:tooltip="https://doi.org/10.1186/1758-2946-3-33" w:history="1">
        <w:r w:rsidR="00FA6CA1">
          <w:rPr>
            <w:rStyle w:val="Hyperlink"/>
          </w:rPr>
          <w:t>https://doi.org/10.1186/1758-2946-3-33</w:t>
        </w:r>
      </w:hyperlink>
    </w:p>
    <w:p w14:paraId="7B0AA554" w14:textId="77777777" w:rsidR="00FA6CA1" w:rsidRDefault="00FA6CA1">
      <w:pPr>
        <w:pStyle w:val="ListParagraph"/>
        <w:numPr>
          <w:ilvl w:val="0"/>
          <w:numId w:val="2"/>
        </w:numPr>
        <w:spacing w:after="0" w:line="360" w:lineRule="auto"/>
        <w:rPr>
          <w:rStyle w:val="agcmg"/>
          <w:rFonts w:ascii="Times" w:hAnsi="Times"/>
        </w:rPr>
      </w:pPr>
      <w:hyperlink r:id="rId73" w:tooltip="https://www.pikairos.eu/software/eyemol/" w:history="1">
        <w:r>
          <w:rPr>
            <w:rStyle w:val="Hyperlink"/>
            <w:rFonts w:ascii="Times" w:hAnsi="Times"/>
          </w:rPr>
          <w:t>https://www.pikairos.eu/software/eyemol/</w:t>
        </w:r>
      </w:hyperlink>
    </w:p>
    <w:p w14:paraId="6275774F" w14:textId="77777777" w:rsidR="00FA6CA1" w:rsidRDefault="00000000">
      <w:pPr>
        <w:pStyle w:val="ListParagraph"/>
        <w:numPr>
          <w:ilvl w:val="0"/>
          <w:numId w:val="2"/>
        </w:numPr>
        <w:spacing w:after="0" w:line="360" w:lineRule="auto"/>
        <w:rPr>
          <w:rFonts w:ascii="Times" w:hAnsi="Times"/>
        </w:rPr>
      </w:pPr>
      <w:r>
        <w:t>Friedrich, N.-O., Meyder, A., Rarey, M., Sommer, K., De Bruyn Kops, C., Kirchmair, J., &amp; Flachsenberg, F. (2017). High-Quality Dataset of Protein-Bound Ligand Conformations and Its Application to Benchmarking Conformer Ensemble Generators.</w:t>
      </w:r>
      <w:r>
        <w:rPr>
          <w:rStyle w:val="apple-converted-space"/>
        </w:rPr>
        <w:t> </w:t>
      </w:r>
      <w:r>
        <w:rPr>
          <w:i/>
          <w:iCs/>
        </w:rPr>
        <w:t>Journal of Chemical Information and Modeling</w:t>
      </w:r>
      <w:r>
        <w:t>,</w:t>
      </w:r>
      <w:r>
        <w:rPr>
          <w:rStyle w:val="apple-converted-space"/>
        </w:rPr>
        <w:t> </w:t>
      </w:r>
      <w:r>
        <w:rPr>
          <w:i/>
          <w:iCs/>
        </w:rPr>
        <w:t>57</w:t>
      </w:r>
      <w:r>
        <w:t xml:space="preserve">(3), 529–539. </w:t>
      </w:r>
      <w:hyperlink r:id="rId74" w:tooltip="https://doi.org/10.1021/acs.jcim.6b00613" w:history="1">
        <w:r w:rsidR="00FA6CA1">
          <w:rPr>
            <w:rStyle w:val="Hyperlink"/>
          </w:rPr>
          <w:t>https://doi.org/10.1021/acs.jcim.6b00613</w:t>
        </w:r>
      </w:hyperlink>
    </w:p>
    <w:p w14:paraId="4F6EEBD6" w14:textId="77777777" w:rsidR="00FA6CA1" w:rsidRDefault="00000000">
      <w:pPr>
        <w:pStyle w:val="ListParagraph"/>
        <w:numPr>
          <w:ilvl w:val="0"/>
          <w:numId w:val="2"/>
        </w:numPr>
        <w:spacing w:after="0" w:line="360" w:lineRule="auto"/>
        <w:rPr>
          <w:rFonts w:ascii="Times" w:hAnsi="Times"/>
        </w:rPr>
      </w:pPr>
      <w:r>
        <w:t>Adams, K., &amp; Coley, C. (2025).</w:t>
      </w:r>
      <w:r>
        <w:rPr>
          <w:rStyle w:val="apple-converted-space"/>
        </w:rPr>
        <w:t> </w:t>
      </w:r>
      <w:r>
        <w:rPr>
          <w:i/>
          <w:iCs/>
        </w:rPr>
        <w:t>The impact of conformer quality on learned representations of molecular conformer ensembles</w:t>
      </w:r>
      <w:r>
        <w:t xml:space="preserve">. </w:t>
      </w:r>
      <w:hyperlink r:id="rId75" w:tooltip="https://doi.org/10.48550/arxiv.2502.13220" w:history="1">
        <w:r w:rsidR="00FA6CA1">
          <w:rPr>
            <w:rStyle w:val="Hyperlink"/>
          </w:rPr>
          <w:t>https://doi.org/10.48550/arxiv.2502.13220</w:t>
        </w:r>
      </w:hyperlink>
    </w:p>
    <w:p w14:paraId="6D5A5E49" w14:textId="77777777" w:rsidR="00FA6CA1" w:rsidRDefault="00000000">
      <w:pPr>
        <w:pStyle w:val="ListParagraph"/>
        <w:numPr>
          <w:ilvl w:val="0"/>
          <w:numId w:val="2"/>
        </w:numPr>
        <w:spacing w:after="0" w:line="360" w:lineRule="auto"/>
        <w:rPr>
          <w:rFonts w:ascii="Times" w:hAnsi="Times"/>
        </w:rPr>
      </w:pPr>
      <w:r>
        <w:t>Wildman, S. A., &amp; Crippen, G. M. (1999). Prediction of Physicochemical Parameters by Atomic Contributions.</w:t>
      </w:r>
      <w:r>
        <w:rPr>
          <w:rStyle w:val="apple-converted-space"/>
        </w:rPr>
        <w:t> </w:t>
      </w:r>
      <w:r>
        <w:rPr>
          <w:i/>
          <w:iCs/>
        </w:rPr>
        <w:t>Journal of Chemical Information and Computer Sciences</w:t>
      </w:r>
      <w:r>
        <w:t>,</w:t>
      </w:r>
      <w:r>
        <w:rPr>
          <w:rStyle w:val="apple-converted-space"/>
        </w:rPr>
        <w:t> </w:t>
      </w:r>
      <w:r>
        <w:rPr>
          <w:i/>
          <w:iCs/>
        </w:rPr>
        <w:t>39</w:t>
      </w:r>
      <w:r>
        <w:t xml:space="preserve">(5), 868–873. </w:t>
      </w:r>
      <w:hyperlink r:id="rId76" w:tooltip="https://doi.org/10.1021/ci990307l" w:history="1">
        <w:r w:rsidR="00FA6CA1">
          <w:rPr>
            <w:rStyle w:val="Hyperlink"/>
          </w:rPr>
          <w:t>https://doi.org/10.1021/ci990307l</w:t>
        </w:r>
      </w:hyperlink>
    </w:p>
    <w:p w14:paraId="3EE005CA" w14:textId="77777777" w:rsidR="00FA6CA1" w:rsidRDefault="00000000">
      <w:pPr>
        <w:pStyle w:val="ListParagraph"/>
        <w:numPr>
          <w:ilvl w:val="0"/>
          <w:numId w:val="2"/>
        </w:numPr>
        <w:spacing w:after="0" w:line="360" w:lineRule="auto"/>
        <w:rPr>
          <w:rFonts w:ascii="Times" w:hAnsi="Times"/>
        </w:rPr>
      </w:pPr>
      <w:r>
        <w:t>Schulz-Gasch, T., Schärfer, C., Rarey, M., &amp; Guba, W. (2012). TFD: Torsion Fingerprints As a New Measure To Compare Small Molecule Conformations.</w:t>
      </w:r>
      <w:r>
        <w:rPr>
          <w:rStyle w:val="apple-converted-space"/>
        </w:rPr>
        <w:t> </w:t>
      </w:r>
      <w:r>
        <w:rPr>
          <w:i/>
          <w:iCs/>
        </w:rPr>
        <w:t>Journal of Chemical Information and Modeling</w:t>
      </w:r>
      <w:r>
        <w:t>,</w:t>
      </w:r>
      <w:r>
        <w:rPr>
          <w:rStyle w:val="apple-converted-space"/>
        </w:rPr>
        <w:t> </w:t>
      </w:r>
      <w:r>
        <w:rPr>
          <w:i/>
          <w:iCs/>
        </w:rPr>
        <w:t>52</w:t>
      </w:r>
      <w:r>
        <w:t xml:space="preserve">(6), 1499–1512. </w:t>
      </w:r>
      <w:hyperlink r:id="rId77" w:tooltip="https://doi.org/10.1021/ci2002318" w:history="1">
        <w:r w:rsidR="00FA6CA1">
          <w:rPr>
            <w:rStyle w:val="Hyperlink"/>
          </w:rPr>
          <w:t>https://doi.org/10.1021/ci2002318</w:t>
        </w:r>
      </w:hyperlink>
    </w:p>
    <w:p w14:paraId="334AE62F" w14:textId="77777777" w:rsidR="00FA6CA1" w:rsidRDefault="00000000">
      <w:pPr>
        <w:pStyle w:val="ListParagraph"/>
        <w:numPr>
          <w:ilvl w:val="0"/>
          <w:numId w:val="2"/>
        </w:numPr>
        <w:spacing w:after="0" w:line="360" w:lineRule="auto"/>
        <w:rPr>
          <w:rFonts w:ascii="Times" w:hAnsi="Times"/>
        </w:rPr>
      </w:pPr>
      <w:r>
        <w:t>Adamczyk, J., &amp; Ludynia, P. (2024).</w:t>
      </w:r>
      <w:r>
        <w:rPr>
          <w:rStyle w:val="apple-converted-space"/>
        </w:rPr>
        <w:t> </w:t>
      </w:r>
      <w:r>
        <w:rPr>
          <w:i/>
          <w:iCs/>
        </w:rPr>
        <w:t>Scikit-fingerprints: easy and efficient computation of molecular fingerprints in Python</w:t>
      </w:r>
      <w:r>
        <w:t xml:space="preserve">. </w:t>
      </w:r>
      <w:hyperlink r:id="rId78" w:tooltip="https://doi.org/10.48550/arxiv.2407.13291" w:history="1">
        <w:r w:rsidR="00FA6CA1">
          <w:rPr>
            <w:rStyle w:val="Hyperlink"/>
          </w:rPr>
          <w:t>https://doi.org/10.48550/arxiv.2407.13291</w:t>
        </w:r>
      </w:hyperlink>
    </w:p>
    <w:p w14:paraId="5B6D5DB5" w14:textId="77777777" w:rsidR="00FA6CA1" w:rsidRDefault="00000000">
      <w:pPr>
        <w:pStyle w:val="ListParagraph"/>
        <w:numPr>
          <w:ilvl w:val="0"/>
          <w:numId w:val="2"/>
        </w:numPr>
        <w:spacing w:after="0" w:line="360" w:lineRule="auto"/>
        <w:rPr>
          <w:rFonts w:ascii="Times" w:hAnsi="Times"/>
        </w:rPr>
      </w:pPr>
      <w:r>
        <w:lastRenderedPageBreak/>
        <w:t>Armstrong, M. S., Morris, G. M., Cooper, R. I., Richards, W. G., Finn, P. W., Moretti, L., &amp; Sharma, R. (2010). ElectroShape: fast molecular similarity calculations incorporating shape, chirality and electrostatics.</w:t>
      </w:r>
      <w:r>
        <w:rPr>
          <w:rStyle w:val="apple-converted-space"/>
        </w:rPr>
        <w:t> </w:t>
      </w:r>
      <w:r>
        <w:rPr>
          <w:i/>
          <w:iCs/>
        </w:rPr>
        <w:t>Journal of Computer-Aided Molecular Design</w:t>
      </w:r>
      <w:r>
        <w:t>,</w:t>
      </w:r>
      <w:r>
        <w:rPr>
          <w:rStyle w:val="apple-converted-space"/>
        </w:rPr>
        <w:t> </w:t>
      </w:r>
      <w:r>
        <w:rPr>
          <w:i/>
          <w:iCs/>
        </w:rPr>
        <w:t>24</w:t>
      </w:r>
      <w:r>
        <w:t xml:space="preserve">(9), 789–801. </w:t>
      </w:r>
      <w:hyperlink r:id="rId79" w:tooltip="https://doi.org/10.1007/s10822-010-9374-0" w:history="1">
        <w:r w:rsidR="00FA6CA1">
          <w:rPr>
            <w:rStyle w:val="Hyperlink"/>
          </w:rPr>
          <w:t>https://doi.org/10.1007/s10822-010-9374-0</w:t>
        </w:r>
      </w:hyperlink>
    </w:p>
    <w:p w14:paraId="0DB0D148" w14:textId="77777777" w:rsidR="00FA6CA1" w:rsidRDefault="00000000">
      <w:pPr>
        <w:pStyle w:val="ListParagraph"/>
        <w:numPr>
          <w:ilvl w:val="0"/>
          <w:numId w:val="2"/>
        </w:numPr>
        <w:spacing w:after="0" w:line="360" w:lineRule="auto"/>
        <w:rPr>
          <w:rFonts w:ascii="Times" w:hAnsi="Times"/>
        </w:rPr>
      </w:pPr>
      <w:r>
        <w:rPr>
          <w:lang w:val="fr-FR"/>
        </w:rPr>
        <w:t xml:space="preserve">Consonni, V., Pavan, M., Todeschini, R., &amp; Gramatica, P. (2002). </w:t>
      </w:r>
      <w:r>
        <w:t>Structure/response correlations and similarity/diversity analysis by GETAWAY descriptors. 2. Application of the novel 3D molecular descriptors to QSAR/QSPR studies.</w:t>
      </w:r>
      <w:r>
        <w:rPr>
          <w:rStyle w:val="apple-converted-space"/>
        </w:rPr>
        <w:t> </w:t>
      </w:r>
      <w:r>
        <w:rPr>
          <w:i/>
          <w:iCs/>
        </w:rPr>
        <w:t>Journal of Chemical Information and Computer Sciences</w:t>
      </w:r>
      <w:r>
        <w:t>,</w:t>
      </w:r>
      <w:r>
        <w:rPr>
          <w:rStyle w:val="apple-converted-space"/>
        </w:rPr>
        <w:t> </w:t>
      </w:r>
      <w:r>
        <w:rPr>
          <w:i/>
          <w:iCs/>
        </w:rPr>
        <w:t>42</w:t>
      </w:r>
      <w:r>
        <w:t xml:space="preserve">(3), 693–705. </w:t>
      </w:r>
      <w:hyperlink r:id="rId80" w:tooltip="https://doi.org/10.1021/ci0155053" w:history="1">
        <w:r w:rsidR="00FA6CA1">
          <w:rPr>
            <w:rStyle w:val="Hyperlink"/>
          </w:rPr>
          <w:t>https://doi.org/10.1021/ci0155053</w:t>
        </w:r>
      </w:hyperlink>
    </w:p>
    <w:p w14:paraId="5359798B" w14:textId="77777777" w:rsidR="00FA6CA1" w:rsidRDefault="00000000">
      <w:pPr>
        <w:pStyle w:val="ListParagraph"/>
        <w:numPr>
          <w:ilvl w:val="0"/>
          <w:numId w:val="2"/>
        </w:numPr>
        <w:spacing w:after="0" w:line="360" w:lineRule="auto"/>
        <w:rPr>
          <w:rFonts w:ascii="Times" w:hAnsi="Times"/>
        </w:rPr>
      </w:pPr>
      <w:r>
        <w:t>Kingma, D., &amp; Ba, J. (2015).</w:t>
      </w:r>
      <w:r>
        <w:rPr>
          <w:rStyle w:val="apple-converted-space"/>
        </w:rPr>
        <w:t> </w:t>
      </w:r>
      <w:r>
        <w:rPr>
          <w:i/>
          <w:iCs/>
        </w:rPr>
        <w:t>Adam: A Method for Stochastic Optimization</w:t>
      </w:r>
      <w:r>
        <w:t xml:space="preserve">. Cornell University. </w:t>
      </w:r>
      <w:hyperlink r:id="rId81" w:tooltip="https://doi.org/10.48550/arxiv.1412.6980" w:history="1">
        <w:r w:rsidR="00FA6CA1">
          <w:rPr>
            <w:rStyle w:val="Hyperlink"/>
          </w:rPr>
          <w:t>https://doi.org/10.48550/arxiv.1412.6980</w:t>
        </w:r>
      </w:hyperlink>
    </w:p>
    <w:p w14:paraId="2A98A0CA" w14:textId="77777777" w:rsidR="00FA6CA1" w:rsidRDefault="00000000">
      <w:pPr>
        <w:pStyle w:val="ListParagraph"/>
        <w:numPr>
          <w:ilvl w:val="0"/>
          <w:numId w:val="2"/>
        </w:numPr>
        <w:spacing w:after="0" w:line="360" w:lineRule="auto"/>
        <w:rPr>
          <w:rFonts w:ascii="Times" w:hAnsi="Times"/>
        </w:rPr>
      </w:pPr>
      <w:r>
        <w:t>Wang, X., Yan, Y., Tang, P., Bai, X., &amp; Liu, W. (2016).</w:t>
      </w:r>
      <w:r>
        <w:rPr>
          <w:rStyle w:val="apple-converted-space"/>
        </w:rPr>
        <w:t> </w:t>
      </w:r>
      <w:r>
        <w:rPr>
          <w:i/>
          <w:iCs/>
        </w:rPr>
        <w:t>Revisiting Multiple Instance Neural Networks</w:t>
      </w:r>
      <w:r>
        <w:t xml:space="preserve">. </w:t>
      </w:r>
      <w:hyperlink r:id="rId82" w:tooltip="https://doi.org/10.48550/arxiv.1610.02501" w:history="1">
        <w:r w:rsidR="00FA6CA1">
          <w:rPr>
            <w:rStyle w:val="Hyperlink"/>
          </w:rPr>
          <w:t>https://doi.org/10.48550/arxiv.1610.02501</w:t>
        </w:r>
      </w:hyperlink>
    </w:p>
    <w:p w14:paraId="3C5D3050" w14:textId="77777777" w:rsidR="00FA6CA1" w:rsidRDefault="00000000">
      <w:pPr>
        <w:pStyle w:val="ListParagraph"/>
        <w:numPr>
          <w:ilvl w:val="0"/>
          <w:numId w:val="2"/>
        </w:numPr>
        <w:spacing w:after="0" w:line="360" w:lineRule="auto"/>
        <w:rPr>
          <w:rFonts w:ascii="Times" w:hAnsi="Times"/>
        </w:rPr>
      </w:pPr>
      <w:r>
        <w:t>Touvron, H., Verbeek, J., El-Nouby, A., Caron, M., Izacard, G., Synnaeve, G., Cord, M., Joulin, A., Grave, É., Bojanowski, P., &amp; Je</w:t>
      </w:r>
      <w:r>
        <w:rPr>
          <w:rFonts w:ascii="Calibri" w:hAnsi="Calibri" w:cs="Calibri"/>
        </w:rPr>
        <w:t>ǵ</w:t>
      </w:r>
      <w:r>
        <w:t>ou, H. (2021).</w:t>
      </w:r>
      <w:r>
        <w:rPr>
          <w:rStyle w:val="apple-converted-space"/>
        </w:rPr>
        <w:t> </w:t>
      </w:r>
      <w:r>
        <w:rPr>
          <w:i/>
          <w:iCs/>
        </w:rPr>
        <w:t>ResMLP: Feedforward networks for image classification with data-efficient training</w:t>
      </w:r>
      <w:r>
        <w:t xml:space="preserve">. Cornell University. </w:t>
      </w:r>
      <w:hyperlink r:id="rId83" w:tooltip="https://doi.org/10.48550/arxiv.2105.03404" w:history="1">
        <w:r w:rsidR="00FA6CA1">
          <w:rPr>
            <w:rStyle w:val="Hyperlink"/>
          </w:rPr>
          <w:t>https://doi.org/10.48550/arxiv.2105.03404</w:t>
        </w:r>
      </w:hyperlink>
    </w:p>
    <w:p w14:paraId="5E13391D" w14:textId="77777777" w:rsidR="00FA6CA1" w:rsidRDefault="00000000">
      <w:pPr>
        <w:pStyle w:val="ListParagraph"/>
        <w:numPr>
          <w:ilvl w:val="0"/>
          <w:numId w:val="2"/>
        </w:numPr>
        <w:spacing w:after="0" w:line="360" w:lineRule="auto"/>
        <w:rPr>
          <w:rFonts w:ascii="Times" w:hAnsi="Times"/>
        </w:rPr>
      </w:pPr>
      <w:r>
        <w:t>Shafiq, M., &amp; Gu, Z. (2022). Deep Residual Learning for Image Recognition: A Survey.</w:t>
      </w:r>
      <w:r>
        <w:rPr>
          <w:rStyle w:val="apple-converted-space"/>
        </w:rPr>
        <w:t> </w:t>
      </w:r>
      <w:r>
        <w:rPr>
          <w:i/>
          <w:iCs/>
        </w:rPr>
        <w:t>Applied Sciences</w:t>
      </w:r>
      <w:r>
        <w:t>,</w:t>
      </w:r>
      <w:r>
        <w:rPr>
          <w:rStyle w:val="apple-converted-space"/>
        </w:rPr>
        <w:t> </w:t>
      </w:r>
      <w:r>
        <w:rPr>
          <w:i/>
          <w:iCs/>
        </w:rPr>
        <w:t>12</w:t>
      </w:r>
      <w:r>
        <w:t xml:space="preserve">(18), 8972. </w:t>
      </w:r>
      <w:hyperlink r:id="rId84" w:tooltip="https://doi.org/10.3390/app12188972" w:history="1">
        <w:r w:rsidR="00FA6CA1">
          <w:rPr>
            <w:rStyle w:val="Hyperlink"/>
          </w:rPr>
          <w:t>https://doi.org/10.3390/app12188972</w:t>
        </w:r>
      </w:hyperlink>
    </w:p>
    <w:p w14:paraId="2282F563" w14:textId="77777777" w:rsidR="00FA6CA1" w:rsidRDefault="00000000">
      <w:pPr>
        <w:pStyle w:val="ListParagraph"/>
        <w:numPr>
          <w:ilvl w:val="0"/>
          <w:numId w:val="2"/>
        </w:numPr>
        <w:spacing w:after="0" w:line="360" w:lineRule="auto"/>
        <w:rPr>
          <w:rFonts w:ascii="Times" w:hAnsi="Times"/>
        </w:rPr>
      </w:pPr>
      <w:r>
        <w:t>Vig, J. (2019).</w:t>
      </w:r>
      <w:r>
        <w:rPr>
          <w:rStyle w:val="apple-converted-space"/>
        </w:rPr>
        <w:t> </w:t>
      </w:r>
      <w:r>
        <w:rPr>
          <w:i/>
          <w:iCs/>
        </w:rPr>
        <w:t>A Multiscale Visualization of Attention in the Transformer Model</w:t>
      </w:r>
      <w:r>
        <w:t xml:space="preserve">. Cornell University. </w:t>
      </w:r>
      <w:hyperlink r:id="rId85" w:tooltip="https://doi.org/10.48550/arxiv.1906.05714" w:history="1">
        <w:r w:rsidR="00FA6CA1">
          <w:rPr>
            <w:rStyle w:val="Hyperlink"/>
          </w:rPr>
          <w:t>https://doi.org/10.48550/arxiv.1906.05714</w:t>
        </w:r>
      </w:hyperlink>
    </w:p>
    <w:p w14:paraId="150CA75E" w14:textId="77777777" w:rsidR="00FA6CA1" w:rsidRDefault="00000000">
      <w:pPr>
        <w:pStyle w:val="ListParagraph"/>
        <w:numPr>
          <w:ilvl w:val="0"/>
          <w:numId w:val="2"/>
        </w:numPr>
        <w:spacing w:after="0" w:line="360" w:lineRule="auto"/>
        <w:rPr>
          <w:rFonts w:ascii="Times" w:hAnsi="Times"/>
        </w:rPr>
      </w:pPr>
      <w:r>
        <w:rPr>
          <w:lang w:val="fr-FR"/>
        </w:rPr>
        <w:t>Kim, B., Choi, H., Lee, D.-G., Jang, H., &amp; Kim, S. (2023).</w:t>
      </w:r>
      <w:r>
        <w:rPr>
          <w:rStyle w:val="apple-converted-space"/>
          <w:lang w:val="fr-FR"/>
        </w:rPr>
        <w:t> </w:t>
      </w:r>
      <w:r>
        <w:rPr>
          <w:i/>
          <w:iCs/>
        </w:rPr>
        <w:t>How to Use Dropout Correctly on Residual Networks with Batch Normalization</w:t>
      </w:r>
      <w:r>
        <w:t xml:space="preserve">. Cornell University. </w:t>
      </w:r>
      <w:hyperlink r:id="rId86" w:tooltip="https://doi.org/10.48550/arxiv.2302.06112" w:history="1">
        <w:r w:rsidR="00FA6CA1">
          <w:rPr>
            <w:rStyle w:val="Hyperlink"/>
          </w:rPr>
          <w:t>https://doi.org/10.48550/arxiv.2302.06112</w:t>
        </w:r>
      </w:hyperlink>
    </w:p>
    <w:p w14:paraId="217D70CE" w14:textId="77777777" w:rsidR="00FA6CA1" w:rsidRDefault="00000000">
      <w:pPr>
        <w:pStyle w:val="ListParagraph"/>
        <w:numPr>
          <w:ilvl w:val="0"/>
          <w:numId w:val="2"/>
        </w:numPr>
        <w:spacing w:after="0" w:line="360" w:lineRule="auto"/>
        <w:rPr>
          <w:rFonts w:ascii="Times" w:hAnsi="Times"/>
        </w:rPr>
      </w:pPr>
      <w:r>
        <w:t>Yang, K., Guzmán-Pérez, A., Gao, H., Hopper, T., Eiden, P., Palmer, A., Jaakkola, T., Jin, W., Coley, C., Swanson, K., Jensen, K., Settels, V., Mathea, M., Kelley, B., &amp; Barzilay, R. (2019).</w:t>
      </w:r>
      <w:r>
        <w:rPr>
          <w:rStyle w:val="apple-converted-space"/>
        </w:rPr>
        <w:t> </w:t>
      </w:r>
      <w:r>
        <w:rPr>
          <w:i/>
          <w:iCs/>
        </w:rPr>
        <w:t>Analyzing Learned Molecular Representations for Property Prediction</w:t>
      </w:r>
      <w:r>
        <w:t xml:space="preserve">. Cornell University. </w:t>
      </w:r>
      <w:hyperlink r:id="rId87" w:tooltip="https://doi.org/10.48550/arxiv.1904.01561" w:history="1">
        <w:r w:rsidR="00FA6CA1">
          <w:rPr>
            <w:rStyle w:val="Hyperlink"/>
          </w:rPr>
          <w:t>https://doi.org/10.48550/arxiv.1904.01561</w:t>
        </w:r>
      </w:hyperlink>
    </w:p>
    <w:p w14:paraId="645D5664" w14:textId="77777777" w:rsidR="00FA6CA1" w:rsidRDefault="00000000">
      <w:pPr>
        <w:pStyle w:val="ListParagraph"/>
        <w:numPr>
          <w:ilvl w:val="0"/>
          <w:numId w:val="2"/>
        </w:numPr>
        <w:spacing w:after="0" w:line="360" w:lineRule="auto"/>
        <w:rPr>
          <w:rFonts w:ascii="Times" w:hAnsi="Times"/>
        </w:rPr>
      </w:pPr>
      <w:r>
        <w:lastRenderedPageBreak/>
        <w:t>Langford, J., &amp; Pineau, J. (2012).</w:t>
      </w:r>
      <w:r>
        <w:rPr>
          <w:rStyle w:val="apple-converted-space"/>
        </w:rPr>
        <w:t> </w:t>
      </w:r>
      <w:r>
        <w:rPr>
          <w:i/>
          <w:iCs/>
        </w:rPr>
        <w:t>Proceedings of the 29th International Conference on Machine Learning (ICML-12)</w:t>
      </w:r>
      <w:r>
        <w:t xml:space="preserve">. Cornell University. </w:t>
      </w:r>
      <w:hyperlink r:id="rId88" w:tooltip="https://doi.org/10.48550/arxiv.1207.4676" w:history="1">
        <w:r w:rsidR="00FA6CA1">
          <w:rPr>
            <w:rStyle w:val="Hyperlink"/>
          </w:rPr>
          <w:t>https://doi.org/10.48550/arxiv.1207.4676</w:t>
        </w:r>
      </w:hyperlink>
    </w:p>
    <w:p w14:paraId="6BC82613" w14:textId="77777777" w:rsidR="00FA6CA1" w:rsidRDefault="00000000">
      <w:pPr>
        <w:pStyle w:val="ListParagraph"/>
        <w:numPr>
          <w:ilvl w:val="0"/>
          <w:numId w:val="2"/>
        </w:numPr>
        <w:spacing w:after="0" w:line="360" w:lineRule="auto"/>
        <w:rPr>
          <w:rFonts w:ascii="Times" w:hAnsi="Times"/>
        </w:rPr>
      </w:pPr>
      <w:r>
        <w:t>Schreyer, A. M., &amp; Blundell, T. (2012). USRCAT: real-time ultrafast shape recognition with pharmacophoric constraints.</w:t>
      </w:r>
      <w:r>
        <w:rPr>
          <w:rStyle w:val="apple-converted-space"/>
        </w:rPr>
        <w:t> </w:t>
      </w:r>
      <w:r>
        <w:rPr>
          <w:i/>
          <w:iCs/>
        </w:rPr>
        <w:t>Journal of Cheminformatics</w:t>
      </w:r>
      <w:r>
        <w:t>,</w:t>
      </w:r>
      <w:r>
        <w:rPr>
          <w:rStyle w:val="apple-converted-space"/>
        </w:rPr>
        <w:t> </w:t>
      </w:r>
      <w:r>
        <w:rPr>
          <w:i/>
          <w:iCs/>
        </w:rPr>
        <w:t>4</w:t>
      </w:r>
      <w:r>
        <w:t xml:space="preserve">(1). </w:t>
      </w:r>
      <w:hyperlink r:id="rId89" w:tooltip="https://doi.org/10.1186/1758-2946-4-27" w:history="1">
        <w:r w:rsidR="00FA6CA1">
          <w:rPr>
            <w:rStyle w:val="Hyperlink"/>
          </w:rPr>
          <w:t>https://doi.org/10.1186/1758-2946-4-27</w:t>
        </w:r>
      </w:hyperlink>
    </w:p>
    <w:p w14:paraId="78698862" w14:textId="77777777" w:rsidR="00FA6CA1" w:rsidRDefault="00000000">
      <w:pPr>
        <w:pStyle w:val="ListParagraph"/>
        <w:numPr>
          <w:ilvl w:val="0"/>
          <w:numId w:val="2"/>
        </w:numPr>
        <w:spacing w:after="0" w:line="360" w:lineRule="auto"/>
        <w:rPr>
          <w:rFonts w:ascii="Times" w:hAnsi="Times"/>
        </w:rPr>
      </w:pPr>
      <w:r>
        <w:t>Sliwoski, G., Butkiewicz, M., Meiler, J., &amp; Lowe, E. W. (2012). BCL::EMAS — Enantioselective Molecular Asymmetry Descriptor for 3D-QSAR.</w:t>
      </w:r>
      <w:r>
        <w:rPr>
          <w:rStyle w:val="apple-converted-space"/>
        </w:rPr>
        <w:t> </w:t>
      </w:r>
      <w:r>
        <w:rPr>
          <w:i/>
          <w:iCs/>
        </w:rPr>
        <w:t>Molecules</w:t>
      </w:r>
      <w:r>
        <w:t>,</w:t>
      </w:r>
      <w:r>
        <w:rPr>
          <w:rStyle w:val="apple-converted-space"/>
        </w:rPr>
        <w:t> </w:t>
      </w:r>
      <w:r>
        <w:rPr>
          <w:i/>
          <w:iCs/>
        </w:rPr>
        <w:t>17</w:t>
      </w:r>
      <w:r>
        <w:t xml:space="preserve">(8), 9971–9989. </w:t>
      </w:r>
      <w:hyperlink r:id="rId90" w:tooltip="https://doi.org/10.3390/molecules17089971" w:history="1">
        <w:r w:rsidR="00FA6CA1">
          <w:rPr>
            <w:rStyle w:val="Hyperlink"/>
          </w:rPr>
          <w:t>https://doi.org/10.3390/molecules17089971</w:t>
        </w:r>
      </w:hyperlink>
    </w:p>
    <w:p w14:paraId="03A1FD95" w14:textId="77777777" w:rsidR="00FA6CA1" w:rsidRDefault="00000000">
      <w:pPr>
        <w:pStyle w:val="ListParagraph"/>
        <w:numPr>
          <w:ilvl w:val="0"/>
          <w:numId w:val="2"/>
        </w:numPr>
        <w:spacing w:after="0" w:line="360" w:lineRule="auto"/>
        <w:rPr>
          <w:rFonts w:ascii="Times" w:hAnsi="Times"/>
        </w:rPr>
      </w:pPr>
      <w:r>
        <w:rPr>
          <w:lang w:val="fr-FR"/>
        </w:rPr>
        <w:t xml:space="preserve">Rodríguez-Pérez, R., &amp; Bajorath, J. (2019). </w:t>
      </w:r>
      <w:r>
        <w:t>Interpretation of Compound Activity Predictions from Complex Machine Learning Models Using Local Approximations and Shapley Values.</w:t>
      </w:r>
      <w:r>
        <w:rPr>
          <w:rStyle w:val="apple-converted-space"/>
        </w:rPr>
        <w:t> </w:t>
      </w:r>
      <w:r>
        <w:rPr>
          <w:i/>
          <w:iCs/>
        </w:rPr>
        <w:t>Journal of Medicinal Chemistry</w:t>
      </w:r>
      <w:r>
        <w:t>,</w:t>
      </w:r>
      <w:r>
        <w:rPr>
          <w:rStyle w:val="apple-converted-space"/>
        </w:rPr>
        <w:t> </w:t>
      </w:r>
      <w:r>
        <w:rPr>
          <w:i/>
          <w:iCs/>
        </w:rPr>
        <w:t>63</w:t>
      </w:r>
      <w:r>
        <w:t xml:space="preserve">(16), 8761–8777. </w:t>
      </w:r>
      <w:hyperlink r:id="rId91" w:tooltip="https://doi.org/10.1021/acs.jmedchem.9b01101" w:history="1">
        <w:r w:rsidR="00FA6CA1">
          <w:rPr>
            <w:rStyle w:val="Hyperlink"/>
          </w:rPr>
          <w:t>https://doi.org/10.1021/acs.jmedchem.9b01101</w:t>
        </w:r>
      </w:hyperlink>
    </w:p>
    <w:p w14:paraId="7889F8D8" w14:textId="77777777" w:rsidR="00FA6CA1" w:rsidRDefault="00000000">
      <w:pPr>
        <w:pStyle w:val="ListParagraph"/>
        <w:numPr>
          <w:ilvl w:val="0"/>
          <w:numId w:val="2"/>
        </w:numPr>
        <w:spacing w:after="0" w:line="360" w:lineRule="auto"/>
        <w:rPr>
          <w:rFonts w:ascii="Times" w:hAnsi="Times"/>
        </w:rPr>
      </w:pPr>
      <w:r>
        <w:rPr>
          <w:lang w:val="fr-FR"/>
        </w:rPr>
        <w:t xml:space="preserve">Axelrod, S., &amp; Gómez-Bombarelli, R. (2023). </w:t>
      </w:r>
      <w:r>
        <w:t>Molecular machine learning with conformer ensembles.</w:t>
      </w:r>
      <w:r>
        <w:rPr>
          <w:rStyle w:val="apple-converted-space"/>
        </w:rPr>
        <w:t> </w:t>
      </w:r>
      <w:r>
        <w:rPr>
          <w:i/>
          <w:iCs/>
        </w:rPr>
        <w:t>Machine Learning: Science and Technology</w:t>
      </w:r>
      <w:r>
        <w:t>,</w:t>
      </w:r>
      <w:r>
        <w:rPr>
          <w:rStyle w:val="apple-converted-space"/>
        </w:rPr>
        <w:t> </w:t>
      </w:r>
      <w:r>
        <w:rPr>
          <w:i/>
          <w:iCs/>
        </w:rPr>
        <w:t>4</w:t>
      </w:r>
      <w:r>
        <w:t xml:space="preserve">(3), 035025. </w:t>
      </w:r>
      <w:hyperlink r:id="rId92" w:tooltip="https://doi.org/10.1088/2632-2153/acefa7" w:history="1">
        <w:r w:rsidR="00FA6CA1">
          <w:rPr>
            <w:rStyle w:val="Hyperlink"/>
          </w:rPr>
          <w:t>https://doi.org/10.1088/2632-2153/acefa7</w:t>
        </w:r>
      </w:hyperlink>
    </w:p>
    <w:p w14:paraId="601C6DC1" w14:textId="77777777" w:rsidR="00FA6CA1" w:rsidRDefault="00000000">
      <w:pPr>
        <w:pStyle w:val="ListParagraph"/>
        <w:numPr>
          <w:ilvl w:val="0"/>
          <w:numId w:val="2"/>
        </w:numPr>
        <w:spacing w:after="0" w:line="360" w:lineRule="auto"/>
        <w:rPr>
          <w:rFonts w:ascii="Times" w:hAnsi="Times"/>
        </w:rPr>
      </w:pPr>
      <w:r>
        <w:t>Zhu, Y., Hwang, J., Adams, K., Liu, Z., Nan, B., Stenfors, B., Du, Y., Chauhan, J., Wiest, O., Isayev, O., Coley, C., Sun, Y., &amp; Wang, W. (2023). Learning Over Molecular Conformer Ensembles: Datasets and Benchmarks. In</w:t>
      </w:r>
      <w:r>
        <w:rPr>
          <w:rStyle w:val="apple-converted-space"/>
        </w:rPr>
        <w:t> </w:t>
      </w:r>
      <w:r>
        <w:rPr>
          <w:i/>
          <w:iCs/>
        </w:rPr>
        <w:t>arXiv (Cornell University)</w:t>
      </w:r>
      <w:r>
        <w:t xml:space="preserve">. Technische Universitat Dresden. </w:t>
      </w:r>
      <w:hyperlink r:id="rId93" w:tooltip="https://doi.org/10.48550/arxiv.2310.00115" w:history="1">
        <w:r w:rsidR="00FA6CA1">
          <w:rPr>
            <w:rStyle w:val="Hyperlink"/>
          </w:rPr>
          <w:t>https://doi.org/10.48550/arxiv.2310.00115</w:t>
        </w:r>
      </w:hyperlink>
    </w:p>
    <w:p w14:paraId="3DAB658C" w14:textId="77777777" w:rsidR="00FA6CA1" w:rsidRDefault="00000000">
      <w:pPr>
        <w:pStyle w:val="ListParagraph"/>
        <w:numPr>
          <w:ilvl w:val="0"/>
          <w:numId w:val="2"/>
        </w:numPr>
        <w:spacing w:after="0" w:line="360" w:lineRule="auto"/>
        <w:rPr>
          <w:rFonts w:ascii="Times" w:hAnsi="Times"/>
        </w:rPr>
      </w:pPr>
      <w:r>
        <w:t>Hawkins, P. C. D., Skillman, A. G., &amp; Nicholls, A. (2006). Comparison of Shape-Matching and Docking as Virtual Screening Tools.</w:t>
      </w:r>
      <w:r>
        <w:rPr>
          <w:rStyle w:val="apple-converted-space"/>
        </w:rPr>
        <w:t> </w:t>
      </w:r>
      <w:r>
        <w:rPr>
          <w:i/>
          <w:iCs/>
        </w:rPr>
        <w:t>Journal of Medicinal Chemistry</w:t>
      </w:r>
      <w:r>
        <w:t>,</w:t>
      </w:r>
      <w:r>
        <w:rPr>
          <w:rStyle w:val="apple-converted-space"/>
        </w:rPr>
        <w:t> </w:t>
      </w:r>
      <w:r>
        <w:rPr>
          <w:i/>
          <w:iCs/>
        </w:rPr>
        <w:t>50</w:t>
      </w:r>
      <w:r>
        <w:t xml:space="preserve">(1), 74–82. </w:t>
      </w:r>
      <w:hyperlink r:id="rId94" w:tooltip="https://doi.org/10.1021/jm0603365" w:history="1">
        <w:r w:rsidR="00FA6CA1">
          <w:rPr>
            <w:rStyle w:val="Hyperlink"/>
          </w:rPr>
          <w:t>https://doi.org/10.1021/jm0603365</w:t>
        </w:r>
      </w:hyperlink>
    </w:p>
    <w:p w14:paraId="73637CEE" w14:textId="77777777" w:rsidR="00FA6CA1" w:rsidRDefault="00000000">
      <w:pPr>
        <w:pStyle w:val="ListParagraph"/>
        <w:numPr>
          <w:ilvl w:val="0"/>
          <w:numId w:val="2"/>
        </w:numPr>
        <w:spacing w:after="0" w:line="360" w:lineRule="auto"/>
        <w:rPr>
          <w:rFonts w:ascii="Times" w:hAnsi="Times"/>
        </w:rPr>
      </w:pPr>
      <w:r>
        <w:t>Ilse, M., Tomczak, J., &amp; Welling, M. (2018). Attention-based Deep Multiple Instance Learning. In</w:t>
      </w:r>
      <w:r>
        <w:rPr>
          <w:rStyle w:val="apple-converted-space"/>
        </w:rPr>
        <w:t> </w:t>
      </w:r>
      <w:r>
        <w:rPr>
          <w:i/>
          <w:iCs/>
        </w:rPr>
        <w:t>arXiv (Cornell University)</w:t>
      </w:r>
      <w:r>
        <w:t xml:space="preserve">. Technische Universitat Dresden. </w:t>
      </w:r>
      <w:hyperlink r:id="rId95" w:tooltip="https://doi.org/10.48550/arxiv.1802.04712" w:history="1">
        <w:r w:rsidR="00FA6CA1">
          <w:rPr>
            <w:rStyle w:val="Hyperlink"/>
          </w:rPr>
          <w:t>https://doi.org/10.48550/arxiv.1802.04712</w:t>
        </w:r>
      </w:hyperlink>
    </w:p>
    <w:p w14:paraId="4ABCA4D4" w14:textId="77777777" w:rsidR="00FA6CA1" w:rsidRDefault="00000000">
      <w:pPr>
        <w:pStyle w:val="ListParagraph"/>
        <w:numPr>
          <w:ilvl w:val="0"/>
          <w:numId w:val="2"/>
        </w:numPr>
        <w:spacing w:after="0" w:line="360" w:lineRule="auto"/>
        <w:rPr>
          <w:rFonts w:ascii="Times" w:hAnsi="Times"/>
        </w:rPr>
      </w:pPr>
      <w:r>
        <w:t>Obama, B. O. (2025). Attention Is All You Have. In</w:t>
      </w:r>
      <w:r>
        <w:rPr>
          <w:rStyle w:val="apple-converted-space"/>
        </w:rPr>
        <w:t> </w:t>
      </w:r>
      <w:r>
        <w:rPr>
          <w:i/>
          <w:iCs/>
        </w:rPr>
        <w:t>Research Square</w:t>
      </w:r>
      <w:r>
        <w:t xml:space="preserve">. Research Square. </w:t>
      </w:r>
      <w:hyperlink r:id="rId96" w:tooltip="https://doi.org/10.21203/rs.3.rs-6745861/v1" w:history="1">
        <w:r w:rsidR="00FA6CA1">
          <w:rPr>
            <w:rStyle w:val="Hyperlink"/>
          </w:rPr>
          <w:t>https://doi.org/10.21203/rs.3.rs-6745861/v1</w:t>
        </w:r>
      </w:hyperlink>
    </w:p>
    <w:p w14:paraId="420C4849" w14:textId="77777777" w:rsidR="00FA6CA1" w:rsidRDefault="00000000">
      <w:pPr>
        <w:pStyle w:val="ListParagraph"/>
        <w:numPr>
          <w:ilvl w:val="0"/>
          <w:numId w:val="2"/>
        </w:numPr>
        <w:spacing w:after="0" w:line="360" w:lineRule="auto"/>
        <w:rPr>
          <w:rFonts w:ascii="Times" w:hAnsi="Times"/>
        </w:rPr>
      </w:pPr>
      <w:r>
        <w:lastRenderedPageBreak/>
        <w:t>Chuang, K., &amp; Keiser, M. (2020). Attention-Based Learning on Molecular Ensembles. In</w:t>
      </w:r>
      <w:r>
        <w:rPr>
          <w:rStyle w:val="apple-converted-space"/>
        </w:rPr>
        <w:t> </w:t>
      </w:r>
      <w:r>
        <w:rPr>
          <w:i/>
          <w:iCs/>
        </w:rPr>
        <w:t>arXiv (Cornell University)</w:t>
      </w:r>
      <w:r>
        <w:t xml:space="preserve">. Technische Universitat Dresden. </w:t>
      </w:r>
      <w:hyperlink r:id="rId97" w:tooltip="https://doi.org/10.48550/arxiv.2011.12820" w:history="1">
        <w:r w:rsidR="00FA6CA1">
          <w:rPr>
            <w:rStyle w:val="Hyperlink"/>
          </w:rPr>
          <w:t>https://doi.org/10.48550/arxiv.2011.12820</w:t>
        </w:r>
      </w:hyperlink>
    </w:p>
    <w:p w14:paraId="6C3DE83E" w14:textId="77777777" w:rsidR="00FA6CA1" w:rsidRDefault="00000000">
      <w:pPr>
        <w:pStyle w:val="ListParagraph"/>
        <w:numPr>
          <w:ilvl w:val="0"/>
          <w:numId w:val="2"/>
        </w:numPr>
        <w:spacing w:after="0" w:line="360" w:lineRule="auto"/>
        <w:rPr>
          <w:rFonts w:ascii="Times" w:hAnsi="Times"/>
        </w:rPr>
      </w:pPr>
      <w:r>
        <w:t>Gaulton, A., Bellis, L. J., Bento, A. P., Chambers, J., Davies, M., Hersey, A., Light, Y., Mcglinchey, S., Michalovich, D., Al-Lazikani, B., &amp; Overington, J. P. (2011). ChEMBL: a large-scale bioactivity database for drug discovery.</w:t>
      </w:r>
      <w:r>
        <w:rPr>
          <w:rStyle w:val="apple-converted-space"/>
        </w:rPr>
        <w:t> </w:t>
      </w:r>
      <w:r>
        <w:rPr>
          <w:i/>
          <w:iCs/>
        </w:rPr>
        <w:t>Nucleic Acids Research</w:t>
      </w:r>
      <w:r>
        <w:t>,</w:t>
      </w:r>
      <w:r>
        <w:rPr>
          <w:rStyle w:val="apple-converted-space"/>
        </w:rPr>
        <w:t> </w:t>
      </w:r>
      <w:r>
        <w:rPr>
          <w:i/>
          <w:iCs/>
        </w:rPr>
        <w:t>40</w:t>
      </w:r>
      <w:r>
        <w:t xml:space="preserve">(D1), D1100–D1107. </w:t>
      </w:r>
      <w:hyperlink r:id="rId98" w:tooltip="https://doi.org/10.1093/nar/gkr777" w:history="1">
        <w:r w:rsidR="00FA6CA1">
          <w:rPr>
            <w:rStyle w:val="Hyperlink"/>
          </w:rPr>
          <w:t>https://doi.org/10.1093/nar/gkr777</w:t>
        </w:r>
      </w:hyperlink>
    </w:p>
    <w:p w14:paraId="1E03768E" w14:textId="138F15BA" w:rsidR="00FA6CA1" w:rsidRPr="004C60E2" w:rsidRDefault="004C60E2">
      <w:pPr>
        <w:pStyle w:val="ListParagraph"/>
        <w:numPr>
          <w:ilvl w:val="0"/>
          <w:numId w:val="2"/>
        </w:numPr>
        <w:spacing w:after="0" w:line="360" w:lineRule="auto"/>
        <w:rPr>
          <w:rFonts w:ascii="Times" w:hAnsi="Times"/>
        </w:rPr>
      </w:pPr>
      <w:r>
        <w:rPr>
          <w:lang w:val="fr-FR"/>
        </w:rPr>
        <w:t xml:space="preserve">Poli, G., Seidel, T., &amp; Langer, T. (2018). </w:t>
      </w:r>
      <w:r>
        <w:t>Conformational Sampling of Small Molecules With iCon: Performance Assessment in Comparison With OMEGA.</w:t>
      </w:r>
      <w:r>
        <w:rPr>
          <w:rStyle w:val="apple-converted-space"/>
        </w:rPr>
        <w:t> </w:t>
      </w:r>
      <w:r>
        <w:rPr>
          <w:i/>
          <w:iCs/>
        </w:rPr>
        <w:t>Frontiers in Chemistry</w:t>
      </w:r>
      <w:r>
        <w:t>,</w:t>
      </w:r>
      <w:r>
        <w:rPr>
          <w:rStyle w:val="apple-converted-space"/>
        </w:rPr>
        <w:t> </w:t>
      </w:r>
      <w:r>
        <w:rPr>
          <w:i/>
          <w:iCs/>
        </w:rPr>
        <w:t>6</w:t>
      </w:r>
      <w:r>
        <w:t xml:space="preserve">, 229. </w:t>
      </w:r>
      <w:hyperlink r:id="rId99" w:history="1">
        <w:r>
          <w:rPr>
            <w:rStyle w:val="Hyperlink"/>
          </w:rPr>
          <w:t>https://doi.org/10.3389/fchem.2018.00229</w:t>
        </w:r>
      </w:hyperlink>
    </w:p>
    <w:p w14:paraId="735BC600" w14:textId="58F1FAB4" w:rsidR="004C60E2" w:rsidRPr="004C60E2" w:rsidRDefault="004C60E2">
      <w:pPr>
        <w:pStyle w:val="ListParagraph"/>
        <w:numPr>
          <w:ilvl w:val="0"/>
          <w:numId w:val="2"/>
        </w:numPr>
        <w:spacing w:after="0" w:line="360" w:lineRule="auto"/>
        <w:rPr>
          <w:rFonts w:ascii="Times" w:hAnsi="Times"/>
        </w:rPr>
      </w:pPr>
      <w:r>
        <w:t>Wolber, G., &amp; Langer, T. (2004). LigandScout: 3-D Pharmacophores Derived from Protein-Bound Ligands and Their Use as Virtual Screening Filters.</w:t>
      </w:r>
      <w:r>
        <w:rPr>
          <w:rStyle w:val="apple-converted-space"/>
        </w:rPr>
        <w:t> </w:t>
      </w:r>
      <w:r>
        <w:rPr>
          <w:i/>
          <w:iCs/>
        </w:rPr>
        <w:t>Journal of Chemical Information and Modeling</w:t>
      </w:r>
      <w:r>
        <w:t>,</w:t>
      </w:r>
      <w:r>
        <w:rPr>
          <w:rStyle w:val="apple-converted-space"/>
        </w:rPr>
        <w:t> </w:t>
      </w:r>
      <w:r>
        <w:rPr>
          <w:i/>
          <w:iCs/>
        </w:rPr>
        <w:t>45</w:t>
      </w:r>
      <w:r>
        <w:t xml:space="preserve">(1), 160–169. </w:t>
      </w:r>
      <w:hyperlink r:id="rId100" w:history="1">
        <w:r>
          <w:rPr>
            <w:rStyle w:val="Hyperlink"/>
          </w:rPr>
          <w:t>https://doi.org/10.1021/ci049885e</w:t>
        </w:r>
      </w:hyperlink>
    </w:p>
    <w:p w14:paraId="5FCB4653" w14:textId="1261B5AD" w:rsidR="004C60E2" w:rsidRPr="004C60E2" w:rsidRDefault="004C60E2">
      <w:pPr>
        <w:pStyle w:val="ListParagraph"/>
        <w:numPr>
          <w:ilvl w:val="0"/>
          <w:numId w:val="2"/>
        </w:numPr>
        <w:spacing w:after="0" w:line="360" w:lineRule="auto"/>
        <w:rPr>
          <w:rFonts w:ascii="Times" w:hAnsi="Times"/>
        </w:rPr>
      </w:pPr>
      <w:r>
        <w:t>Tosco, P., Balle, T., &amp; Shiri, F. (2011). Open3DALIGN: an open-source software aimed at unsupervised ligand alignment.</w:t>
      </w:r>
      <w:r>
        <w:rPr>
          <w:rStyle w:val="apple-converted-space"/>
        </w:rPr>
        <w:t> </w:t>
      </w:r>
      <w:r>
        <w:rPr>
          <w:i/>
          <w:iCs/>
        </w:rPr>
        <w:t>Journal of Computer-Aided Molecular Design</w:t>
      </w:r>
      <w:r>
        <w:t>,</w:t>
      </w:r>
      <w:r>
        <w:rPr>
          <w:rStyle w:val="apple-converted-space"/>
        </w:rPr>
        <w:t> </w:t>
      </w:r>
      <w:r>
        <w:rPr>
          <w:i/>
          <w:iCs/>
        </w:rPr>
        <w:t>25</w:t>
      </w:r>
      <w:r>
        <w:t xml:space="preserve">(8), 777–783. </w:t>
      </w:r>
      <w:hyperlink r:id="rId101" w:history="1">
        <w:r>
          <w:rPr>
            <w:rStyle w:val="Hyperlink"/>
          </w:rPr>
          <w:t>https://doi.org/10.1007/s10822-011-9462-9</w:t>
        </w:r>
      </w:hyperlink>
    </w:p>
    <w:p w14:paraId="13D49832" w14:textId="0BCAD475" w:rsidR="004C60E2" w:rsidRPr="004C60E2" w:rsidRDefault="004C60E2">
      <w:pPr>
        <w:pStyle w:val="ListParagraph"/>
        <w:numPr>
          <w:ilvl w:val="0"/>
          <w:numId w:val="2"/>
        </w:numPr>
        <w:spacing w:after="0" w:line="360" w:lineRule="auto"/>
        <w:rPr>
          <w:rFonts w:ascii="Times" w:hAnsi="Times"/>
        </w:rPr>
      </w:pPr>
      <w:r>
        <w:t>Wildman, S. A., &amp; Crippen, G. M. (1999). Prediction of Physicochemical Parameters by Atomic Contributions.</w:t>
      </w:r>
      <w:r>
        <w:rPr>
          <w:rStyle w:val="apple-converted-space"/>
        </w:rPr>
        <w:t> </w:t>
      </w:r>
      <w:r>
        <w:rPr>
          <w:i/>
          <w:iCs/>
        </w:rPr>
        <w:t>Journal of Chemical Information and Computer Sciences</w:t>
      </w:r>
      <w:r>
        <w:t>,</w:t>
      </w:r>
      <w:r>
        <w:rPr>
          <w:rStyle w:val="apple-converted-space"/>
        </w:rPr>
        <w:t> </w:t>
      </w:r>
      <w:r>
        <w:rPr>
          <w:i/>
          <w:iCs/>
        </w:rPr>
        <w:t>39</w:t>
      </w:r>
      <w:r>
        <w:t xml:space="preserve">(5), 868–873. </w:t>
      </w:r>
      <w:hyperlink r:id="rId102" w:history="1">
        <w:r>
          <w:rPr>
            <w:rStyle w:val="Hyperlink"/>
          </w:rPr>
          <w:t>https://doi.org/10.1021/ci990307l</w:t>
        </w:r>
      </w:hyperlink>
    </w:p>
    <w:p w14:paraId="27479754" w14:textId="12C4FB72" w:rsidR="004C60E2" w:rsidRDefault="005538A0">
      <w:pPr>
        <w:pStyle w:val="ListParagraph"/>
        <w:numPr>
          <w:ilvl w:val="0"/>
          <w:numId w:val="2"/>
        </w:numPr>
        <w:spacing w:after="0" w:line="360" w:lineRule="auto"/>
        <w:rPr>
          <w:rStyle w:val="agcmg"/>
          <w:lang w:val="fr-FR"/>
        </w:rPr>
      </w:pPr>
      <w:r>
        <w:rPr>
          <w:rStyle w:val="agcmg"/>
        </w:rPr>
        <w:t xml:space="preserve"> </w:t>
      </w:r>
      <w:r>
        <w:rPr>
          <w:rStyle w:val="agcmg"/>
          <w:lang w:val="fr-FR"/>
        </w:rPr>
        <w:t xml:space="preserve">Landrum, G. 2010. “RDKit.” Q2. </w:t>
      </w:r>
      <w:hyperlink r:id="rId103" w:history="1">
        <w:r>
          <w:rPr>
            <w:rStyle w:val="Hyperlink"/>
            <w:lang w:val="fr-FR"/>
          </w:rPr>
          <w:t>https://www.rdkit.org/</w:t>
        </w:r>
      </w:hyperlink>
      <w:r>
        <w:rPr>
          <w:rStyle w:val="agcmg"/>
          <w:lang w:val="fr-FR"/>
        </w:rPr>
        <w:t xml:space="preserve">. </w:t>
      </w:r>
    </w:p>
    <w:p w14:paraId="247FB0B4" w14:textId="414EA24F" w:rsidR="00C13172" w:rsidRPr="00C13172" w:rsidRDefault="00C13172">
      <w:pPr>
        <w:pStyle w:val="ListParagraph"/>
        <w:numPr>
          <w:ilvl w:val="0"/>
          <w:numId w:val="2"/>
        </w:numPr>
        <w:spacing w:after="0" w:line="360" w:lineRule="auto"/>
        <w:rPr>
          <w:lang w:val="fr-FR"/>
        </w:rPr>
      </w:pPr>
      <w:r>
        <w:rPr>
          <w:lang w:val="fr-FR"/>
        </w:rPr>
        <w:t xml:space="preserve">Perola, E., &amp; Charifson, P. S. (2004). </w:t>
      </w:r>
      <w:r>
        <w:t>Conformational Analysis of Drug-Like Molecules Bound to Proteins: An Extensive Study of Ligand Reorganization upon Binding.</w:t>
      </w:r>
      <w:r>
        <w:rPr>
          <w:rStyle w:val="apple-converted-space"/>
        </w:rPr>
        <w:t> </w:t>
      </w:r>
      <w:r>
        <w:rPr>
          <w:i/>
          <w:iCs/>
        </w:rPr>
        <w:t>Journal of Medicinal Chemistry</w:t>
      </w:r>
      <w:r>
        <w:t>,</w:t>
      </w:r>
      <w:r>
        <w:rPr>
          <w:rStyle w:val="apple-converted-space"/>
        </w:rPr>
        <w:t> </w:t>
      </w:r>
      <w:r>
        <w:rPr>
          <w:i/>
          <w:iCs/>
        </w:rPr>
        <w:t>47</w:t>
      </w:r>
      <w:r>
        <w:t xml:space="preserve">(10), 2499–2510. </w:t>
      </w:r>
      <w:hyperlink r:id="rId104" w:history="1">
        <w:r>
          <w:rPr>
            <w:rStyle w:val="Hyperlink"/>
          </w:rPr>
          <w:t>https://doi.org/10.1021/jm030563w</w:t>
        </w:r>
      </w:hyperlink>
    </w:p>
    <w:p w14:paraId="73FA4339" w14:textId="49578F2A" w:rsidR="00C13172" w:rsidRPr="0066678A" w:rsidRDefault="0066678A">
      <w:pPr>
        <w:pStyle w:val="ListParagraph"/>
        <w:numPr>
          <w:ilvl w:val="0"/>
          <w:numId w:val="2"/>
        </w:numPr>
        <w:spacing w:after="0" w:line="360" w:lineRule="auto"/>
        <w:rPr>
          <w:lang w:val="fr-FR"/>
        </w:rPr>
      </w:pPr>
      <w:r>
        <w:t>Barman, A., &amp; Prabhakar, R. (2014). Computational Insights into Substrate and Site Specificities, Catalytic Mechanism, and Protonation States of the Catalytic Asp Dyad of β -Secretase.</w:t>
      </w:r>
      <w:r>
        <w:rPr>
          <w:rStyle w:val="apple-converted-space"/>
        </w:rPr>
        <w:t> </w:t>
      </w:r>
      <w:r>
        <w:rPr>
          <w:i/>
          <w:iCs/>
        </w:rPr>
        <w:t>Scientifica</w:t>
      </w:r>
      <w:r>
        <w:t>,</w:t>
      </w:r>
      <w:r>
        <w:rPr>
          <w:rStyle w:val="apple-converted-space"/>
        </w:rPr>
        <w:t> </w:t>
      </w:r>
      <w:r>
        <w:rPr>
          <w:i/>
          <w:iCs/>
        </w:rPr>
        <w:t>2014</w:t>
      </w:r>
      <w:r>
        <w:t xml:space="preserve">(2), 1–11. </w:t>
      </w:r>
      <w:hyperlink r:id="rId105" w:history="1">
        <w:r>
          <w:rPr>
            <w:rStyle w:val="Hyperlink"/>
          </w:rPr>
          <w:t>https://doi.org/10.1155/2014/598728</w:t>
        </w:r>
      </w:hyperlink>
    </w:p>
    <w:p w14:paraId="0F19551E" w14:textId="71EAEE1E" w:rsidR="0066678A" w:rsidRPr="00B35EBA" w:rsidRDefault="00B35EBA">
      <w:pPr>
        <w:pStyle w:val="ListParagraph"/>
        <w:numPr>
          <w:ilvl w:val="0"/>
          <w:numId w:val="2"/>
        </w:numPr>
        <w:spacing w:after="0" w:line="360" w:lineRule="auto"/>
        <w:rPr>
          <w:lang w:val="fr-FR"/>
        </w:rPr>
      </w:pPr>
      <w:r>
        <w:lastRenderedPageBreak/>
        <w:t>Shi, Y., Ke, G., Soukhavong, D., Lamb, J., Meng, Q., Finley, T., Wang, T., Chen, W., Ma, W., Ye, Q., Liu, T.-Y., Titov, N., &amp; Cortes, D. (2020).</w:t>
      </w:r>
      <w:r>
        <w:rPr>
          <w:rStyle w:val="apple-converted-space"/>
        </w:rPr>
        <w:t> </w:t>
      </w:r>
      <w:r>
        <w:rPr>
          <w:i/>
          <w:iCs/>
        </w:rPr>
        <w:t>lightgbm: Light Gradient Boosting Machine</w:t>
      </w:r>
      <w:r>
        <w:t xml:space="preserve">. R Foundation. </w:t>
      </w:r>
      <w:hyperlink r:id="rId106" w:history="1">
        <w:r>
          <w:rPr>
            <w:rStyle w:val="Hyperlink"/>
          </w:rPr>
          <w:t>https://doi.org/10.32614/cran.package.lightgbm</w:t>
        </w:r>
      </w:hyperlink>
    </w:p>
    <w:p w14:paraId="70C8E93C" w14:textId="77777777" w:rsidR="00B35EBA" w:rsidRPr="005538A0" w:rsidRDefault="00B35EBA">
      <w:pPr>
        <w:pStyle w:val="ListParagraph"/>
        <w:numPr>
          <w:ilvl w:val="0"/>
          <w:numId w:val="2"/>
        </w:numPr>
        <w:spacing w:after="0" w:line="360" w:lineRule="auto"/>
        <w:rPr>
          <w:rStyle w:val="agcmg"/>
          <w:lang w:val="fr-FR"/>
        </w:rPr>
      </w:pPr>
    </w:p>
    <w:p w14:paraId="05E7EBF3" w14:textId="77777777" w:rsidR="00FA6CA1" w:rsidRPr="005538A0" w:rsidRDefault="00FA6CA1">
      <w:pPr>
        <w:spacing w:line="360" w:lineRule="auto"/>
        <w:ind w:firstLine="426"/>
        <w:jc w:val="both"/>
        <w:rPr>
          <w:rStyle w:val="agcmg"/>
          <w:lang w:val="fr-FR"/>
        </w:rPr>
      </w:pPr>
    </w:p>
    <w:p w14:paraId="2D536BE5" w14:textId="77777777" w:rsidR="00FA6CA1" w:rsidRPr="005538A0" w:rsidRDefault="00FA6CA1">
      <w:pPr>
        <w:spacing w:line="360" w:lineRule="auto"/>
        <w:ind w:firstLine="426"/>
        <w:jc w:val="both"/>
        <w:rPr>
          <w:rStyle w:val="agcmg"/>
          <w:lang w:val="fr-FR"/>
        </w:rPr>
      </w:pPr>
    </w:p>
    <w:p w14:paraId="745F06E1" w14:textId="77777777" w:rsidR="00FA6CA1" w:rsidRPr="005538A0" w:rsidRDefault="00FA6CA1">
      <w:pPr>
        <w:spacing w:line="360" w:lineRule="auto"/>
        <w:ind w:firstLine="426"/>
        <w:jc w:val="both"/>
        <w:rPr>
          <w:rFonts w:ascii="Arial" w:hAnsi="Arial" w:cs="Arial"/>
          <w:color w:val="000000"/>
          <w:shd w:val="clear" w:color="auto" w:fill="FFFFFF"/>
          <w:lang w:val="fr-FR"/>
          <w14:ligatures w14:val="none"/>
        </w:rPr>
      </w:pPr>
    </w:p>
    <w:sectPr w:rsidR="00FA6CA1" w:rsidRPr="005538A0">
      <w:footerReference w:type="even" r:id="rId107"/>
      <w:footerReference w:type="default" r:id="rId108"/>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0" w:author="Utilisateur Microsoft Office" w:date="2025-12-17T09:44:00Z" w:initials="UMO">
    <w:p w14:paraId="00000012" w14:textId="00000012" w:rsidR="00FA6CA1" w:rsidRDefault="000B7B1B">
      <w:pPr>
        <w:spacing w:after="0" w:line="240" w:lineRule="auto"/>
      </w:pPr>
      <w:r>
        <w:rPr>
          <w:rStyle w:val="CommentReference"/>
        </w:rPr>
        <w:annotationRef/>
      </w:r>
      <w:r>
        <w:rPr>
          <w:rFonts w:ascii="Arial" w:eastAsia="Arial" w:hAnsi="Arial" w:cs="Arial"/>
          <w:sz w:val="22"/>
        </w:rPr>
        <w:t>I suggest to remove titles on all graphs. The reader is going to refer to the caption to understand what is repressented into each plot. Besides, you must remove all "ConfGen" from the manuscript. Write what you mean = conformer generation.</w:t>
      </w:r>
    </w:p>
  </w:comment>
  <w:comment w:id="11" w:author="Utilisateur Microsoft Office" w:date="2026-06-09T15:30:00Z" w:initials="UMO">
    <w:p w14:paraId="6650216E" w14:textId="6348B936" w:rsidR="00297AFF" w:rsidRDefault="00297AFF">
      <w:pPr>
        <w:pStyle w:val="CommentText"/>
      </w:pPr>
      <w:r>
        <w:rPr>
          <w:rStyle w:val="CommentReference"/>
        </w:rPr>
        <w:annotationRef/>
      </w:r>
      <w:r>
        <w:t>Figure 7</w:t>
      </w:r>
    </w:p>
  </w:comment>
  <w:comment w:id="12" w:author="Utilisateur Microsoft Office" w:date="2026-06-09T15:30:00Z" w:initials="UMO">
    <w:p w14:paraId="77F6343D" w14:textId="4C1FC15C" w:rsidR="00297AFF" w:rsidRDefault="00297AFF">
      <w:pPr>
        <w:pStyle w:val="CommentText"/>
      </w:pPr>
      <w:r>
        <w:rPr>
          <w:rStyle w:val="CommentReference"/>
        </w:rPr>
        <w:annotationRef/>
      </w:r>
      <w:r>
        <w:rPr>
          <w:rStyle w:val="CommentReference"/>
        </w:rPr>
        <w:t>Figure to do</w:t>
      </w:r>
    </w:p>
  </w:comment>
  <w:comment w:id="13" w:author="Utilisateur Microsoft Office" w:date="2025-12-17T17:29:00Z" w:initials="UMO">
    <w:p w14:paraId="6F1E4CA1" w14:textId="77777777" w:rsidR="007344AF" w:rsidRDefault="007344AF">
      <w:pPr>
        <w:spacing w:after="0" w:line="240" w:lineRule="auto"/>
      </w:pPr>
      <w:r>
        <w:rPr>
          <w:rStyle w:val="CommentReference"/>
        </w:rPr>
        <w:annotationRef/>
      </w:r>
      <w:r>
        <w:rPr>
          <w:rFonts w:ascii="Arial" w:eastAsia="Arial" w:hAnsi="Arial" w:cs="Arial"/>
          <w:sz w:val="22"/>
        </w:rPr>
        <w:t xml:space="preserve">Too much information for this plot. Hypergeometric base-lines, base-lines in general, should be reported in SI. The figure emphasizes: (i) RMSD is deceptive compared to O3A as a metric to define key instances. (ii) Using Top 5 or q=0.05, the recovery of a key instance is &gt;0.8. </w:t>
      </w:r>
    </w:p>
  </w:comment>
</w:comments>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Gilles Marcou" w:date="2026-04-28T18:33:57Z" w:initials="GM">
    <w:p w14:paraId="00000001" w14:textId="00000001">
      <w:pPr>
        <w:spacing w:line="240" w:after="0" w:lineRule="auto" w:before="0"/>
        <w:ind w:firstLine="0" w:left="0" w:right="0"/>
        <w:jc w:val="left"/>
      </w:pPr>
      <w:r>
        <w:rPr>
          <w:rFonts w:eastAsia="Arial" w:ascii="Arial" w:hAnsi="Arial" w:cs="Arial"/>
          <w:sz w:val="22"/>
        </w:rPr>
        <w:t xml:space="preserve">You want to say that you use descriptors that are invariant by roto-translation, so say it this way! It is ridiculous to refer to a Lie group if you do not have generalization over the said Lie group! Please, spare 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0000012" w15:done="0"/>
  <w15:commentEx w15:paraId="6650216E" w15:done="0"/>
  <w15:commentEx w15:paraId="77F6343D" w15:done="0"/>
  <w15:commentEx w15:paraId="6F1E4CA1" w15:done="0"/>
</w15:commentsEx>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D755EBC" w16cex:dateUtc="2025-12-17T08:44:00Z"/>
  <w16cex:commentExtensible w16cex:durableId="2BD93F37" w16cex:dateUtc="2026-06-09T13:30:00Z"/>
  <w16cex:commentExtensible w16cex:durableId="4FEC1FBE" w16cex:dateUtc="2026-06-09T13:30:00Z"/>
  <w16cex:commentExtensible w16cex:durableId="1E393BBE" w16cex:dateUtc="2025-12-17T16:29:00Z"/>
</w16cex:commentsExtensible>
</file>

<file path=word/commentsExtensibleDocument.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60203968" w16cex:dateUtc="2026-04-28T16:33:57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0000012" w16cid:durableId="6D755EBC"/>
  <w16cid:commentId w16cid:paraId="6650216E" w16cid:durableId="2BD93F37"/>
  <w16cid:commentId w16cid:paraId="77F6343D" w16cid:durableId="4FEC1FBE"/>
  <w16cid:commentId w16cid:paraId="6F1E4CA1" w16cid:durableId="1E393BBE"/>
</w16cid:commentsIds>
</file>

<file path=word/commentsIdsDocument.xml><?xml version="1.0" encoding="utf-8"?>
<w16cid:commentsIds xmlns:mc="http://schemas.openxmlformats.org/markup-compatibility/2006" xmlns:w16cid="http://schemas.microsoft.com/office/word/2016/wordml/cid" mc:Ignorable="w16cid">
  <w16cid:commentId w16cid:paraId="00000001" w16cid:durableId="602039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D2D3A7" w14:textId="77777777" w:rsidR="005B6BA5" w:rsidRDefault="005B6BA5">
      <w:pPr>
        <w:spacing w:after="0" w:line="240" w:lineRule="auto"/>
      </w:pPr>
      <w:r>
        <w:separator/>
      </w:r>
    </w:p>
  </w:endnote>
  <w:endnote w:type="continuationSeparator" w:id="0">
    <w:p w14:paraId="7CAA2745" w14:textId="77777777" w:rsidR="005B6BA5" w:rsidRDefault="005B6B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71197548"/>
      <w:docPartObj>
        <w:docPartGallery w:val="Page Numbers (Bottom of Page)"/>
        <w:docPartUnique/>
      </w:docPartObj>
    </w:sdtPr>
    <w:sdtContent>
      <w:p w14:paraId="1CC4901A" w14:textId="77777777" w:rsidR="00FA6CA1" w:rsidRDefault="00000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BD8E660" w14:textId="77777777" w:rsidR="00FA6CA1" w:rsidRDefault="00FA6C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861272566"/>
      <w:docPartObj>
        <w:docPartGallery w:val="Page Numbers (Bottom of Page)"/>
        <w:docPartUnique/>
      </w:docPartObj>
    </w:sdtPr>
    <w:sdtContent>
      <w:p w14:paraId="3F708D02" w14:textId="77777777" w:rsidR="00FA6CA1" w:rsidRDefault="00000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5BDE615D" w14:textId="77777777" w:rsidR="00FA6CA1" w:rsidRDefault="00FA6CA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C0C92A" w14:textId="77777777" w:rsidR="005B6BA5" w:rsidRDefault="005B6BA5">
      <w:pPr>
        <w:spacing w:after="0" w:line="240" w:lineRule="auto"/>
      </w:pPr>
      <w:r>
        <w:separator/>
      </w:r>
    </w:p>
  </w:footnote>
  <w:footnote w:type="continuationSeparator" w:id="0">
    <w:p w14:paraId="0C23544F" w14:textId="77777777" w:rsidR="005B6BA5" w:rsidRDefault="005B6B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ED093B"/>
    <w:multiLevelType w:val="hybridMultilevel"/>
    <w:tmpl w:val="9118EDE0"/>
    <w:lvl w:ilvl="0" w:tplc="5C523B6E">
      <w:start w:val="1"/>
      <w:numFmt w:val="decimal"/>
      <w:lvlText w:val="%1."/>
      <w:lvlJc w:val="left"/>
      <w:pPr>
        <w:ind w:left="786" w:hanging="360"/>
      </w:pPr>
      <w:rPr>
        <w:rFonts w:hint="default"/>
      </w:rPr>
    </w:lvl>
    <w:lvl w:ilvl="1" w:tplc="3B9C5E8E">
      <w:start w:val="1"/>
      <w:numFmt w:val="lowerLetter"/>
      <w:lvlText w:val="%2."/>
      <w:lvlJc w:val="left"/>
      <w:pPr>
        <w:ind w:left="1506" w:hanging="360"/>
      </w:pPr>
    </w:lvl>
    <w:lvl w:ilvl="2" w:tplc="E1B699A2">
      <w:start w:val="1"/>
      <w:numFmt w:val="lowerRoman"/>
      <w:lvlText w:val="%3."/>
      <w:lvlJc w:val="right"/>
      <w:pPr>
        <w:ind w:left="2226" w:hanging="180"/>
      </w:pPr>
    </w:lvl>
    <w:lvl w:ilvl="3" w:tplc="4336F130">
      <w:start w:val="1"/>
      <w:numFmt w:val="decimal"/>
      <w:lvlText w:val="%4."/>
      <w:lvlJc w:val="left"/>
      <w:pPr>
        <w:ind w:left="2946" w:hanging="360"/>
      </w:pPr>
    </w:lvl>
    <w:lvl w:ilvl="4" w:tplc="40A6A1DA">
      <w:start w:val="1"/>
      <w:numFmt w:val="lowerLetter"/>
      <w:lvlText w:val="%5."/>
      <w:lvlJc w:val="left"/>
      <w:pPr>
        <w:ind w:left="3666" w:hanging="360"/>
      </w:pPr>
    </w:lvl>
    <w:lvl w:ilvl="5" w:tplc="D2DC026A">
      <w:start w:val="1"/>
      <w:numFmt w:val="lowerRoman"/>
      <w:lvlText w:val="%6."/>
      <w:lvlJc w:val="right"/>
      <w:pPr>
        <w:ind w:left="4386" w:hanging="180"/>
      </w:pPr>
    </w:lvl>
    <w:lvl w:ilvl="6" w:tplc="D47C5870">
      <w:start w:val="1"/>
      <w:numFmt w:val="decimal"/>
      <w:lvlText w:val="%7."/>
      <w:lvlJc w:val="left"/>
      <w:pPr>
        <w:ind w:left="5106" w:hanging="360"/>
      </w:pPr>
    </w:lvl>
    <w:lvl w:ilvl="7" w:tplc="164A60B8">
      <w:start w:val="1"/>
      <w:numFmt w:val="lowerLetter"/>
      <w:lvlText w:val="%8."/>
      <w:lvlJc w:val="left"/>
      <w:pPr>
        <w:ind w:left="5826" w:hanging="360"/>
      </w:pPr>
    </w:lvl>
    <w:lvl w:ilvl="8" w:tplc="DBA26288">
      <w:start w:val="1"/>
      <w:numFmt w:val="lowerRoman"/>
      <w:lvlText w:val="%9."/>
      <w:lvlJc w:val="right"/>
      <w:pPr>
        <w:ind w:left="6546" w:hanging="180"/>
      </w:pPr>
    </w:lvl>
  </w:abstractNum>
  <w:abstractNum w:abstractNumId="1" w15:restartNumberingAfterBreak="0">
    <w:nsid w:val="035D27B8"/>
    <w:multiLevelType w:val="hybridMultilevel"/>
    <w:tmpl w:val="F01032A8"/>
    <w:lvl w:ilvl="0" w:tplc="B9D0FA7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0A6E47DC"/>
    <w:multiLevelType w:val="hybridMultilevel"/>
    <w:tmpl w:val="90129440"/>
    <w:lvl w:ilvl="0" w:tplc="9ED0FB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847CB9"/>
    <w:multiLevelType w:val="hybridMultilevel"/>
    <w:tmpl w:val="3538F4F0"/>
    <w:lvl w:ilvl="0" w:tplc="44141800">
      <w:start w:val="1"/>
      <w:numFmt w:val="decimal"/>
      <w:lvlText w:val="%1."/>
      <w:lvlJc w:val="left"/>
      <w:pPr>
        <w:ind w:left="786" w:hanging="360"/>
      </w:pPr>
      <w:rPr>
        <w:rFonts w:hint="default"/>
      </w:rPr>
    </w:lvl>
    <w:lvl w:ilvl="1" w:tplc="1F2C278E">
      <w:start w:val="1"/>
      <w:numFmt w:val="lowerLetter"/>
      <w:lvlText w:val="%2."/>
      <w:lvlJc w:val="left"/>
      <w:pPr>
        <w:ind w:left="1506" w:hanging="360"/>
      </w:pPr>
    </w:lvl>
    <w:lvl w:ilvl="2" w:tplc="F5D6DBBA">
      <w:start w:val="1"/>
      <w:numFmt w:val="lowerRoman"/>
      <w:lvlText w:val="%3."/>
      <w:lvlJc w:val="right"/>
      <w:pPr>
        <w:ind w:left="2226" w:hanging="180"/>
      </w:pPr>
    </w:lvl>
    <w:lvl w:ilvl="3" w:tplc="2960C614">
      <w:start w:val="1"/>
      <w:numFmt w:val="decimal"/>
      <w:lvlText w:val="%4."/>
      <w:lvlJc w:val="left"/>
      <w:pPr>
        <w:ind w:left="2946" w:hanging="360"/>
      </w:pPr>
    </w:lvl>
    <w:lvl w:ilvl="4" w:tplc="9544B50C">
      <w:start w:val="1"/>
      <w:numFmt w:val="lowerLetter"/>
      <w:lvlText w:val="%5."/>
      <w:lvlJc w:val="left"/>
      <w:pPr>
        <w:ind w:left="3666" w:hanging="360"/>
      </w:pPr>
    </w:lvl>
    <w:lvl w:ilvl="5" w:tplc="44ACFAC8">
      <w:start w:val="1"/>
      <w:numFmt w:val="lowerRoman"/>
      <w:lvlText w:val="%6."/>
      <w:lvlJc w:val="right"/>
      <w:pPr>
        <w:ind w:left="4386" w:hanging="180"/>
      </w:pPr>
    </w:lvl>
    <w:lvl w:ilvl="6" w:tplc="8D50B300">
      <w:start w:val="1"/>
      <w:numFmt w:val="decimal"/>
      <w:lvlText w:val="%7."/>
      <w:lvlJc w:val="left"/>
      <w:pPr>
        <w:ind w:left="5106" w:hanging="360"/>
      </w:pPr>
    </w:lvl>
    <w:lvl w:ilvl="7" w:tplc="B1220718">
      <w:start w:val="1"/>
      <w:numFmt w:val="lowerLetter"/>
      <w:lvlText w:val="%8."/>
      <w:lvlJc w:val="left"/>
      <w:pPr>
        <w:ind w:left="5826" w:hanging="360"/>
      </w:pPr>
    </w:lvl>
    <w:lvl w:ilvl="8" w:tplc="73701446">
      <w:start w:val="1"/>
      <w:numFmt w:val="lowerRoman"/>
      <w:lvlText w:val="%9."/>
      <w:lvlJc w:val="right"/>
      <w:pPr>
        <w:ind w:left="6546" w:hanging="180"/>
      </w:pPr>
    </w:lvl>
  </w:abstractNum>
  <w:abstractNum w:abstractNumId="4" w15:restartNumberingAfterBreak="0">
    <w:nsid w:val="1D8A78C5"/>
    <w:multiLevelType w:val="hybridMultilevel"/>
    <w:tmpl w:val="DA4AD66C"/>
    <w:lvl w:ilvl="0" w:tplc="90082A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8C6E57"/>
    <w:multiLevelType w:val="hybridMultilevel"/>
    <w:tmpl w:val="F3047E70"/>
    <w:lvl w:ilvl="0" w:tplc="0A00ED7A">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 w15:restartNumberingAfterBreak="0">
    <w:nsid w:val="31054799"/>
    <w:multiLevelType w:val="hybridMultilevel"/>
    <w:tmpl w:val="02AA80A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 w15:restartNumberingAfterBreak="0">
    <w:nsid w:val="40BC2166"/>
    <w:multiLevelType w:val="hybridMultilevel"/>
    <w:tmpl w:val="407AF7D0"/>
    <w:lvl w:ilvl="0" w:tplc="33E4FF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C551AD"/>
    <w:multiLevelType w:val="hybridMultilevel"/>
    <w:tmpl w:val="4C143468"/>
    <w:lvl w:ilvl="0" w:tplc="CBCA940A">
      <w:start w:val="1"/>
      <w:numFmt w:val="decimal"/>
      <w:lvlText w:val="%1."/>
      <w:lvlJc w:val="left"/>
      <w:pPr>
        <w:ind w:left="720" w:hanging="360"/>
      </w:pPr>
      <w:rPr>
        <w:rFonts w:asciiTheme="minorHAnsi" w:hAnsiTheme="minorHAnsi" w:hint="default"/>
      </w:rPr>
    </w:lvl>
    <w:lvl w:ilvl="1" w:tplc="CD942AEA">
      <w:start w:val="1"/>
      <w:numFmt w:val="lowerLetter"/>
      <w:lvlText w:val="%2."/>
      <w:lvlJc w:val="left"/>
      <w:pPr>
        <w:ind w:left="1440" w:hanging="360"/>
      </w:pPr>
    </w:lvl>
    <w:lvl w:ilvl="2" w:tplc="D3EEF000">
      <w:start w:val="1"/>
      <w:numFmt w:val="lowerRoman"/>
      <w:lvlText w:val="%3."/>
      <w:lvlJc w:val="right"/>
      <w:pPr>
        <w:ind w:left="2160" w:hanging="180"/>
      </w:pPr>
    </w:lvl>
    <w:lvl w:ilvl="3" w:tplc="E528DA90">
      <w:start w:val="1"/>
      <w:numFmt w:val="decimal"/>
      <w:lvlText w:val="%4."/>
      <w:lvlJc w:val="left"/>
      <w:pPr>
        <w:ind w:left="2880" w:hanging="360"/>
      </w:pPr>
    </w:lvl>
    <w:lvl w:ilvl="4" w:tplc="5266A5BE">
      <w:start w:val="1"/>
      <w:numFmt w:val="lowerLetter"/>
      <w:lvlText w:val="%5."/>
      <w:lvlJc w:val="left"/>
      <w:pPr>
        <w:ind w:left="3600" w:hanging="360"/>
      </w:pPr>
    </w:lvl>
    <w:lvl w:ilvl="5" w:tplc="FE2A257A">
      <w:start w:val="1"/>
      <w:numFmt w:val="lowerRoman"/>
      <w:lvlText w:val="%6."/>
      <w:lvlJc w:val="right"/>
      <w:pPr>
        <w:ind w:left="4320" w:hanging="180"/>
      </w:pPr>
    </w:lvl>
    <w:lvl w:ilvl="6" w:tplc="2DF2F102">
      <w:start w:val="1"/>
      <w:numFmt w:val="decimal"/>
      <w:lvlText w:val="%7."/>
      <w:lvlJc w:val="left"/>
      <w:pPr>
        <w:ind w:left="5040" w:hanging="360"/>
      </w:pPr>
    </w:lvl>
    <w:lvl w:ilvl="7" w:tplc="868C3CA4">
      <w:start w:val="1"/>
      <w:numFmt w:val="lowerLetter"/>
      <w:lvlText w:val="%8."/>
      <w:lvlJc w:val="left"/>
      <w:pPr>
        <w:ind w:left="5760" w:hanging="360"/>
      </w:pPr>
    </w:lvl>
    <w:lvl w:ilvl="8" w:tplc="D196DF34">
      <w:start w:val="1"/>
      <w:numFmt w:val="lowerRoman"/>
      <w:lvlText w:val="%9."/>
      <w:lvlJc w:val="right"/>
      <w:pPr>
        <w:ind w:left="6480" w:hanging="180"/>
      </w:pPr>
    </w:lvl>
  </w:abstractNum>
  <w:abstractNum w:abstractNumId="9" w15:restartNumberingAfterBreak="0">
    <w:nsid w:val="4C494BD6"/>
    <w:multiLevelType w:val="hybridMultilevel"/>
    <w:tmpl w:val="358A70B4"/>
    <w:lvl w:ilvl="0" w:tplc="205A728E">
      <w:start w:val="1"/>
      <w:numFmt w:val="decimal"/>
      <w:lvlText w:val="%1."/>
      <w:lvlJc w:val="left"/>
      <w:pPr>
        <w:ind w:left="720" w:hanging="360"/>
      </w:pPr>
      <w:rPr>
        <w:rFonts w:asciiTheme="minorHAnsi" w:hAnsiTheme="minorHAnsi" w:hint="default"/>
      </w:rPr>
    </w:lvl>
    <w:lvl w:ilvl="1" w:tplc="429E0580">
      <w:start w:val="1"/>
      <w:numFmt w:val="lowerLetter"/>
      <w:lvlText w:val="%2."/>
      <w:lvlJc w:val="left"/>
      <w:pPr>
        <w:ind w:left="1440" w:hanging="360"/>
      </w:pPr>
    </w:lvl>
    <w:lvl w:ilvl="2" w:tplc="3D8A6A4E">
      <w:start w:val="1"/>
      <w:numFmt w:val="lowerRoman"/>
      <w:lvlText w:val="%3."/>
      <w:lvlJc w:val="right"/>
      <w:pPr>
        <w:ind w:left="2160" w:hanging="180"/>
      </w:pPr>
    </w:lvl>
    <w:lvl w:ilvl="3" w:tplc="AE16032E">
      <w:start w:val="1"/>
      <w:numFmt w:val="decimal"/>
      <w:lvlText w:val="%4."/>
      <w:lvlJc w:val="left"/>
      <w:pPr>
        <w:ind w:left="2880" w:hanging="360"/>
      </w:pPr>
    </w:lvl>
    <w:lvl w:ilvl="4" w:tplc="35B0FC36">
      <w:start w:val="1"/>
      <w:numFmt w:val="lowerLetter"/>
      <w:lvlText w:val="%5."/>
      <w:lvlJc w:val="left"/>
      <w:pPr>
        <w:ind w:left="3600" w:hanging="360"/>
      </w:pPr>
    </w:lvl>
    <w:lvl w:ilvl="5" w:tplc="646A931E">
      <w:start w:val="1"/>
      <w:numFmt w:val="lowerRoman"/>
      <w:lvlText w:val="%6."/>
      <w:lvlJc w:val="right"/>
      <w:pPr>
        <w:ind w:left="4320" w:hanging="180"/>
      </w:pPr>
    </w:lvl>
    <w:lvl w:ilvl="6" w:tplc="82BE5246">
      <w:start w:val="1"/>
      <w:numFmt w:val="decimal"/>
      <w:lvlText w:val="%7."/>
      <w:lvlJc w:val="left"/>
      <w:pPr>
        <w:ind w:left="5040" w:hanging="360"/>
      </w:pPr>
    </w:lvl>
    <w:lvl w:ilvl="7" w:tplc="BB845096">
      <w:start w:val="1"/>
      <w:numFmt w:val="lowerLetter"/>
      <w:lvlText w:val="%8."/>
      <w:lvlJc w:val="left"/>
      <w:pPr>
        <w:ind w:left="5760" w:hanging="360"/>
      </w:pPr>
    </w:lvl>
    <w:lvl w:ilvl="8" w:tplc="1CCE5C6A">
      <w:start w:val="1"/>
      <w:numFmt w:val="lowerRoman"/>
      <w:lvlText w:val="%9."/>
      <w:lvlJc w:val="right"/>
      <w:pPr>
        <w:ind w:left="6480" w:hanging="180"/>
      </w:pPr>
    </w:lvl>
  </w:abstractNum>
  <w:abstractNum w:abstractNumId="10" w15:restartNumberingAfterBreak="0">
    <w:nsid w:val="4EA676FA"/>
    <w:multiLevelType w:val="multilevel"/>
    <w:tmpl w:val="0FDEF714"/>
    <w:lvl w:ilvl="0">
      <w:start w:val="1"/>
      <w:numFmt w:val="decimal"/>
      <w:lvlText w:val="%1."/>
      <w:lvlJc w:val="left"/>
      <w:pPr>
        <w:ind w:left="720" w:hanging="360"/>
      </w:pPr>
      <w:rPr>
        <w:rFonts w:hint="default"/>
      </w:rPr>
    </w:lvl>
    <w:lvl w:ilvl="1">
      <w:start w:val="1"/>
      <w:numFmt w:val="decimal"/>
      <w:isLgl/>
      <w:lvlText w:val="%1.%2."/>
      <w:lvlJc w:val="left"/>
      <w:pPr>
        <w:ind w:left="3478" w:hanging="360"/>
      </w:pPr>
      <w:rPr>
        <w:rFonts w:hint="default"/>
      </w:rPr>
    </w:lvl>
    <w:lvl w:ilvl="2">
      <w:start w:val="1"/>
      <w:numFmt w:val="decimal"/>
      <w:isLgl/>
      <w:lvlText w:val="%1.%2.%3."/>
      <w:lvlJc w:val="left"/>
      <w:pPr>
        <w:ind w:left="1800" w:hanging="720"/>
      </w:pPr>
      <w:rPr>
        <w:rFonts w:ascii="Times" w:hAnsi="Time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5869705E"/>
    <w:multiLevelType w:val="hybridMultilevel"/>
    <w:tmpl w:val="0F408BAA"/>
    <w:lvl w:ilvl="0" w:tplc="8934119C">
      <w:start w:val="1"/>
      <w:numFmt w:val="decimal"/>
      <w:lvlText w:val="%1."/>
      <w:lvlJc w:val="left"/>
      <w:pPr>
        <w:ind w:left="720" w:hanging="360"/>
      </w:pPr>
      <w:rPr>
        <w:rFonts w:hint="default"/>
      </w:rPr>
    </w:lvl>
    <w:lvl w:ilvl="1" w:tplc="CD828914">
      <w:start w:val="1"/>
      <w:numFmt w:val="lowerLetter"/>
      <w:lvlText w:val="%2."/>
      <w:lvlJc w:val="left"/>
      <w:pPr>
        <w:ind w:left="1440" w:hanging="360"/>
      </w:pPr>
    </w:lvl>
    <w:lvl w:ilvl="2" w:tplc="5B80C4A6">
      <w:start w:val="1"/>
      <w:numFmt w:val="lowerRoman"/>
      <w:lvlText w:val="%3."/>
      <w:lvlJc w:val="right"/>
      <w:pPr>
        <w:ind w:left="2160" w:hanging="180"/>
      </w:pPr>
    </w:lvl>
    <w:lvl w:ilvl="3" w:tplc="C648690E">
      <w:start w:val="1"/>
      <w:numFmt w:val="decimal"/>
      <w:lvlText w:val="%4."/>
      <w:lvlJc w:val="left"/>
      <w:pPr>
        <w:ind w:left="2880" w:hanging="360"/>
      </w:pPr>
    </w:lvl>
    <w:lvl w:ilvl="4" w:tplc="DB444A2A">
      <w:start w:val="1"/>
      <w:numFmt w:val="lowerLetter"/>
      <w:lvlText w:val="%5."/>
      <w:lvlJc w:val="left"/>
      <w:pPr>
        <w:ind w:left="3600" w:hanging="360"/>
      </w:pPr>
    </w:lvl>
    <w:lvl w:ilvl="5" w:tplc="8E281F3E">
      <w:start w:val="1"/>
      <w:numFmt w:val="lowerRoman"/>
      <w:lvlText w:val="%6."/>
      <w:lvlJc w:val="right"/>
      <w:pPr>
        <w:ind w:left="4320" w:hanging="180"/>
      </w:pPr>
    </w:lvl>
    <w:lvl w:ilvl="6" w:tplc="0D0E1FB8">
      <w:start w:val="1"/>
      <w:numFmt w:val="decimal"/>
      <w:lvlText w:val="%7."/>
      <w:lvlJc w:val="left"/>
      <w:pPr>
        <w:ind w:left="5040" w:hanging="360"/>
      </w:pPr>
    </w:lvl>
    <w:lvl w:ilvl="7" w:tplc="2EBC527E">
      <w:start w:val="1"/>
      <w:numFmt w:val="lowerLetter"/>
      <w:lvlText w:val="%8."/>
      <w:lvlJc w:val="left"/>
      <w:pPr>
        <w:ind w:left="5760" w:hanging="360"/>
      </w:pPr>
    </w:lvl>
    <w:lvl w:ilvl="8" w:tplc="3DD8DD9E">
      <w:start w:val="1"/>
      <w:numFmt w:val="lowerRoman"/>
      <w:lvlText w:val="%9."/>
      <w:lvlJc w:val="right"/>
      <w:pPr>
        <w:ind w:left="6480" w:hanging="180"/>
      </w:pPr>
    </w:lvl>
  </w:abstractNum>
  <w:abstractNum w:abstractNumId="12" w15:restartNumberingAfterBreak="0">
    <w:nsid w:val="5A106495"/>
    <w:multiLevelType w:val="multilevel"/>
    <w:tmpl w:val="0FDEF714"/>
    <w:lvl w:ilvl="0">
      <w:start w:val="1"/>
      <w:numFmt w:val="decimal"/>
      <w:lvlText w:val="%1."/>
      <w:lvlJc w:val="left"/>
      <w:pPr>
        <w:ind w:left="720" w:hanging="360"/>
      </w:pPr>
      <w:rPr>
        <w:rFonts w:hint="default"/>
      </w:rPr>
    </w:lvl>
    <w:lvl w:ilvl="1">
      <w:start w:val="1"/>
      <w:numFmt w:val="decimal"/>
      <w:isLgl/>
      <w:lvlText w:val="%1.%2."/>
      <w:lvlJc w:val="left"/>
      <w:pPr>
        <w:ind w:left="3478" w:hanging="360"/>
      </w:pPr>
      <w:rPr>
        <w:rFonts w:hint="default"/>
      </w:rPr>
    </w:lvl>
    <w:lvl w:ilvl="2">
      <w:start w:val="1"/>
      <w:numFmt w:val="decimal"/>
      <w:isLgl/>
      <w:lvlText w:val="%1.%2.%3."/>
      <w:lvlJc w:val="left"/>
      <w:pPr>
        <w:ind w:left="1800" w:hanging="720"/>
      </w:pPr>
      <w:rPr>
        <w:rFonts w:ascii="Times" w:hAnsi="Time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612226B0"/>
    <w:multiLevelType w:val="hybridMultilevel"/>
    <w:tmpl w:val="74928176"/>
    <w:lvl w:ilvl="0" w:tplc="7F100B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D40D5B"/>
    <w:multiLevelType w:val="hybridMultilevel"/>
    <w:tmpl w:val="33C2020E"/>
    <w:lvl w:ilvl="0" w:tplc="441A265E">
      <w:start w:val="1"/>
      <w:numFmt w:val="decimal"/>
      <w:lvlText w:val="%1."/>
      <w:lvlJc w:val="left"/>
      <w:pPr>
        <w:ind w:left="786" w:hanging="360"/>
      </w:pPr>
      <w:rPr>
        <w:rFonts w:hint="default"/>
      </w:rPr>
    </w:lvl>
    <w:lvl w:ilvl="1" w:tplc="6B1C9BE0">
      <w:start w:val="1"/>
      <w:numFmt w:val="lowerLetter"/>
      <w:lvlText w:val="%2."/>
      <w:lvlJc w:val="left"/>
      <w:pPr>
        <w:ind w:left="1506" w:hanging="360"/>
      </w:pPr>
    </w:lvl>
    <w:lvl w:ilvl="2" w:tplc="575A6D76">
      <w:start w:val="1"/>
      <w:numFmt w:val="lowerRoman"/>
      <w:lvlText w:val="%3."/>
      <w:lvlJc w:val="right"/>
      <w:pPr>
        <w:ind w:left="2226" w:hanging="180"/>
      </w:pPr>
    </w:lvl>
    <w:lvl w:ilvl="3" w:tplc="D326EDD8">
      <w:start w:val="1"/>
      <w:numFmt w:val="decimal"/>
      <w:lvlText w:val="%4."/>
      <w:lvlJc w:val="left"/>
      <w:pPr>
        <w:ind w:left="2946" w:hanging="360"/>
      </w:pPr>
    </w:lvl>
    <w:lvl w:ilvl="4" w:tplc="266A0168">
      <w:start w:val="1"/>
      <w:numFmt w:val="lowerLetter"/>
      <w:lvlText w:val="%5."/>
      <w:lvlJc w:val="left"/>
      <w:pPr>
        <w:ind w:left="3666" w:hanging="360"/>
      </w:pPr>
    </w:lvl>
    <w:lvl w:ilvl="5" w:tplc="5DC6E542">
      <w:start w:val="1"/>
      <w:numFmt w:val="lowerRoman"/>
      <w:lvlText w:val="%6."/>
      <w:lvlJc w:val="right"/>
      <w:pPr>
        <w:ind w:left="4386" w:hanging="180"/>
      </w:pPr>
    </w:lvl>
    <w:lvl w:ilvl="6" w:tplc="B984AC48">
      <w:start w:val="1"/>
      <w:numFmt w:val="decimal"/>
      <w:lvlText w:val="%7."/>
      <w:lvlJc w:val="left"/>
      <w:pPr>
        <w:ind w:left="5106" w:hanging="360"/>
      </w:pPr>
    </w:lvl>
    <w:lvl w:ilvl="7" w:tplc="E7EE389A">
      <w:start w:val="1"/>
      <w:numFmt w:val="lowerLetter"/>
      <w:lvlText w:val="%8."/>
      <w:lvlJc w:val="left"/>
      <w:pPr>
        <w:ind w:left="5826" w:hanging="360"/>
      </w:pPr>
    </w:lvl>
    <w:lvl w:ilvl="8" w:tplc="D16A5888">
      <w:start w:val="1"/>
      <w:numFmt w:val="lowerRoman"/>
      <w:lvlText w:val="%9."/>
      <w:lvlJc w:val="right"/>
      <w:pPr>
        <w:ind w:left="6546" w:hanging="180"/>
      </w:pPr>
    </w:lvl>
  </w:abstractNum>
  <w:abstractNum w:abstractNumId="15" w15:restartNumberingAfterBreak="0">
    <w:nsid w:val="6F1B1BA6"/>
    <w:multiLevelType w:val="hybridMultilevel"/>
    <w:tmpl w:val="378EC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397FE7"/>
    <w:multiLevelType w:val="multilevel"/>
    <w:tmpl w:val="0FDEF714"/>
    <w:lvl w:ilvl="0">
      <w:start w:val="1"/>
      <w:numFmt w:val="decimal"/>
      <w:lvlText w:val="%1."/>
      <w:lvlJc w:val="left"/>
      <w:pPr>
        <w:ind w:left="720" w:hanging="360"/>
      </w:pPr>
      <w:rPr>
        <w:rFonts w:hint="default"/>
      </w:rPr>
    </w:lvl>
    <w:lvl w:ilvl="1">
      <w:start w:val="1"/>
      <w:numFmt w:val="decimal"/>
      <w:isLgl/>
      <w:lvlText w:val="%1.%2."/>
      <w:lvlJc w:val="left"/>
      <w:pPr>
        <w:ind w:left="3478" w:hanging="360"/>
      </w:pPr>
      <w:rPr>
        <w:rFonts w:hint="default"/>
      </w:rPr>
    </w:lvl>
    <w:lvl w:ilvl="2">
      <w:start w:val="1"/>
      <w:numFmt w:val="decimal"/>
      <w:isLgl/>
      <w:lvlText w:val="%1.%2.%3."/>
      <w:lvlJc w:val="left"/>
      <w:pPr>
        <w:ind w:left="1800" w:hanging="720"/>
      </w:pPr>
      <w:rPr>
        <w:rFonts w:ascii="Times" w:hAnsi="Time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72D655F7"/>
    <w:multiLevelType w:val="hybridMultilevel"/>
    <w:tmpl w:val="53706A5C"/>
    <w:lvl w:ilvl="0" w:tplc="560EC586">
      <w:start w:val="1"/>
      <w:numFmt w:val="decimal"/>
      <w:lvlText w:val="(%1)"/>
      <w:lvlJc w:val="left"/>
      <w:pPr>
        <w:ind w:left="720" w:hanging="360"/>
      </w:pPr>
      <w:rPr>
        <w:rFonts w:ascii="Arial" w:hAnsi="Arial" w:cs="Arial"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867FC8"/>
    <w:multiLevelType w:val="hybridMultilevel"/>
    <w:tmpl w:val="DA4AD6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6F84802"/>
    <w:multiLevelType w:val="hybridMultilevel"/>
    <w:tmpl w:val="996657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2882387">
    <w:abstractNumId w:val="16"/>
  </w:num>
  <w:num w:numId="2" w16cid:durableId="596987054">
    <w:abstractNumId w:val="0"/>
  </w:num>
  <w:num w:numId="3" w16cid:durableId="36009688">
    <w:abstractNumId w:val="11"/>
  </w:num>
  <w:num w:numId="4" w16cid:durableId="1360273768">
    <w:abstractNumId w:val="14"/>
  </w:num>
  <w:num w:numId="5" w16cid:durableId="1434090380">
    <w:abstractNumId w:val="8"/>
  </w:num>
  <w:num w:numId="6" w16cid:durableId="389960444">
    <w:abstractNumId w:val="9"/>
  </w:num>
  <w:num w:numId="7" w16cid:durableId="1602952523">
    <w:abstractNumId w:val="3"/>
  </w:num>
  <w:num w:numId="8" w16cid:durableId="1461269821">
    <w:abstractNumId w:val="15"/>
  </w:num>
  <w:num w:numId="9" w16cid:durableId="773984128">
    <w:abstractNumId w:val="19"/>
  </w:num>
  <w:num w:numId="10" w16cid:durableId="822280538">
    <w:abstractNumId w:val="10"/>
  </w:num>
  <w:num w:numId="11" w16cid:durableId="1752700648">
    <w:abstractNumId w:val="12"/>
  </w:num>
  <w:num w:numId="12" w16cid:durableId="1447315745">
    <w:abstractNumId w:val="6"/>
  </w:num>
  <w:num w:numId="13" w16cid:durableId="1343166690">
    <w:abstractNumId w:val="1"/>
  </w:num>
  <w:num w:numId="14" w16cid:durableId="701173304">
    <w:abstractNumId w:val="7"/>
  </w:num>
  <w:num w:numId="15" w16cid:durableId="1082065481">
    <w:abstractNumId w:val="4"/>
  </w:num>
  <w:num w:numId="16" w16cid:durableId="1241061155">
    <w:abstractNumId w:val="2"/>
  </w:num>
  <w:num w:numId="17" w16cid:durableId="1833905599">
    <w:abstractNumId w:val="17"/>
  </w:num>
  <w:num w:numId="18" w16cid:durableId="637419455">
    <w:abstractNumId w:val="13"/>
  </w:num>
  <w:num w:numId="19" w16cid:durableId="47462238">
    <w:abstractNumId w:val="18"/>
  </w:num>
  <w:num w:numId="20" w16cid:durableId="212541586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Utilisateur Microsoft Office">
    <w15:presenceInfo w15:providerId="None" w15:userId="Utilisateur Microsoft Office"/>
  </w15:person>
</w15:people>
</file>

<file path=word/peopleDocument.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Gilles Marcou">
    <w15:presenceInfo w15:providerId="Teamlab" w15:userId="g.marcou@unistra.fr"/>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fullPage" w:percent="95"/>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CA1"/>
    <w:rsid w:val="00000372"/>
    <w:rsid w:val="0000087E"/>
    <w:rsid w:val="00000B1C"/>
    <w:rsid w:val="000013CF"/>
    <w:rsid w:val="00001BAE"/>
    <w:rsid w:val="00001FB3"/>
    <w:rsid w:val="00002329"/>
    <w:rsid w:val="0000271E"/>
    <w:rsid w:val="00002F82"/>
    <w:rsid w:val="00002FE2"/>
    <w:rsid w:val="00004532"/>
    <w:rsid w:val="00006303"/>
    <w:rsid w:val="00007861"/>
    <w:rsid w:val="00011C2E"/>
    <w:rsid w:val="00013A4F"/>
    <w:rsid w:val="00014AEB"/>
    <w:rsid w:val="00014C32"/>
    <w:rsid w:val="00022D4F"/>
    <w:rsid w:val="00024DFC"/>
    <w:rsid w:val="00025BC5"/>
    <w:rsid w:val="00027228"/>
    <w:rsid w:val="00030A50"/>
    <w:rsid w:val="00030AAB"/>
    <w:rsid w:val="00037019"/>
    <w:rsid w:val="0003755E"/>
    <w:rsid w:val="00041ACC"/>
    <w:rsid w:val="000420C6"/>
    <w:rsid w:val="00043B24"/>
    <w:rsid w:val="00050AFA"/>
    <w:rsid w:val="00051493"/>
    <w:rsid w:val="000532BC"/>
    <w:rsid w:val="000616DA"/>
    <w:rsid w:val="00062F21"/>
    <w:rsid w:val="00063C32"/>
    <w:rsid w:val="00064A1E"/>
    <w:rsid w:val="00065B96"/>
    <w:rsid w:val="00076F28"/>
    <w:rsid w:val="00077CE4"/>
    <w:rsid w:val="00082292"/>
    <w:rsid w:val="00083A1F"/>
    <w:rsid w:val="000854B3"/>
    <w:rsid w:val="000905F6"/>
    <w:rsid w:val="000906D5"/>
    <w:rsid w:val="00091F6C"/>
    <w:rsid w:val="000925A3"/>
    <w:rsid w:val="0009346C"/>
    <w:rsid w:val="00094C64"/>
    <w:rsid w:val="000A0483"/>
    <w:rsid w:val="000A1570"/>
    <w:rsid w:val="000A3E5C"/>
    <w:rsid w:val="000A4770"/>
    <w:rsid w:val="000A7F05"/>
    <w:rsid w:val="000B4948"/>
    <w:rsid w:val="000B4AB0"/>
    <w:rsid w:val="000B56A2"/>
    <w:rsid w:val="000B6353"/>
    <w:rsid w:val="000B7B1B"/>
    <w:rsid w:val="000C07C9"/>
    <w:rsid w:val="000C24E6"/>
    <w:rsid w:val="000C3BD0"/>
    <w:rsid w:val="000C3FDC"/>
    <w:rsid w:val="000C479E"/>
    <w:rsid w:val="000C6558"/>
    <w:rsid w:val="000C728A"/>
    <w:rsid w:val="000D20E1"/>
    <w:rsid w:val="000D3E6D"/>
    <w:rsid w:val="000D60AE"/>
    <w:rsid w:val="000E0F72"/>
    <w:rsid w:val="000E346A"/>
    <w:rsid w:val="000E5280"/>
    <w:rsid w:val="000F471E"/>
    <w:rsid w:val="000F5114"/>
    <w:rsid w:val="000F6444"/>
    <w:rsid w:val="000F69BE"/>
    <w:rsid w:val="000F7F99"/>
    <w:rsid w:val="00100244"/>
    <w:rsid w:val="00102626"/>
    <w:rsid w:val="001108AB"/>
    <w:rsid w:val="00111184"/>
    <w:rsid w:val="00116580"/>
    <w:rsid w:val="00116C58"/>
    <w:rsid w:val="001179DA"/>
    <w:rsid w:val="001239F0"/>
    <w:rsid w:val="00124436"/>
    <w:rsid w:val="001264EB"/>
    <w:rsid w:val="001271D9"/>
    <w:rsid w:val="0013032D"/>
    <w:rsid w:val="00131A52"/>
    <w:rsid w:val="0013248F"/>
    <w:rsid w:val="00134224"/>
    <w:rsid w:val="00137D86"/>
    <w:rsid w:val="00137EE9"/>
    <w:rsid w:val="0014241C"/>
    <w:rsid w:val="001427C2"/>
    <w:rsid w:val="00142F4B"/>
    <w:rsid w:val="00143BF0"/>
    <w:rsid w:val="00147CD1"/>
    <w:rsid w:val="00152C45"/>
    <w:rsid w:val="00152D3A"/>
    <w:rsid w:val="00161E5B"/>
    <w:rsid w:val="00164838"/>
    <w:rsid w:val="0017002E"/>
    <w:rsid w:val="00170A0E"/>
    <w:rsid w:val="001710AB"/>
    <w:rsid w:val="001743D3"/>
    <w:rsid w:val="00176B02"/>
    <w:rsid w:val="00181BA5"/>
    <w:rsid w:val="00181D4D"/>
    <w:rsid w:val="00186724"/>
    <w:rsid w:val="00187BBF"/>
    <w:rsid w:val="00193A0F"/>
    <w:rsid w:val="00195A0E"/>
    <w:rsid w:val="00197743"/>
    <w:rsid w:val="001A2551"/>
    <w:rsid w:val="001A3266"/>
    <w:rsid w:val="001A4756"/>
    <w:rsid w:val="001B011D"/>
    <w:rsid w:val="001B23C8"/>
    <w:rsid w:val="001B6192"/>
    <w:rsid w:val="001B71B6"/>
    <w:rsid w:val="001B7E7C"/>
    <w:rsid w:val="001C0FEA"/>
    <w:rsid w:val="001C2227"/>
    <w:rsid w:val="001C3A80"/>
    <w:rsid w:val="001C432A"/>
    <w:rsid w:val="001C5D75"/>
    <w:rsid w:val="001C60BD"/>
    <w:rsid w:val="001C79BE"/>
    <w:rsid w:val="001D5125"/>
    <w:rsid w:val="001D5666"/>
    <w:rsid w:val="001D75BB"/>
    <w:rsid w:val="001E31B7"/>
    <w:rsid w:val="001E5E31"/>
    <w:rsid w:val="001F649A"/>
    <w:rsid w:val="001F7B74"/>
    <w:rsid w:val="00202975"/>
    <w:rsid w:val="002064D3"/>
    <w:rsid w:val="002102C1"/>
    <w:rsid w:val="00210B31"/>
    <w:rsid w:val="00210BB4"/>
    <w:rsid w:val="002115E1"/>
    <w:rsid w:val="002138C2"/>
    <w:rsid w:val="00213CFD"/>
    <w:rsid w:val="00221917"/>
    <w:rsid w:val="00221E46"/>
    <w:rsid w:val="002232E4"/>
    <w:rsid w:val="00224D59"/>
    <w:rsid w:val="00225C55"/>
    <w:rsid w:val="00225E47"/>
    <w:rsid w:val="0022607D"/>
    <w:rsid w:val="00230042"/>
    <w:rsid w:val="00232971"/>
    <w:rsid w:val="00232A42"/>
    <w:rsid w:val="00246403"/>
    <w:rsid w:val="00246888"/>
    <w:rsid w:val="0025094A"/>
    <w:rsid w:val="00250B58"/>
    <w:rsid w:val="002519AF"/>
    <w:rsid w:val="002522B0"/>
    <w:rsid w:val="00257B91"/>
    <w:rsid w:val="00262179"/>
    <w:rsid w:val="00262FC6"/>
    <w:rsid w:val="00263A97"/>
    <w:rsid w:val="00267C29"/>
    <w:rsid w:val="00271E53"/>
    <w:rsid w:val="00272929"/>
    <w:rsid w:val="00272DA0"/>
    <w:rsid w:val="00273C31"/>
    <w:rsid w:val="00273E51"/>
    <w:rsid w:val="00276632"/>
    <w:rsid w:val="00281EE8"/>
    <w:rsid w:val="00284ED7"/>
    <w:rsid w:val="00286E50"/>
    <w:rsid w:val="00292547"/>
    <w:rsid w:val="002927B8"/>
    <w:rsid w:val="00292FCC"/>
    <w:rsid w:val="00293017"/>
    <w:rsid w:val="00293934"/>
    <w:rsid w:val="00293BFB"/>
    <w:rsid w:val="00295ECC"/>
    <w:rsid w:val="00296407"/>
    <w:rsid w:val="00297AFF"/>
    <w:rsid w:val="002A1D26"/>
    <w:rsid w:val="002A20FF"/>
    <w:rsid w:val="002A3148"/>
    <w:rsid w:val="002A3CEE"/>
    <w:rsid w:val="002A4B3D"/>
    <w:rsid w:val="002A4F91"/>
    <w:rsid w:val="002A7F22"/>
    <w:rsid w:val="002B01A7"/>
    <w:rsid w:val="002B3576"/>
    <w:rsid w:val="002B3D29"/>
    <w:rsid w:val="002B4ECA"/>
    <w:rsid w:val="002B7929"/>
    <w:rsid w:val="002B7F94"/>
    <w:rsid w:val="002C128C"/>
    <w:rsid w:val="002C1AC1"/>
    <w:rsid w:val="002C5A73"/>
    <w:rsid w:val="002C6A88"/>
    <w:rsid w:val="002C7212"/>
    <w:rsid w:val="002D3F36"/>
    <w:rsid w:val="002D4F42"/>
    <w:rsid w:val="002D7A97"/>
    <w:rsid w:val="002E0CE2"/>
    <w:rsid w:val="002E4B0D"/>
    <w:rsid w:val="002E5BAA"/>
    <w:rsid w:val="002E75CF"/>
    <w:rsid w:val="002F0DCB"/>
    <w:rsid w:val="002F3324"/>
    <w:rsid w:val="002F66EE"/>
    <w:rsid w:val="002F772F"/>
    <w:rsid w:val="0030079A"/>
    <w:rsid w:val="003069D0"/>
    <w:rsid w:val="00306D02"/>
    <w:rsid w:val="00307B0B"/>
    <w:rsid w:val="00311322"/>
    <w:rsid w:val="00311B7C"/>
    <w:rsid w:val="0031272A"/>
    <w:rsid w:val="00314A7B"/>
    <w:rsid w:val="00314AA0"/>
    <w:rsid w:val="00315146"/>
    <w:rsid w:val="0031649B"/>
    <w:rsid w:val="00321093"/>
    <w:rsid w:val="003214F5"/>
    <w:rsid w:val="00322073"/>
    <w:rsid w:val="00322F87"/>
    <w:rsid w:val="00324592"/>
    <w:rsid w:val="003266AA"/>
    <w:rsid w:val="00327748"/>
    <w:rsid w:val="00327D86"/>
    <w:rsid w:val="0033160E"/>
    <w:rsid w:val="00333413"/>
    <w:rsid w:val="003372AE"/>
    <w:rsid w:val="00337B07"/>
    <w:rsid w:val="00337E67"/>
    <w:rsid w:val="003424DC"/>
    <w:rsid w:val="003466EB"/>
    <w:rsid w:val="00346FEA"/>
    <w:rsid w:val="00350375"/>
    <w:rsid w:val="003525E6"/>
    <w:rsid w:val="00352684"/>
    <w:rsid w:val="00357D66"/>
    <w:rsid w:val="00361C3D"/>
    <w:rsid w:val="00361FD1"/>
    <w:rsid w:val="00363159"/>
    <w:rsid w:val="003675DF"/>
    <w:rsid w:val="003732C5"/>
    <w:rsid w:val="003747F3"/>
    <w:rsid w:val="0037527B"/>
    <w:rsid w:val="00376F29"/>
    <w:rsid w:val="00381B93"/>
    <w:rsid w:val="00382B19"/>
    <w:rsid w:val="00386EDD"/>
    <w:rsid w:val="003913D7"/>
    <w:rsid w:val="00394142"/>
    <w:rsid w:val="0039426D"/>
    <w:rsid w:val="00397F59"/>
    <w:rsid w:val="003A1903"/>
    <w:rsid w:val="003A37EC"/>
    <w:rsid w:val="003A56CC"/>
    <w:rsid w:val="003A6FAB"/>
    <w:rsid w:val="003B0AE9"/>
    <w:rsid w:val="003B28F8"/>
    <w:rsid w:val="003B4451"/>
    <w:rsid w:val="003B5809"/>
    <w:rsid w:val="003B62E9"/>
    <w:rsid w:val="003B7FAB"/>
    <w:rsid w:val="003C072D"/>
    <w:rsid w:val="003C4ACB"/>
    <w:rsid w:val="003C7326"/>
    <w:rsid w:val="003E33EE"/>
    <w:rsid w:val="003E5ED5"/>
    <w:rsid w:val="003F17F1"/>
    <w:rsid w:val="003F1847"/>
    <w:rsid w:val="003F339E"/>
    <w:rsid w:val="003F3B06"/>
    <w:rsid w:val="003F60F3"/>
    <w:rsid w:val="003F7BFC"/>
    <w:rsid w:val="00401B0E"/>
    <w:rsid w:val="00403A15"/>
    <w:rsid w:val="00403E0A"/>
    <w:rsid w:val="004040AB"/>
    <w:rsid w:val="004041E7"/>
    <w:rsid w:val="00405204"/>
    <w:rsid w:val="00405684"/>
    <w:rsid w:val="0041185A"/>
    <w:rsid w:val="00411C7D"/>
    <w:rsid w:val="00412DC4"/>
    <w:rsid w:val="00412E12"/>
    <w:rsid w:val="004155AF"/>
    <w:rsid w:val="004167A1"/>
    <w:rsid w:val="004178E9"/>
    <w:rsid w:val="00420F8D"/>
    <w:rsid w:val="004271A7"/>
    <w:rsid w:val="00427D96"/>
    <w:rsid w:val="00430113"/>
    <w:rsid w:val="004308D1"/>
    <w:rsid w:val="00432122"/>
    <w:rsid w:val="0044302F"/>
    <w:rsid w:val="004522AE"/>
    <w:rsid w:val="00454D32"/>
    <w:rsid w:val="00460A6B"/>
    <w:rsid w:val="00471113"/>
    <w:rsid w:val="00472EA6"/>
    <w:rsid w:val="00474A04"/>
    <w:rsid w:val="004772EA"/>
    <w:rsid w:val="00477537"/>
    <w:rsid w:val="004775E5"/>
    <w:rsid w:val="004806C0"/>
    <w:rsid w:val="00486CDD"/>
    <w:rsid w:val="00487400"/>
    <w:rsid w:val="00490240"/>
    <w:rsid w:val="004907C5"/>
    <w:rsid w:val="00491E7C"/>
    <w:rsid w:val="004920BA"/>
    <w:rsid w:val="004936F5"/>
    <w:rsid w:val="0049621C"/>
    <w:rsid w:val="004A19FF"/>
    <w:rsid w:val="004A3725"/>
    <w:rsid w:val="004A441E"/>
    <w:rsid w:val="004A4D35"/>
    <w:rsid w:val="004B08FF"/>
    <w:rsid w:val="004B15DD"/>
    <w:rsid w:val="004B20E1"/>
    <w:rsid w:val="004B21B4"/>
    <w:rsid w:val="004B6508"/>
    <w:rsid w:val="004B6ECB"/>
    <w:rsid w:val="004C60AB"/>
    <w:rsid w:val="004C60E2"/>
    <w:rsid w:val="004C7347"/>
    <w:rsid w:val="004D0E0B"/>
    <w:rsid w:val="004D11F1"/>
    <w:rsid w:val="004D4CD0"/>
    <w:rsid w:val="004D5478"/>
    <w:rsid w:val="004D598F"/>
    <w:rsid w:val="004E0A9C"/>
    <w:rsid w:val="004E714D"/>
    <w:rsid w:val="004F03B3"/>
    <w:rsid w:val="004F75AA"/>
    <w:rsid w:val="004F7BAA"/>
    <w:rsid w:val="00502DAB"/>
    <w:rsid w:val="00502EB5"/>
    <w:rsid w:val="005065B6"/>
    <w:rsid w:val="00506F40"/>
    <w:rsid w:val="00514D3A"/>
    <w:rsid w:val="005152F8"/>
    <w:rsid w:val="00515493"/>
    <w:rsid w:val="0052456D"/>
    <w:rsid w:val="00532E6E"/>
    <w:rsid w:val="00533363"/>
    <w:rsid w:val="00534342"/>
    <w:rsid w:val="00542FEC"/>
    <w:rsid w:val="005469F7"/>
    <w:rsid w:val="005511D4"/>
    <w:rsid w:val="00551258"/>
    <w:rsid w:val="00551BD5"/>
    <w:rsid w:val="005538A0"/>
    <w:rsid w:val="00554DB1"/>
    <w:rsid w:val="0055792E"/>
    <w:rsid w:val="005626B9"/>
    <w:rsid w:val="00566C5F"/>
    <w:rsid w:val="00571231"/>
    <w:rsid w:val="00572429"/>
    <w:rsid w:val="00573937"/>
    <w:rsid w:val="005753CB"/>
    <w:rsid w:val="00575ACB"/>
    <w:rsid w:val="00576691"/>
    <w:rsid w:val="005766B4"/>
    <w:rsid w:val="00580791"/>
    <w:rsid w:val="005845FF"/>
    <w:rsid w:val="00586245"/>
    <w:rsid w:val="005935A2"/>
    <w:rsid w:val="00593B38"/>
    <w:rsid w:val="00595185"/>
    <w:rsid w:val="005972BB"/>
    <w:rsid w:val="005A1879"/>
    <w:rsid w:val="005A1A38"/>
    <w:rsid w:val="005A2135"/>
    <w:rsid w:val="005A5ABF"/>
    <w:rsid w:val="005A6744"/>
    <w:rsid w:val="005A67B9"/>
    <w:rsid w:val="005B1D7A"/>
    <w:rsid w:val="005B2F11"/>
    <w:rsid w:val="005B4B2C"/>
    <w:rsid w:val="005B5D5A"/>
    <w:rsid w:val="005B6A5F"/>
    <w:rsid w:val="005B6BA5"/>
    <w:rsid w:val="005C0850"/>
    <w:rsid w:val="005C28E4"/>
    <w:rsid w:val="005C3206"/>
    <w:rsid w:val="005C4615"/>
    <w:rsid w:val="005C5C91"/>
    <w:rsid w:val="005C75A4"/>
    <w:rsid w:val="005D49C8"/>
    <w:rsid w:val="005D6B11"/>
    <w:rsid w:val="005D6D1B"/>
    <w:rsid w:val="005F36FB"/>
    <w:rsid w:val="005F65A4"/>
    <w:rsid w:val="00600E35"/>
    <w:rsid w:val="0060288D"/>
    <w:rsid w:val="00602BD7"/>
    <w:rsid w:val="00602D2F"/>
    <w:rsid w:val="00603CBC"/>
    <w:rsid w:val="00604E11"/>
    <w:rsid w:val="00607922"/>
    <w:rsid w:val="00612F5E"/>
    <w:rsid w:val="0061609A"/>
    <w:rsid w:val="00617B8D"/>
    <w:rsid w:val="00622AC3"/>
    <w:rsid w:val="006261AC"/>
    <w:rsid w:val="00626AD1"/>
    <w:rsid w:val="00635520"/>
    <w:rsid w:val="00635B0E"/>
    <w:rsid w:val="00636D78"/>
    <w:rsid w:val="00641556"/>
    <w:rsid w:val="006434CF"/>
    <w:rsid w:val="006513A4"/>
    <w:rsid w:val="00653148"/>
    <w:rsid w:val="00654764"/>
    <w:rsid w:val="0066077B"/>
    <w:rsid w:val="00662FD2"/>
    <w:rsid w:val="00665426"/>
    <w:rsid w:val="006660C3"/>
    <w:rsid w:val="0066678A"/>
    <w:rsid w:val="00675D12"/>
    <w:rsid w:val="00681C1D"/>
    <w:rsid w:val="00682753"/>
    <w:rsid w:val="00682943"/>
    <w:rsid w:val="006831F6"/>
    <w:rsid w:val="00691006"/>
    <w:rsid w:val="00693007"/>
    <w:rsid w:val="0069343A"/>
    <w:rsid w:val="006A3EAB"/>
    <w:rsid w:val="006A414D"/>
    <w:rsid w:val="006A478D"/>
    <w:rsid w:val="006A481B"/>
    <w:rsid w:val="006B1296"/>
    <w:rsid w:val="006B1583"/>
    <w:rsid w:val="006B348A"/>
    <w:rsid w:val="006B4396"/>
    <w:rsid w:val="006B5850"/>
    <w:rsid w:val="006C0283"/>
    <w:rsid w:val="006C0474"/>
    <w:rsid w:val="006C3099"/>
    <w:rsid w:val="006C5B2C"/>
    <w:rsid w:val="006C7E63"/>
    <w:rsid w:val="006D03E2"/>
    <w:rsid w:val="006D2F0C"/>
    <w:rsid w:val="006D4D83"/>
    <w:rsid w:val="006E1340"/>
    <w:rsid w:val="006E1FCE"/>
    <w:rsid w:val="006E2F67"/>
    <w:rsid w:val="006F3A13"/>
    <w:rsid w:val="00700E51"/>
    <w:rsid w:val="00703692"/>
    <w:rsid w:val="00707E56"/>
    <w:rsid w:val="007107BF"/>
    <w:rsid w:val="00712BEA"/>
    <w:rsid w:val="0071369F"/>
    <w:rsid w:val="00715389"/>
    <w:rsid w:val="00716DFC"/>
    <w:rsid w:val="00717ABF"/>
    <w:rsid w:val="007200D9"/>
    <w:rsid w:val="00720D47"/>
    <w:rsid w:val="007213A7"/>
    <w:rsid w:val="00721B6D"/>
    <w:rsid w:val="007223DD"/>
    <w:rsid w:val="00724521"/>
    <w:rsid w:val="00727B5E"/>
    <w:rsid w:val="0073039E"/>
    <w:rsid w:val="007324D5"/>
    <w:rsid w:val="007344AF"/>
    <w:rsid w:val="00737B22"/>
    <w:rsid w:val="00737C7C"/>
    <w:rsid w:val="00743FDE"/>
    <w:rsid w:val="00744F40"/>
    <w:rsid w:val="007454E5"/>
    <w:rsid w:val="007476AF"/>
    <w:rsid w:val="007510E7"/>
    <w:rsid w:val="0075144F"/>
    <w:rsid w:val="00752AA4"/>
    <w:rsid w:val="007550D6"/>
    <w:rsid w:val="007555AA"/>
    <w:rsid w:val="00756E05"/>
    <w:rsid w:val="0075758F"/>
    <w:rsid w:val="007644F2"/>
    <w:rsid w:val="0076607E"/>
    <w:rsid w:val="00767A75"/>
    <w:rsid w:val="00770801"/>
    <w:rsid w:val="007710EC"/>
    <w:rsid w:val="00773641"/>
    <w:rsid w:val="00781B69"/>
    <w:rsid w:val="00782370"/>
    <w:rsid w:val="00782E70"/>
    <w:rsid w:val="00784405"/>
    <w:rsid w:val="00784903"/>
    <w:rsid w:val="00793A34"/>
    <w:rsid w:val="0079619E"/>
    <w:rsid w:val="00797CE8"/>
    <w:rsid w:val="007A0A25"/>
    <w:rsid w:val="007A234D"/>
    <w:rsid w:val="007A3E0F"/>
    <w:rsid w:val="007B1F1C"/>
    <w:rsid w:val="007B3F4B"/>
    <w:rsid w:val="007C094D"/>
    <w:rsid w:val="007C0DE5"/>
    <w:rsid w:val="007C173B"/>
    <w:rsid w:val="007C5ED9"/>
    <w:rsid w:val="007C626F"/>
    <w:rsid w:val="007C7569"/>
    <w:rsid w:val="007C7D89"/>
    <w:rsid w:val="007D6F3C"/>
    <w:rsid w:val="007D750F"/>
    <w:rsid w:val="007E13AE"/>
    <w:rsid w:val="007E3A50"/>
    <w:rsid w:val="007E3CD5"/>
    <w:rsid w:val="007E4949"/>
    <w:rsid w:val="007F0309"/>
    <w:rsid w:val="007F0967"/>
    <w:rsid w:val="007F4752"/>
    <w:rsid w:val="008001EF"/>
    <w:rsid w:val="00800BAC"/>
    <w:rsid w:val="008067F4"/>
    <w:rsid w:val="00806D0B"/>
    <w:rsid w:val="00807047"/>
    <w:rsid w:val="0081343E"/>
    <w:rsid w:val="00815123"/>
    <w:rsid w:val="00826260"/>
    <w:rsid w:val="008348B6"/>
    <w:rsid w:val="00836BF1"/>
    <w:rsid w:val="00850BDB"/>
    <w:rsid w:val="00852099"/>
    <w:rsid w:val="008526D3"/>
    <w:rsid w:val="008529F4"/>
    <w:rsid w:val="008541CA"/>
    <w:rsid w:val="00854554"/>
    <w:rsid w:val="00855E35"/>
    <w:rsid w:val="00862756"/>
    <w:rsid w:val="008630E2"/>
    <w:rsid w:val="00875F29"/>
    <w:rsid w:val="008767F7"/>
    <w:rsid w:val="00891759"/>
    <w:rsid w:val="00893EEC"/>
    <w:rsid w:val="00895926"/>
    <w:rsid w:val="00897D97"/>
    <w:rsid w:val="008A131E"/>
    <w:rsid w:val="008A1457"/>
    <w:rsid w:val="008A2687"/>
    <w:rsid w:val="008A443F"/>
    <w:rsid w:val="008A4945"/>
    <w:rsid w:val="008A4B76"/>
    <w:rsid w:val="008A56E7"/>
    <w:rsid w:val="008A6D72"/>
    <w:rsid w:val="008A776F"/>
    <w:rsid w:val="008A78CA"/>
    <w:rsid w:val="008B38E9"/>
    <w:rsid w:val="008B3E97"/>
    <w:rsid w:val="008B4433"/>
    <w:rsid w:val="008B4FB4"/>
    <w:rsid w:val="008C00B4"/>
    <w:rsid w:val="008C3752"/>
    <w:rsid w:val="008D28CD"/>
    <w:rsid w:val="008D2B00"/>
    <w:rsid w:val="008D2C6D"/>
    <w:rsid w:val="008D31EE"/>
    <w:rsid w:val="008D5E64"/>
    <w:rsid w:val="008E052A"/>
    <w:rsid w:val="008E5B1E"/>
    <w:rsid w:val="008F01F0"/>
    <w:rsid w:val="008F12AA"/>
    <w:rsid w:val="008F194E"/>
    <w:rsid w:val="008F34A0"/>
    <w:rsid w:val="008F564D"/>
    <w:rsid w:val="008F5A0C"/>
    <w:rsid w:val="008F6A8F"/>
    <w:rsid w:val="00900DD4"/>
    <w:rsid w:val="00900F61"/>
    <w:rsid w:val="00903327"/>
    <w:rsid w:val="009102C3"/>
    <w:rsid w:val="00910D07"/>
    <w:rsid w:val="00910DBC"/>
    <w:rsid w:val="00912386"/>
    <w:rsid w:val="00912B82"/>
    <w:rsid w:val="009170B1"/>
    <w:rsid w:val="00922491"/>
    <w:rsid w:val="00934B4F"/>
    <w:rsid w:val="00935D04"/>
    <w:rsid w:val="00937ED3"/>
    <w:rsid w:val="00942A3D"/>
    <w:rsid w:val="0094645D"/>
    <w:rsid w:val="00947DD3"/>
    <w:rsid w:val="009509F4"/>
    <w:rsid w:val="00952B16"/>
    <w:rsid w:val="00953DFA"/>
    <w:rsid w:val="009559B1"/>
    <w:rsid w:val="00955F96"/>
    <w:rsid w:val="009603E4"/>
    <w:rsid w:val="00960605"/>
    <w:rsid w:val="0096174E"/>
    <w:rsid w:val="00964E29"/>
    <w:rsid w:val="00965077"/>
    <w:rsid w:val="0097164F"/>
    <w:rsid w:val="0097668D"/>
    <w:rsid w:val="00980F7A"/>
    <w:rsid w:val="0098185E"/>
    <w:rsid w:val="00982691"/>
    <w:rsid w:val="009837DC"/>
    <w:rsid w:val="00986267"/>
    <w:rsid w:val="00986C93"/>
    <w:rsid w:val="00994CBF"/>
    <w:rsid w:val="00994CF2"/>
    <w:rsid w:val="009A4334"/>
    <w:rsid w:val="009B4461"/>
    <w:rsid w:val="009B4B9E"/>
    <w:rsid w:val="009B53AB"/>
    <w:rsid w:val="009B5B44"/>
    <w:rsid w:val="009B79F9"/>
    <w:rsid w:val="009C152C"/>
    <w:rsid w:val="009C1AB8"/>
    <w:rsid w:val="009C4A6A"/>
    <w:rsid w:val="009D013B"/>
    <w:rsid w:val="009D088B"/>
    <w:rsid w:val="009D151D"/>
    <w:rsid w:val="009D5A15"/>
    <w:rsid w:val="009D63B4"/>
    <w:rsid w:val="009D66D0"/>
    <w:rsid w:val="009D7BCD"/>
    <w:rsid w:val="009D7FB5"/>
    <w:rsid w:val="009E0528"/>
    <w:rsid w:val="009E5B79"/>
    <w:rsid w:val="009E758D"/>
    <w:rsid w:val="009F0EFB"/>
    <w:rsid w:val="009F7771"/>
    <w:rsid w:val="00A00CDE"/>
    <w:rsid w:val="00A01272"/>
    <w:rsid w:val="00A017F9"/>
    <w:rsid w:val="00A0470B"/>
    <w:rsid w:val="00A10F21"/>
    <w:rsid w:val="00A11D30"/>
    <w:rsid w:val="00A11DB4"/>
    <w:rsid w:val="00A1782D"/>
    <w:rsid w:val="00A20C7C"/>
    <w:rsid w:val="00A21226"/>
    <w:rsid w:val="00A2220B"/>
    <w:rsid w:val="00A2401D"/>
    <w:rsid w:val="00A2689F"/>
    <w:rsid w:val="00A2700F"/>
    <w:rsid w:val="00A31A73"/>
    <w:rsid w:val="00A32126"/>
    <w:rsid w:val="00A3658A"/>
    <w:rsid w:val="00A36857"/>
    <w:rsid w:val="00A37D7C"/>
    <w:rsid w:val="00A46664"/>
    <w:rsid w:val="00A514E8"/>
    <w:rsid w:val="00A52A43"/>
    <w:rsid w:val="00A53B2F"/>
    <w:rsid w:val="00A548C1"/>
    <w:rsid w:val="00A5619F"/>
    <w:rsid w:val="00A576F8"/>
    <w:rsid w:val="00A61FA1"/>
    <w:rsid w:val="00A63281"/>
    <w:rsid w:val="00A6601D"/>
    <w:rsid w:val="00A70CC4"/>
    <w:rsid w:val="00A713D7"/>
    <w:rsid w:val="00A72813"/>
    <w:rsid w:val="00A72AFF"/>
    <w:rsid w:val="00A762DB"/>
    <w:rsid w:val="00A76701"/>
    <w:rsid w:val="00A8063C"/>
    <w:rsid w:val="00A8097D"/>
    <w:rsid w:val="00A82E18"/>
    <w:rsid w:val="00A84673"/>
    <w:rsid w:val="00A85B44"/>
    <w:rsid w:val="00A96136"/>
    <w:rsid w:val="00A97663"/>
    <w:rsid w:val="00A97959"/>
    <w:rsid w:val="00AA40CC"/>
    <w:rsid w:val="00AA539E"/>
    <w:rsid w:val="00AA6CD5"/>
    <w:rsid w:val="00AB12EE"/>
    <w:rsid w:val="00AB24C4"/>
    <w:rsid w:val="00AB4705"/>
    <w:rsid w:val="00AB6BB4"/>
    <w:rsid w:val="00AB6E6D"/>
    <w:rsid w:val="00AC2C37"/>
    <w:rsid w:val="00AC36AC"/>
    <w:rsid w:val="00AC51B4"/>
    <w:rsid w:val="00AD0F09"/>
    <w:rsid w:val="00AD2B93"/>
    <w:rsid w:val="00AD3895"/>
    <w:rsid w:val="00AD6366"/>
    <w:rsid w:val="00AD7703"/>
    <w:rsid w:val="00AE5F0E"/>
    <w:rsid w:val="00AE6C6B"/>
    <w:rsid w:val="00AF1438"/>
    <w:rsid w:val="00AF1462"/>
    <w:rsid w:val="00AF597D"/>
    <w:rsid w:val="00B0006E"/>
    <w:rsid w:val="00B0144B"/>
    <w:rsid w:val="00B03E56"/>
    <w:rsid w:val="00B073C0"/>
    <w:rsid w:val="00B07F73"/>
    <w:rsid w:val="00B1566B"/>
    <w:rsid w:val="00B226F7"/>
    <w:rsid w:val="00B23B70"/>
    <w:rsid w:val="00B25B63"/>
    <w:rsid w:val="00B2726A"/>
    <w:rsid w:val="00B27C5F"/>
    <w:rsid w:val="00B32D87"/>
    <w:rsid w:val="00B33D67"/>
    <w:rsid w:val="00B34991"/>
    <w:rsid w:val="00B359F1"/>
    <w:rsid w:val="00B35EBA"/>
    <w:rsid w:val="00B368A6"/>
    <w:rsid w:val="00B36DC1"/>
    <w:rsid w:val="00B40F27"/>
    <w:rsid w:val="00B42D6D"/>
    <w:rsid w:val="00B44AA4"/>
    <w:rsid w:val="00B50B98"/>
    <w:rsid w:val="00B51F55"/>
    <w:rsid w:val="00B525A9"/>
    <w:rsid w:val="00B563B0"/>
    <w:rsid w:val="00B64BCE"/>
    <w:rsid w:val="00B66A26"/>
    <w:rsid w:val="00B67A3D"/>
    <w:rsid w:val="00B67DF7"/>
    <w:rsid w:val="00B7090A"/>
    <w:rsid w:val="00B759CC"/>
    <w:rsid w:val="00B76443"/>
    <w:rsid w:val="00B765D8"/>
    <w:rsid w:val="00B7789C"/>
    <w:rsid w:val="00B819B5"/>
    <w:rsid w:val="00B8294D"/>
    <w:rsid w:val="00B82F8B"/>
    <w:rsid w:val="00B859EF"/>
    <w:rsid w:val="00B87605"/>
    <w:rsid w:val="00B87981"/>
    <w:rsid w:val="00B92630"/>
    <w:rsid w:val="00B9418D"/>
    <w:rsid w:val="00B956F0"/>
    <w:rsid w:val="00B9693A"/>
    <w:rsid w:val="00B97C58"/>
    <w:rsid w:val="00BA1D58"/>
    <w:rsid w:val="00BA204E"/>
    <w:rsid w:val="00BA2FFB"/>
    <w:rsid w:val="00BA4E3D"/>
    <w:rsid w:val="00BA4F72"/>
    <w:rsid w:val="00BA74C1"/>
    <w:rsid w:val="00BA763A"/>
    <w:rsid w:val="00BB255E"/>
    <w:rsid w:val="00BB641A"/>
    <w:rsid w:val="00BB6C6D"/>
    <w:rsid w:val="00BC1B54"/>
    <w:rsid w:val="00BC474A"/>
    <w:rsid w:val="00BC521E"/>
    <w:rsid w:val="00BC591E"/>
    <w:rsid w:val="00BD20C5"/>
    <w:rsid w:val="00BD379B"/>
    <w:rsid w:val="00BD4523"/>
    <w:rsid w:val="00BD5A42"/>
    <w:rsid w:val="00BD6B42"/>
    <w:rsid w:val="00BD6EE1"/>
    <w:rsid w:val="00BE12FB"/>
    <w:rsid w:val="00BE20EA"/>
    <w:rsid w:val="00BE27E5"/>
    <w:rsid w:val="00BE54EE"/>
    <w:rsid w:val="00BF05CB"/>
    <w:rsid w:val="00BF4F92"/>
    <w:rsid w:val="00BF64D8"/>
    <w:rsid w:val="00BF7F63"/>
    <w:rsid w:val="00C0089D"/>
    <w:rsid w:val="00C023D8"/>
    <w:rsid w:val="00C02759"/>
    <w:rsid w:val="00C036AF"/>
    <w:rsid w:val="00C1055A"/>
    <w:rsid w:val="00C10EF6"/>
    <w:rsid w:val="00C10F75"/>
    <w:rsid w:val="00C13172"/>
    <w:rsid w:val="00C1454F"/>
    <w:rsid w:val="00C152EB"/>
    <w:rsid w:val="00C15CC0"/>
    <w:rsid w:val="00C24F11"/>
    <w:rsid w:val="00C27892"/>
    <w:rsid w:val="00C320BD"/>
    <w:rsid w:val="00C33C06"/>
    <w:rsid w:val="00C36937"/>
    <w:rsid w:val="00C40EF2"/>
    <w:rsid w:val="00C41487"/>
    <w:rsid w:val="00C422DD"/>
    <w:rsid w:val="00C42EA8"/>
    <w:rsid w:val="00C436D4"/>
    <w:rsid w:val="00C47D90"/>
    <w:rsid w:val="00C50B77"/>
    <w:rsid w:val="00C5478C"/>
    <w:rsid w:val="00C5727C"/>
    <w:rsid w:val="00C57AC7"/>
    <w:rsid w:val="00C66DD9"/>
    <w:rsid w:val="00C67C86"/>
    <w:rsid w:val="00C70802"/>
    <w:rsid w:val="00C718C5"/>
    <w:rsid w:val="00C726E4"/>
    <w:rsid w:val="00C72A6A"/>
    <w:rsid w:val="00C73C1E"/>
    <w:rsid w:val="00C769BF"/>
    <w:rsid w:val="00C77315"/>
    <w:rsid w:val="00C8019A"/>
    <w:rsid w:val="00C803DB"/>
    <w:rsid w:val="00C8132A"/>
    <w:rsid w:val="00C82137"/>
    <w:rsid w:val="00C85AE6"/>
    <w:rsid w:val="00C86F16"/>
    <w:rsid w:val="00C873F8"/>
    <w:rsid w:val="00C87606"/>
    <w:rsid w:val="00C901AD"/>
    <w:rsid w:val="00C90DFE"/>
    <w:rsid w:val="00C93C31"/>
    <w:rsid w:val="00C9564C"/>
    <w:rsid w:val="00C95D20"/>
    <w:rsid w:val="00CA01DF"/>
    <w:rsid w:val="00CA06B0"/>
    <w:rsid w:val="00CA0995"/>
    <w:rsid w:val="00CA2950"/>
    <w:rsid w:val="00CA333D"/>
    <w:rsid w:val="00CB1597"/>
    <w:rsid w:val="00CC677F"/>
    <w:rsid w:val="00CC6B70"/>
    <w:rsid w:val="00CD100C"/>
    <w:rsid w:val="00CD3753"/>
    <w:rsid w:val="00CD414D"/>
    <w:rsid w:val="00CD6096"/>
    <w:rsid w:val="00CD7FCA"/>
    <w:rsid w:val="00CE074E"/>
    <w:rsid w:val="00CE08F9"/>
    <w:rsid w:val="00CE5BE0"/>
    <w:rsid w:val="00CE6F70"/>
    <w:rsid w:val="00CE7E40"/>
    <w:rsid w:val="00CF0985"/>
    <w:rsid w:val="00CF1EB9"/>
    <w:rsid w:val="00CF2364"/>
    <w:rsid w:val="00CF2A3A"/>
    <w:rsid w:val="00CF2F82"/>
    <w:rsid w:val="00D00E7C"/>
    <w:rsid w:val="00D02057"/>
    <w:rsid w:val="00D02EAB"/>
    <w:rsid w:val="00D065D8"/>
    <w:rsid w:val="00D07B92"/>
    <w:rsid w:val="00D11A07"/>
    <w:rsid w:val="00D129C4"/>
    <w:rsid w:val="00D15B2C"/>
    <w:rsid w:val="00D20C86"/>
    <w:rsid w:val="00D32FC7"/>
    <w:rsid w:val="00D36E5D"/>
    <w:rsid w:val="00D40850"/>
    <w:rsid w:val="00D40D0F"/>
    <w:rsid w:val="00D501A4"/>
    <w:rsid w:val="00D51219"/>
    <w:rsid w:val="00D5211D"/>
    <w:rsid w:val="00D54E62"/>
    <w:rsid w:val="00D55068"/>
    <w:rsid w:val="00D5609A"/>
    <w:rsid w:val="00D5675A"/>
    <w:rsid w:val="00D56A94"/>
    <w:rsid w:val="00D6402D"/>
    <w:rsid w:val="00D64D4C"/>
    <w:rsid w:val="00D66CC0"/>
    <w:rsid w:val="00D67C0F"/>
    <w:rsid w:val="00D7051C"/>
    <w:rsid w:val="00D75A49"/>
    <w:rsid w:val="00D76B72"/>
    <w:rsid w:val="00D77449"/>
    <w:rsid w:val="00D813FF"/>
    <w:rsid w:val="00D814C8"/>
    <w:rsid w:val="00D823BC"/>
    <w:rsid w:val="00D9025A"/>
    <w:rsid w:val="00D930E5"/>
    <w:rsid w:val="00D94511"/>
    <w:rsid w:val="00D945A2"/>
    <w:rsid w:val="00D9695C"/>
    <w:rsid w:val="00DA0C5C"/>
    <w:rsid w:val="00DA22AD"/>
    <w:rsid w:val="00DA2A30"/>
    <w:rsid w:val="00DA5113"/>
    <w:rsid w:val="00DA5C4D"/>
    <w:rsid w:val="00DA6294"/>
    <w:rsid w:val="00DB050B"/>
    <w:rsid w:val="00DB1442"/>
    <w:rsid w:val="00DB263C"/>
    <w:rsid w:val="00DB3D04"/>
    <w:rsid w:val="00DB4C69"/>
    <w:rsid w:val="00DC0ED7"/>
    <w:rsid w:val="00DC34D8"/>
    <w:rsid w:val="00DC41D0"/>
    <w:rsid w:val="00DC4F5C"/>
    <w:rsid w:val="00DC6D95"/>
    <w:rsid w:val="00DD266C"/>
    <w:rsid w:val="00DD7330"/>
    <w:rsid w:val="00DE2DEB"/>
    <w:rsid w:val="00DE3191"/>
    <w:rsid w:val="00DF08B6"/>
    <w:rsid w:val="00DF3B6B"/>
    <w:rsid w:val="00DF40FE"/>
    <w:rsid w:val="00E073B1"/>
    <w:rsid w:val="00E07C78"/>
    <w:rsid w:val="00E12FA9"/>
    <w:rsid w:val="00E147A8"/>
    <w:rsid w:val="00E1688A"/>
    <w:rsid w:val="00E20B1D"/>
    <w:rsid w:val="00E20B74"/>
    <w:rsid w:val="00E20D4B"/>
    <w:rsid w:val="00E20D4D"/>
    <w:rsid w:val="00E25387"/>
    <w:rsid w:val="00E26938"/>
    <w:rsid w:val="00E32D0D"/>
    <w:rsid w:val="00E414B4"/>
    <w:rsid w:val="00E414EB"/>
    <w:rsid w:val="00E43C75"/>
    <w:rsid w:val="00E5067B"/>
    <w:rsid w:val="00E5247C"/>
    <w:rsid w:val="00E53C9A"/>
    <w:rsid w:val="00E54DBD"/>
    <w:rsid w:val="00E560E4"/>
    <w:rsid w:val="00E620AB"/>
    <w:rsid w:val="00E626C1"/>
    <w:rsid w:val="00E62E0F"/>
    <w:rsid w:val="00E63787"/>
    <w:rsid w:val="00E712CA"/>
    <w:rsid w:val="00E7395E"/>
    <w:rsid w:val="00E73A66"/>
    <w:rsid w:val="00E74365"/>
    <w:rsid w:val="00E74898"/>
    <w:rsid w:val="00E7679A"/>
    <w:rsid w:val="00E81C5F"/>
    <w:rsid w:val="00E82985"/>
    <w:rsid w:val="00E843F5"/>
    <w:rsid w:val="00E84A22"/>
    <w:rsid w:val="00E853E4"/>
    <w:rsid w:val="00E878DA"/>
    <w:rsid w:val="00E8792C"/>
    <w:rsid w:val="00E87BD3"/>
    <w:rsid w:val="00E91C0E"/>
    <w:rsid w:val="00E96E3C"/>
    <w:rsid w:val="00EA4730"/>
    <w:rsid w:val="00EB0D16"/>
    <w:rsid w:val="00EB1451"/>
    <w:rsid w:val="00EB1F21"/>
    <w:rsid w:val="00EB3DE1"/>
    <w:rsid w:val="00EB4A21"/>
    <w:rsid w:val="00EC1096"/>
    <w:rsid w:val="00EC696D"/>
    <w:rsid w:val="00EC7CDB"/>
    <w:rsid w:val="00ED1375"/>
    <w:rsid w:val="00ED23CD"/>
    <w:rsid w:val="00ED5E0D"/>
    <w:rsid w:val="00ED78ED"/>
    <w:rsid w:val="00EE5216"/>
    <w:rsid w:val="00EE7BC1"/>
    <w:rsid w:val="00EE7F25"/>
    <w:rsid w:val="00EF1AE4"/>
    <w:rsid w:val="00EF36E3"/>
    <w:rsid w:val="00EF4055"/>
    <w:rsid w:val="00F03AAE"/>
    <w:rsid w:val="00F05321"/>
    <w:rsid w:val="00F0637A"/>
    <w:rsid w:val="00F16081"/>
    <w:rsid w:val="00F24940"/>
    <w:rsid w:val="00F2608A"/>
    <w:rsid w:val="00F26AAE"/>
    <w:rsid w:val="00F26CD7"/>
    <w:rsid w:val="00F27CEC"/>
    <w:rsid w:val="00F31431"/>
    <w:rsid w:val="00F346DA"/>
    <w:rsid w:val="00F35995"/>
    <w:rsid w:val="00F3668C"/>
    <w:rsid w:val="00F37D53"/>
    <w:rsid w:val="00F42D43"/>
    <w:rsid w:val="00F50701"/>
    <w:rsid w:val="00F52B6B"/>
    <w:rsid w:val="00F52C0C"/>
    <w:rsid w:val="00F5554D"/>
    <w:rsid w:val="00F56D3D"/>
    <w:rsid w:val="00F6085B"/>
    <w:rsid w:val="00F61BFF"/>
    <w:rsid w:val="00F62F1D"/>
    <w:rsid w:val="00F63FC5"/>
    <w:rsid w:val="00F64855"/>
    <w:rsid w:val="00F64FE7"/>
    <w:rsid w:val="00F667BA"/>
    <w:rsid w:val="00F66E7A"/>
    <w:rsid w:val="00F67633"/>
    <w:rsid w:val="00F70064"/>
    <w:rsid w:val="00F70ECB"/>
    <w:rsid w:val="00F73569"/>
    <w:rsid w:val="00F904D4"/>
    <w:rsid w:val="00F90D2E"/>
    <w:rsid w:val="00F92EA8"/>
    <w:rsid w:val="00F938F5"/>
    <w:rsid w:val="00F93A07"/>
    <w:rsid w:val="00F9507C"/>
    <w:rsid w:val="00F964CD"/>
    <w:rsid w:val="00F96FC7"/>
    <w:rsid w:val="00FA5098"/>
    <w:rsid w:val="00FA6CA1"/>
    <w:rsid w:val="00FB2025"/>
    <w:rsid w:val="00FB2FD8"/>
    <w:rsid w:val="00FB38E7"/>
    <w:rsid w:val="00FB4AE7"/>
    <w:rsid w:val="00FB6336"/>
    <w:rsid w:val="00FB66A3"/>
    <w:rsid w:val="00FC07B4"/>
    <w:rsid w:val="00FC2CCE"/>
    <w:rsid w:val="00FD0E7F"/>
    <w:rsid w:val="00FD1BDC"/>
    <w:rsid w:val="00FD250D"/>
    <w:rsid w:val="00FD29D4"/>
    <w:rsid w:val="00FD52D9"/>
    <w:rsid w:val="00FE0837"/>
    <w:rsid w:val="00FE7E91"/>
    <w:rsid w:val="00FF3B81"/>
    <w:rsid w:val="00FF56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80C28"/>
  <w15:docId w15:val="{3F38B936-3CB5-8F4D-BE79-E4C0C8FA8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paragraph" w:styleId="NoSpacing">
    <w:name w:val="No Spacing"/>
    <w:uiPriority w:val="1"/>
    <w:qFormat/>
    <w:pPr>
      <w:spacing w:after="0" w:line="240" w:lineRule="auto"/>
    </w:p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basedOn w:val="DefaultParagraphFont"/>
    <w:link w:val="Header"/>
    <w:uiPriority w:val="99"/>
  </w:style>
  <w:style w:type="paragraph" w:styleId="Caption">
    <w:name w:val="caption"/>
    <w:basedOn w:val="Normal"/>
    <w:next w:val="Normal"/>
    <w:uiPriority w:val="35"/>
    <w:semiHidden/>
    <w:unhideWhenUsed/>
    <w:qFormat/>
    <w:rPr>
      <w:b/>
      <w:bCs/>
      <w:color w:val="156082" w:themeColor="accent1"/>
      <w:sz w:val="18"/>
      <w:szCs w:val="18"/>
    </w:rPr>
  </w:style>
  <w:style w:type="character" w:customStyle="1" w:styleId="CaptionChar">
    <w:name w:val="Caption Char"/>
    <w:uiPriority w:val="99"/>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lang w:eastAsia="en-GB"/>
      <w14:ligatures w14:val="none"/>
    </w:rPr>
  </w:style>
  <w:style w:type="character" w:customStyle="1" w:styleId="oypena">
    <w:name w:val="oypena"/>
    <w:basedOn w:val="DefaultParagraphFont"/>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PageNumber">
    <w:name w:val="page number"/>
    <w:basedOn w:val="DefaultParagraphFont"/>
    <w:uiPriority w:val="99"/>
    <w:semiHidden/>
    <w:unhideWhenUsed/>
  </w:style>
  <w:style w:type="paragraph" w:customStyle="1" w:styleId="p1">
    <w:name w:val="p1"/>
    <w:basedOn w:val="Normal"/>
    <w:pPr>
      <w:spacing w:after="0" w:line="240" w:lineRule="auto"/>
    </w:pPr>
    <w:rPr>
      <w:rFonts w:ascii="Helvetica" w:eastAsia="Times New Roman" w:hAnsi="Helvetica" w:cs="Times New Roman"/>
      <w:color w:val="000000"/>
      <w:sz w:val="15"/>
      <w:szCs w:val="15"/>
      <w14:ligatures w14:val="none"/>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gcmg">
    <w:name w:val="a_gcmg"/>
    <w:basedOn w:val="DefaultParagraphFont"/>
  </w:style>
  <w:style w:type="paragraph" w:styleId="Revision">
    <w:name w:val="Revision"/>
    <w:hidden/>
    <w:uiPriority w:val="99"/>
    <w:semiHidden/>
    <w:pPr>
      <w:spacing w:after="0" w:line="240" w:lineRule="auto"/>
    </w:pPr>
  </w:style>
  <w:style w:type="character" w:customStyle="1" w:styleId="apple-converted-space">
    <w:name w:val="apple-converted-space"/>
    <w:basedOn w:val="DefaultParagraphFont"/>
  </w:style>
  <w:style w:type="character" w:styleId="Hyperlink">
    <w:name w:val="Hyperlink"/>
    <w:basedOn w:val="DefaultParagraphFont"/>
    <w:uiPriority w:val="99"/>
    <w:unhideWhenUsed/>
    <w:rPr>
      <w:color w:val="467886"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character" w:styleId="FollowedHyperlink">
    <w:name w:val="FollowedHyperlink"/>
    <w:basedOn w:val="DefaultParagraphFont"/>
    <w:uiPriority w:val="99"/>
    <w:semiHidden/>
    <w:unhideWhenUsed/>
    <w:rPr>
      <w:color w:val="96607D" w:themeColor="followedHyperlink"/>
      <w:u w:val="single"/>
    </w:rPr>
  </w:style>
  <w:style w:type="character" w:styleId="PlaceholderText">
    <w:name w:val="Placeholder Text"/>
    <w:basedOn w:val="DefaultParagraphFont"/>
    <w:uiPriority w:val="99"/>
    <w:semiHidden/>
    <w:rPr>
      <w:color w:val="666666"/>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21/ja00226a005" TargetMode="External"/><Relationship Id="rId21" Type="http://schemas.microsoft.com/office/2011/relationships/commentsExtended" Target="commentsExtended.xml"/><Relationship Id="rId42" Type="http://schemas.openxmlformats.org/officeDocument/2006/relationships/hyperlink" Target="https://doi.org/10.1186/1471-2105-14-s14-s16" TargetMode="External"/><Relationship Id="rId47" Type="http://schemas.openxmlformats.org/officeDocument/2006/relationships/hyperlink" Target="https://doi.org/10.18653/v1/w19-4828" TargetMode="External"/><Relationship Id="rId63" Type="http://schemas.openxmlformats.org/officeDocument/2006/relationships/hyperlink" Target="https://doi.org/10.1007/s10994-013-5429-5" TargetMode="External"/><Relationship Id="rId68" Type="http://schemas.openxmlformats.org/officeDocument/2006/relationships/hyperlink" Target="https://doi.org/10.1021/acs.jcim.6b00290" TargetMode="External"/><Relationship Id="rId84" Type="http://schemas.openxmlformats.org/officeDocument/2006/relationships/hyperlink" Target="https://doi.org/10.3390/app12188972" TargetMode="External"/><Relationship Id="rId89" Type="http://schemas.openxmlformats.org/officeDocument/2006/relationships/hyperlink" Target="https://doi.org/10.1186/1758-2946-4-27" TargetMode="External"/><Relationship Id="rId16" Type="http://schemas.openxmlformats.org/officeDocument/2006/relationships/image" Target="media/image5.svg"/><Relationship Id="rId107" Type="http://schemas.openxmlformats.org/officeDocument/2006/relationships/footer" Target="footer1.xml"/><Relationship Id="rId32" Type="http://schemas.openxmlformats.org/officeDocument/2006/relationships/hyperlink" Target="https://doi.org/10.1021/acs.molpharmaceut.7b01134" TargetMode="External"/><Relationship Id="rId37" Type="http://schemas.openxmlformats.org/officeDocument/2006/relationships/hyperlink" Target="https://doi.org/10.1016/j.jmgm.2012.08.001" TargetMode="External"/><Relationship Id="rId53" Type="http://schemas.openxmlformats.org/officeDocument/2006/relationships/hyperlink" Target="https://doi.org/10.1016/s0169-7439(99)00063-5" TargetMode="External"/><Relationship Id="rId58" Type="http://schemas.openxmlformats.org/officeDocument/2006/relationships/hyperlink" Target="https://doi.org/10.1016/s0004-3702(96)00034-3" TargetMode="External"/><Relationship Id="rId74" Type="http://schemas.openxmlformats.org/officeDocument/2006/relationships/hyperlink" Target="https://doi.org/10.1021/acs.jcim.6b00613" TargetMode="External"/><Relationship Id="rId79" Type="http://schemas.openxmlformats.org/officeDocument/2006/relationships/hyperlink" Target="https://doi.org/10.1007/s10822-010-9374-0" TargetMode="External"/><Relationship Id="rId102" Type="http://schemas.openxmlformats.org/officeDocument/2006/relationships/hyperlink" Target="https://doi.org/10.1021/ci990307l" TargetMode="External"/><Relationship Id="rId5" Type="http://schemas.openxmlformats.org/officeDocument/2006/relationships/webSettings" Target="webSettings.xml"/><Relationship Id="rId90" Type="http://schemas.openxmlformats.org/officeDocument/2006/relationships/hyperlink" Target="https://doi.org/10.3390/molecules17089971" TargetMode="External"/><Relationship Id="rId95" Type="http://schemas.openxmlformats.org/officeDocument/2006/relationships/hyperlink" Target="https://doi.org/10.48550/arxiv.1802.04712" TargetMode="External"/><Relationship Id="rId22" Type="http://schemas.microsoft.com/office/2016/09/relationships/commentsIds" Target="commentsIds.xml"/><Relationship Id="rId27" Type="http://schemas.openxmlformats.org/officeDocument/2006/relationships/hyperlink" Target="https://doi.org/10.1021/jm00050a010" TargetMode="External"/><Relationship Id="rId43" Type="http://schemas.openxmlformats.org/officeDocument/2006/relationships/hyperlink" Target="https://doi.org/10.3390/electronics12204323" TargetMode="External"/><Relationship Id="rId48" Type="http://schemas.openxmlformats.org/officeDocument/2006/relationships/hyperlink" Target="https://doi.org/10.48550/arxiv.1706.03762" TargetMode="External"/><Relationship Id="rId64" Type="http://schemas.openxmlformats.org/officeDocument/2006/relationships/hyperlink" Target="https://doi.org/10.48550/arxiv.2011.12820" TargetMode="External"/><Relationship Id="rId69" Type="http://schemas.openxmlformats.org/officeDocument/2006/relationships/hyperlink" Target="https://doi.org/10.1007/978-1-4939-6613-4_13" TargetMode="External"/><Relationship Id="rId139" Type="http://schemas.onlyoffice.com/commentsIdsDocument" Target="commentsIdsDocument.xml"/><Relationship Id="rId80" Type="http://schemas.openxmlformats.org/officeDocument/2006/relationships/hyperlink" Target="https://doi.org/10.1021/ci0155053" TargetMode="External"/><Relationship Id="rId85" Type="http://schemas.openxmlformats.org/officeDocument/2006/relationships/hyperlink" Target="https://doi.org/10.48550/arxiv.1906.05714" TargetMode="External"/><Relationship Id="rId12" Type="http://schemas.openxmlformats.org/officeDocument/2006/relationships/image" Target="media/image17.png"/><Relationship Id="rId17" Type="http://schemas.openxmlformats.org/officeDocument/2006/relationships/image" Target="media/image6.png"/><Relationship Id="rId33" Type="http://schemas.openxmlformats.org/officeDocument/2006/relationships/hyperlink" Target="https://doi.org/10.1021/ci600224n" TargetMode="External"/><Relationship Id="rId38" Type="http://schemas.openxmlformats.org/officeDocument/2006/relationships/hyperlink" Target="https://doi.org/10.1021/ci049893v" TargetMode="External"/><Relationship Id="rId59" Type="http://schemas.openxmlformats.org/officeDocument/2006/relationships/hyperlink" Target="https://doi.org/10.1186/s13321-017-0216-0" TargetMode="External"/><Relationship Id="rId103" Type="http://schemas.openxmlformats.org/officeDocument/2006/relationships/hyperlink" Target="https://www.rdkit.org/" TargetMode="External"/><Relationship Id="rId108" Type="http://schemas.openxmlformats.org/officeDocument/2006/relationships/footer" Target="footer2.xml"/><Relationship Id="rId54" Type="http://schemas.openxmlformats.org/officeDocument/2006/relationships/hyperlink" Target="https://doi.org/10.1021/jm00145a002" TargetMode="External"/><Relationship Id="rId70" Type="http://schemas.openxmlformats.org/officeDocument/2006/relationships/hyperlink" Target="https://doi.org/10.1021/acs.jcim.0c00025" TargetMode="External"/><Relationship Id="rId75" Type="http://schemas.openxmlformats.org/officeDocument/2006/relationships/hyperlink" Target="https://doi.org/10.48550/arxiv.2502.13220" TargetMode="External"/><Relationship Id="rId91" Type="http://schemas.openxmlformats.org/officeDocument/2006/relationships/hyperlink" Target="https://doi.org/10.1021/acs.jmedchem.9b01101" TargetMode="External"/><Relationship Id="rId96" Type="http://schemas.openxmlformats.org/officeDocument/2006/relationships/hyperlink" Target="https://doi.org/10.21203/rs.3.rs-6745861/v1" TargetMode="External"/><Relationship Id="rId140" Type="http://schemas.onlyoffice.com/peopleDocument" Target="people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microsoft.com/office/2018/08/relationships/commentsExtensible" Target="commentsExtensible.xml"/><Relationship Id="rId28" Type="http://schemas.openxmlformats.org/officeDocument/2006/relationships/hyperlink" Target="https://doi.org/10.1021/jm000941m" TargetMode="External"/><Relationship Id="rId36" Type="http://schemas.openxmlformats.org/officeDocument/2006/relationships/hyperlink" Target="https://doi.org/10.3390/ijms22105212" TargetMode="External"/><Relationship Id="rId49" Type="http://schemas.openxmlformats.org/officeDocument/2006/relationships/hyperlink" Target="https://doi.org/10.1021/ja973976t" TargetMode="External"/><Relationship Id="rId57" Type="http://schemas.openxmlformats.org/officeDocument/2006/relationships/hyperlink" Target="https://doi.org/10.1016/s0097-8485(02)00055-4" TargetMode="External"/><Relationship Id="rId106" Type="http://schemas.openxmlformats.org/officeDocument/2006/relationships/hyperlink" Target="https://doi.org/10.32614/cran.package.lightgbm" TargetMode="External"/><Relationship Id="rId31" Type="http://schemas.openxmlformats.org/officeDocument/2006/relationships/hyperlink" Target="https://doi.org/10.1093/gpbjnl/qzae007" TargetMode="External"/><Relationship Id="rId44" Type="http://schemas.openxmlformats.org/officeDocument/2006/relationships/hyperlink" Target="https://doi.org/10.48550/arxiv.1610.02501" TargetMode="External"/><Relationship Id="rId52" Type="http://schemas.openxmlformats.org/officeDocument/2006/relationships/hyperlink" Target="https://doi.org/10.1016/s0968-0896(01)00389-3" TargetMode="External"/><Relationship Id="rId60" Type="http://schemas.openxmlformats.org/officeDocument/2006/relationships/hyperlink" Target="https://doi.org/10.1186/s12859-024-05991-4" TargetMode="External"/><Relationship Id="rId65" Type="http://schemas.openxmlformats.org/officeDocument/2006/relationships/hyperlink" Target="https://doi.org/10.1021/acs.jcim.1c00692" TargetMode="External"/><Relationship Id="rId73" Type="http://schemas.openxmlformats.org/officeDocument/2006/relationships/hyperlink" Target="https://www.pikairos.eu/software/eyemol/" TargetMode="External"/><Relationship Id="rId78" Type="http://schemas.openxmlformats.org/officeDocument/2006/relationships/hyperlink" Target="https://doi.org/10.48550/arxiv.2407.13291" TargetMode="External"/><Relationship Id="rId81" Type="http://schemas.openxmlformats.org/officeDocument/2006/relationships/hyperlink" Target="https://doi.org/10.48550/arxiv.1412.6980" TargetMode="External"/><Relationship Id="rId86" Type="http://schemas.openxmlformats.org/officeDocument/2006/relationships/hyperlink" Target="https://doi.org/10.48550/arxiv.2302.06112" TargetMode="External"/><Relationship Id="rId94" Type="http://schemas.openxmlformats.org/officeDocument/2006/relationships/hyperlink" Target="https://doi.org/10.1021/jm0603365" TargetMode="External"/><Relationship Id="rId99" Type="http://schemas.openxmlformats.org/officeDocument/2006/relationships/hyperlink" Target="https://doi.org/10.3389/fchem.2018.00229" TargetMode="External"/><Relationship Id="rId101" Type="http://schemas.openxmlformats.org/officeDocument/2006/relationships/hyperlink" Target="https://doi.org/10.1007/s10822-011-9462-9" TargetMode="External"/><Relationship Id="rId143" Type="http://schemas.onlyoffice.com/commentsExtensibleDocument" Target="commentsExtensibleDocument.xml"/><Relationship Id="rId4"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doi.org/10.1021/acs.jcim.7b00221" TargetMode="External"/><Relationship Id="rId109" Type="http://schemas.openxmlformats.org/officeDocument/2006/relationships/fontTable" Target="fontTable.xml"/><Relationship Id="rId34" Type="http://schemas.openxmlformats.org/officeDocument/2006/relationships/hyperlink" Target="https://doi.org/10.1007/s10910-015-0533-3" TargetMode="External"/><Relationship Id="rId50" Type="http://schemas.openxmlformats.org/officeDocument/2006/relationships/hyperlink" Target="https://doi.org/10.1002/1521-3838(200004)19:2%3c149::aid-qsar149%3e3.0.co;2-9" TargetMode="External"/><Relationship Id="rId55" Type="http://schemas.openxmlformats.org/officeDocument/2006/relationships/hyperlink" Target="https://doi.org/10.3390/ijms12128713" TargetMode="External"/><Relationship Id="rId76" Type="http://schemas.openxmlformats.org/officeDocument/2006/relationships/hyperlink" Target="https://doi.org/10.1021/ci990307l" TargetMode="External"/><Relationship Id="rId97" Type="http://schemas.openxmlformats.org/officeDocument/2006/relationships/hyperlink" Target="https://doi.org/10.48550/arxiv.2011.12820" TargetMode="External"/><Relationship Id="rId104" Type="http://schemas.openxmlformats.org/officeDocument/2006/relationships/hyperlink" Target="https://doi.org/10.1021/jm030563w" TargetMode="External"/><Relationship Id="rId141" Type="http://schemas.onlyoffice.com/commentsDocument" Target="commentsDocument.xml"/><Relationship Id="rId7" Type="http://schemas.openxmlformats.org/officeDocument/2006/relationships/endnotes" Target="endnotes.xml"/><Relationship Id="rId71" Type="http://schemas.openxmlformats.org/officeDocument/2006/relationships/hyperlink" Target="https://doi.org/10.1021/ci9803381" TargetMode="External"/><Relationship Id="rId92" Type="http://schemas.openxmlformats.org/officeDocument/2006/relationships/hyperlink" Target="https://doi.org/10.1088/2632-2153/acefa7" TargetMode="External"/><Relationship Id="rId2" Type="http://schemas.openxmlformats.org/officeDocument/2006/relationships/numbering" Target="numbering.xml"/><Relationship Id="rId29" Type="http://schemas.openxmlformats.org/officeDocument/2006/relationships/hyperlink" Target="https://doi.org/10.1016/s0223-5234(00)00141-0" TargetMode="External"/><Relationship Id="rId24" Type="http://schemas.openxmlformats.org/officeDocument/2006/relationships/image" Target="media/image9.png"/><Relationship Id="rId40" Type="http://schemas.openxmlformats.org/officeDocument/2006/relationships/hyperlink" Target="https://doi.org/10.1186/1471-2105-13-s15-s3" TargetMode="External"/><Relationship Id="rId45" Type="http://schemas.openxmlformats.org/officeDocument/2006/relationships/hyperlink" Target="https://doi.org/10.48550/arxiv.2002.05202" TargetMode="External"/><Relationship Id="rId66" Type="http://schemas.openxmlformats.org/officeDocument/2006/relationships/hyperlink" Target="https://doi.org/10.48550/arxiv.2310.00115" TargetMode="External"/><Relationship Id="rId87" Type="http://schemas.openxmlformats.org/officeDocument/2006/relationships/hyperlink" Target="https://doi.org/10.48550/arxiv.1904.01561" TargetMode="External"/><Relationship Id="rId110" Type="http://schemas.microsoft.com/office/2011/relationships/people" Target="people.xml"/><Relationship Id="rId61" Type="http://schemas.openxmlformats.org/officeDocument/2006/relationships/hyperlink" Target="https://doi.org/10.1186/1471-2105-13-s15-s3" TargetMode="External"/><Relationship Id="rId82" Type="http://schemas.openxmlformats.org/officeDocument/2006/relationships/hyperlink" Target="https://doi.org/10.48550/arxiv.1610.02501" TargetMode="External"/><Relationship Id="rId19" Type="http://schemas.openxmlformats.org/officeDocument/2006/relationships/image" Target="media/image8.png"/><Relationship Id="rId14" Type="http://schemas.openxmlformats.org/officeDocument/2006/relationships/image" Target="media/image3.svg"/><Relationship Id="rId30" Type="http://schemas.openxmlformats.org/officeDocument/2006/relationships/hyperlink" Target="https://doi.org/10.1021/ci960343" TargetMode="External"/><Relationship Id="rId35" Type="http://schemas.openxmlformats.org/officeDocument/2006/relationships/hyperlink" Target="https://doi.org/10.1021/ja9718937" TargetMode="External"/><Relationship Id="rId56" Type="http://schemas.openxmlformats.org/officeDocument/2006/relationships/hyperlink" Target="https://doi.org/10.1021/jm960491r" TargetMode="External"/><Relationship Id="rId77" Type="http://schemas.openxmlformats.org/officeDocument/2006/relationships/hyperlink" Target="https://doi.org/10.1021/ci2002318" TargetMode="External"/><Relationship Id="rId100" Type="http://schemas.openxmlformats.org/officeDocument/2006/relationships/hyperlink" Target="https://doi.org/10.1021/ci049885e" TargetMode="External"/><Relationship Id="rId105" Type="http://schemas.openxmlformats.org/officeDocument/2006/relationships/hyperlink" Target="https://doi.org/10.1155/2014/598728" TargetMode="External"/><Relationship Id="rId8" Type="http://schemas.openxmlformats.org/officeDocument/2006/relationships/image" Target="media/image1.png"/><Relationship Id="rId51" Type="http://schemas.openxmlformats.org/officeDocument/2006/relationships/hyperlink" Target="https://doi.org/10.1016/s0097-8485(02)00055-4" TargetMode="External"/><Relationship Id="rId72" Type="http://schemas.openxmlformats.org/officeDocument/2006/relationships/hyperlink" Target="https://doi.org/10.1186/1758-2946-3-33" TargetMode="External"/><Relationship Id="rId93" Type="http://schemas.openxmlformats.org/officeDocument/2006/relationships/hyperlink" Target="https://doi.org/10.48550/arxiv.2310.00115" TargetMode="External"/><Relationship Id="rId98" Type="http://schemas.openxmlformats.org/officeDocument/2006/relationships/hyperlink" Target="https://doi.org/10.1093/nar/gkr777" TargetMode="External"/><Relationship Id="rId142" Type="http://schemas.onlyoffice.com/commentsExtendedDocument" Target="commentsExtendedDocument.xml"/><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hyperlink" Target="https://doi.org/10.48550/arxiv.2009.09364" TargetMode="External"/><Relationship Id="rId67" Type="http://schemas.openxmlformats.org/officeDocument/2006/relationships/hyperlink" Target="https://doi.org/10.20944/preprints202305.1658.v1" TargetMode="External"/><Relationship Id="rId20" Type="http://schemas.openxmlformats.org/officeDocument/2006/relationships/comments" Target="comments.xml"/><Relationship Id="rId41" Type="http://schemas.openxmlformats.org/officeDocument/2006/relationships/hyperlink" Target="https://doi.org/10.1109/tpami.2006.248" TargetMode="External"/><Relationship Id="rId62" Type="http://schemas.openxmlformats.org/officeDocument/2006/relationships/hyperlink" Target="https://doi.org/10.1186/1471-2105-14-s14-s16" TargetMode="External"/><Relationship Id="rId83" Type="http://schemas.openxmlformats.org/officeDocument/2006/relationships/hyperlink" Target="https://doi.org/10.48550/arxiv.2105.03404" TargetMode="External"/><Relationship Id="rId88" Type="http://schemas.openxmlformats.org/officeDocument/2006/relationships/hyperlink" Target="https://doi.org/10.48550/arxiv.1207.4676" TargetMode="External"/><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 dockstate="right" visibility="0" width="350" row="0">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5679AAC2-494C-3647-ABBE-4EC4D84CE348}">
  <we:reference id="wa200001361" version="2.129.3.0" store="en-US" storeType="OMEX"/>
  <we:alternateReferences>
    <we:reference id="WA200001361" version="2.129.3.0" store="" storeType="OMEX"/>
  </we:alternateReferences>
  <we:properties>
    <we:property name="paperpal-document-id" value="&quot;e4462502-c1be-4969-a164-aac955d0b58a&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474C0941-6B33-254D-A3C4-5FFCAE586F1E}">
  <we:reference id="wa200001011" version="1.4.0.0" store="ru-RU" storeType="OMEX"/>
  <we:alternateReferences>
    <we:reference id="WA200001011" version="1.4.0.0" store=""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D5015DC9-FFF3-D44F-AF9C-42EBD58761F1}">
  <we:reference id="wa104381909" version="3.23.0.0" store="en-US" storeType="OMEX"/>
  <we:alternateReferences>
    <we:reference id="WA104381909" version="3.23.0.0" store=""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62161F4-AD72-AC4A-AF20-9BAA52A49678}">
  <we:reference id="wa200010453" version="1.0.0.1" store="en-US" storeType="OMEX"/>
  <we:alternateReferences>
    <we:reference id="WA200010453" version="1.0.0.1" store="WA200010453" storeType="OMEX"/>
  </we:alternateReferences>
  <we:properties>
    <we:property name="claude.fileId" value="&quot;db0102a4-a524-47d1-8fc7-deb336e95fc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0C8C9C-41CC-B14C-A5B7-4F9949491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5078</TotalTime>
  <Pages>31</Pages>
  <Words>8002</Words>
  <Characters>51220</Characters>
  <Application>Microsoft Office Word</Application>
  <DocSecurity>0</DocSecurity>
  <Lines>839</Lines>
  <Paragraphs>236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58986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Vasilii Fastovskii</dc:creator>
  <cp:keywords/>
  <dc:description/>
  <cp:lastModifiedBy>Vasilii Fastovskii</cp:lastModifiedBy>
  <cp:revision>926</cp:revision>
  <dcterms:created xsi:type="dcterms:W3CDTF">2026-04-21T21:25:00Z</dcterms:created>
  <dcterms:modified xsi:type="dcterms:W3CDTF">2026-07-14T12:44:00Z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documentId_2869</vt:lpwstr>
  </property>
  <property fmtid="{D5CDD505-2E9C-101B-9397-08002B2CF9AE}" pid="3" name="grammarly_documentContext">
    <vt:lpwstr>{"goals":["describe"],"domain":"academic","emotions":["neutral"],"dialect":"american","audience":"expert","style":"formal"}</vt:lpwstr>
  </property>
</Properties>
</file>