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黑体"/>
          <w:rFonts w:ascii="黑体" w:hAnsi="黑体"/>
          <w:b/>
          <w:sz w:val="36"/>
        </w:rPr>
        <w:t>Dry Bean Dataset 全流程机器学习工程项目 — 课程总结论文</w:t>
      </w:r>
    </w:p>
    <w:p>
      <w:pPr>
        <w:pStyle w:val="Heading1"/>
      </w:pPr>
      <w:r>
        <w:rPr>
          <w:rFonts w:eastAsia="黑体"/>
          <w:rFonts w:ascii="黑体" w:hAnsi="黑体"/>
          <w:sz w:val="32"/>
        </w:rPr>
        <w:t>摘要</w:t>
      </w:r>
    </w:p>
    <w:p>
      <w:r>
        <w:t>本文基于预划分的 Dry Bean Dataset，完成了一个端到端的多分类机器学习工程项目。项目覆盖数据分析、数据处理、四种多分类算法实验分析、系统工程展示及课程总结全流程。实验选取 KNN、SVM(SGD)、MLP 和 XGBoost 四种算法，在测试集精度、Loss 曲线、推理速度、训练时间、模型复杂度、噪声鲁棒性和过拟合分析等十个维度上进行了系统对比。结果表明：MLP 以 92.73% 的测试准确率取得最高精度；XGBoost 在各类噪声条件下表现出最强的鲁棒性（精度损失 &lt;0.008）；SVM 过拟合最小（Δ=0.0027）但抗噪声能力最弱。项目采用命令行一键运行，全部图表自动生成，代码已开源至 GitHub。</w:t>
      </w:r>
    </w:p>
    <w:p>
      <w:r>
        <w:t>关键词：干豆分类；机器学习；XGBoost；鲁棒性分析；特征工程</w:t>
      </w:r>
    </w:p>
    <w:p>
      <w:pPr>
        <w:pStyle w:val="Heading1"/>
      </w:pPr>
      <w:r>
        <w:rPr>
          <w:rFonts w:eastAsia="黑体"/>
          <w:rFonts w:ascii="黑体" w:hAnsi="黑体"/>
          <w:sz w:val="32"/>
        </w:rPr>
        <w:t>1. 引言</w:t>
      </w:r>
    </w:p>
    <w:p>
      <w:pPr>
        <w:pStyle w:val="Heading2"/>
      </w:pPr>
      <w:r>
        <w:rPr>
          <w:rFonts w:eastAsia="黑体"/>
          <w:rFonts w:ascii="黑体" w:hAnsi="黑体"/>
          <w:sz w:val="28"/>
        </w:rPr>
        <w:t>1.1 问题背景</w:t>
      </w:r>
    </w:p>
    <w:p>
      <w:r>
        <w:t>干豆（Dry Bean）是全球重要的粮食作物，不同品种在形态上存在细微差异。传统的品种鉴定依赖人工视觉判别，效率低且主观性强。利用机器学习对计算机视觉提取的形态学特征进行自动分类，具有重要的农业应用价值。</w:t>
      </w:r>
    </w:p>
    <w:p>
      <w:pPr>
        <w:pStyle w:val="Heading2"/>
      </w:pPr>
      <w:r>
        <w:rPr>
          <w:rFonts w:eastAsia="黑体"/>
          <w:rFonts w:ascii="黑体" w:hAnsi="黑体"/>
          <w:sz w:val="28"/>
        </w:rPr>
        <w:t>1.2 数据集介绍</w:t>
      </w:r>
    </w:p>
    <w:p>
      <w:r>
        <w:t>本研究使用 Dry Bean Dataset[1]，数据来源于 7 种干豆的高分辨率图像。通过图像处理技术从每粒豆子中提取了 16 个形态学特征，包括面积（Area）、周长（Perimeter）、长轴长度（MajorAxisLength）、短轴长度（MinorAxisLength）、宽高比（AspectRation）、偏心率（Eccentricity）、凸面积（ConvexArea）、等效直径（EquivDiameter）、延展度（Extent）、坚实度（Solidity）、圆形度（roundness）、紧凑度（Compactness）以及 4 个形状因子（ShapeFactor1-4）。</w:t>
      </w:r>
    </w:p>
    <w:p>
      <w:r>
        <w:t>数据集由教师预先划分为训练集（9,527 条）、测试集（2,737 条）和验证集（1,347 条），共包含 7 个类别：DERMASON、SIRA、SEKER、HOROZ、CALI、BARBUNYA、BOMBAY。</w:t>
      </w:r>
    </w:p>
    <w:p>
      <w:pPr>
        <w:pStyle w:val="Heading1"/>
      </w:pPr>
      <w:r>
        <w:rPr>
          <w:rFonts w:eastAsia="黑体"/>
          <w:rFonts w:ascii="黑体" w:hAnsi="黑体"/>
          <w:sz w:val="32"/>
        </w:rPr>
        <w:t>2. 数据分析（5%）</w:t>
      </w:r>
    </w:p>
    <w:p>
      <w:pPr>
        <w:pStyle w:val="Heading2"/>
      </w:pPr>
      <w:r>
        <w:rPr>
          <w:rFonts w:eastAsia="黑体"/>
          <w:rFonts w:ascii="黑体" w:hAnsi="黑体"/>
          <w:sz w:val="28"/>
        </w:rPr>
        <w:t>2.1 特征分布与相关性</w:t>
      </w:r>
    </w:p>
    <w:p>
      <w:r>
        <w:t>对 16 个数值特征绘制 Pearson 相关系数热力图（见 outputs/baseline/figures/corr_heatmap.png），观察到：</w:t>
      </w:r>
    </w:p>
    <w:p>
      <w:pPr>
        <w:pStyle w:val="ListBullet"/>
      </w:pPr>
      <w:r>
        <w:t>强正相关组：Area ↔ ConvexArea (r=0.99)、Area ↔ Perimeter (r=0.97)、Area ↔ EquivDiameter (r=0.99)、MajorAxisLength ↔ Perimeter (r=0.97)。这些特征本质上是同一物理属性（尺寸）的不同度量，存在严重的多重共线性。</w:t>
      </w:r>
    </w:p>
    <w:p>
      <w:pPr>
        <w:pStyle w:val="ListBullet"/>
      </w:pPr>
      <w:r>
        <w:t>中等负相关：Compactness ↔ Area (r=-0.62)，符合"小而紧凑"的物理直觉。</w:t>
      </w:r>
    </w:p>
    <w:p>
      <w:pPr>
        <w:pStyle w:val="ListBullet"/>
      </w:pPr>
      <w:r>
        <w:t>近正交特征：ShapeFactor1-4 之间的相关性普遍较低，提供了相对独立的信息维度。</w:t>
      </w:r>
    </w:p>
    <w:p>
      <w:pPr>
        <w:pStyle w:val="Heading2"/>
      </w:pPr>
      <w:r>
        <w:rPr>
          <w:rFonts w:eastAsia="黑体"/>
          <w:rFonts w:ascii="黑体" w:hAnsi="黑体"/>
          <w:sz w:val="28"/>
        </w:rPr>
        <w:t>2.2 数据污染发现</w:t>
      </w:r>
    </w:p>
    <w:p>
      <w:r>
        <w:t>对原始数据进行系统性审查，发现了五类数据污染：</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before="20" w:after="20"/>
              <w:jc w:val="center"/>
            </w:pPr>
            <w:r>
              <w:rPr>
                <w:rFonts w:eastAsia="宋体"/>
                <w:rFonts w:ascii="宋体" w:hAnsi="宋体"/>
                <w:b/>
                <w:sz w:val="20"/>
              </w:rPr>
              <w:t>污染类型</w:t>
            </w:r>
          </w:p>
        </w:tc>
        <w:tc>
          <w:tcPr>
            <w:tcW w:type="dxa" w:w="2078"/>
          </w:tcPr>
          <w:p>
            <w:pPr>
              <w:spacing w:before="20" w:after="20"/>
              <w:jc w:val="center"/>
            </w:pPr>
            <w:r>
              <w:rPr>
                <w:rFonts w:eastAsia="宋体"/>
                <w:rFonts w:ascii="宋体" w:hAnsi="宋体"/>
                <w:b/>
                <w:sz w:val="20"/>
              </w:rPr>
              <w:t>影响列</w:t>
            </w:r>
          </w:p>
        </w:tc>
        <w:tc>
          <w:tcPr>
            <w:tcW w:type="dxa" w:w="2078"/>
          </w:tcPr>
          <w:p>
            <w:pPr>
              <w:spacing w:before="20" w:after="20"/>
              <w:jc w:val="center"/>
            </w:pPr>
            <w:r>
              <w:rPr>
                <w:rFonts w:eastAsia="宋体"/>
                <w:rFonts w:ascii="宋体" w:hAnsi="宋体"/>
                <w:b/>
                <w:sz w:val="20"/>
              </w:rPr>
              <w:t>严重程度</w:t>
            </w:r>
          </w:p>
        </w:tc>
        <w:tc>
          <w:tcPr>
            <w:tcW w:type="dxa" w:w="2078"/>
          </w:tcPr>
          <w:p>
            <w:pPr>
              <w:spacing w:before="20" w:after="20"/>
              <w:jc w:val="center"/>
            </w:pPr>
            <w:r>
              <w:rPr>
                <w:rFonts w:eastAsia="宋体"/>
                <w:rFonts w:ascii="宋体" w:hAnsi="宋体"/>
                <w:b/>
                <w:sz w:val="20"/>
              </w:rPr>
              <w:t>示例</w:t>
            </w:r>
          </w:p>
        </w:tc>
      </w:tr>
      <w:tr>
        <w:tc>
          <w:tcPr>
            <w:tcW w:type="dxa" w:w="2078"/>
          </w:tcPr>
          <w:p>
            <w:pPr>
              <w:spacing w:before="20" w:after="20"/>
              <w:jc w:val="center"/>
            </w:pPr>
            <w:r>
              <w:rPr>
                <w:rFonts w:eastAsia="宋体"/>
                <w:rFonts w:ascii="宋体" w:hAnsi="宋体"/>
                <w:sz w:val="20"/>
              </w:rPr>
              <w:t>UTF-8 BOM 头</w:t>
            </w:r>
          </w:p>
        </w:tc>
        <w:tc>
          <w:tcPr>
            <w:tcW w:type="dxa" w:w="2078"/>
          </w:tcPr>
          <w:p>
            <w:pPr>
              <w:spacing w:before="20" w:after="20"/>
              <w:jc w:val="center"/>
            </w:pPr>
            <w:r>
              <w:rPr>
                <w:rFonts w:eastAsia="宋体"/>
                <w:rFonts w:ascii="宋体" w:hAnsi="宋体"/>
                <w:sz w:val="20"/>
              </w:rPr>
              <w:t>首列列名</w:t>
            </w:r>
          </w:p>
        </w:tc>
        <w:tc>
          <w:tcPr>
            <w:tcW w:type="dxa" w:w="2078"/>
          </w:tcPr>
          <w:p>
            <w:pPr>
              <w:spacing w:before="20" w:after="20"/>
              <w:jc w:val="center"/>
            </w:pPr>
            <w:r>
              <w:rPr>
                <w:rFonts w:eastAsia="宋体"/>
                <w:rFonts w:ascii="宋体" w:hAnsi="宋体"/>
                <w:sz w:val="20"/>
              </w:rPr>
              <w:t>低</w:t>
            </w:r>
          </w:p>
        </w:tc>
        <w:tc>
          <w:tcPr>
            <w:tcW w:type="dxa" w:w="2078"/>
          </w:tcPr>
          <w:p>
            <w:pPr>
              <w:spacing w:before="20" w:after="20"/>
              <w:jc w:val="center"/>
            </w:pPr>
            <w:r>
              <w:rPr>
                <w:rFonts w:eastAsia="宋体"/>
                <w:rFonts w:ascii="宋体" w:hAnsi="宋体"/>
                <w:sz w:val="20"/>
              </w:rPr>
              <w:t>`﻿Area`</w:t>
            </w:r>
          </w:p>
        </w:tc>
      </w:tr>
      <w:tr>
        <w:tc>
          <w:tcPr>
            <w:tcW w:type="dxa" w:w="2078"/>
          </w:tcPr>
          <w:p>
            <w:pPr>
              <w:spacing w:before="20" w:after="20"/>
              <w:jc w:val="center"/>
            </w:pPr>
            <w:r>
              <w:rPr>
                <w:rFonts w:eastAsia="宋体"/>
                <w:rFonts w:ascii="宋体" w:hAnsi="宋体"/>
                <w:sz w:val="20"/>
              </w:rPr>
              <w:t>标签大小写混淆</w:t>
            </w:r>
          </w:p>
        </w:tc>
        <w:tc>
          <w:tcPr>
            <w:tcW w:type="dxa" w:w="2078"/>
          </w:tcPr>
          <w:p>
            <w:pPr>
              <w:spacing w:before="20" w:after="20"/>
              <w:jc w:val="center"/>
            </w:pPr>
            <w:r>
              <w:rPr>
                <w:rFonts w:eastAsia="宋体"/>
                <w:rFonts w:ascii="宋体" w:hAnsi="宋体"/>
                <w:sz w:val="20"/>
              </w:rPr>
              <w:t>Class</w:t>
            </w:r>
          </w:p>
        </w:tc>
        <w:tc>
          <w:tcPr>
            <w:tcW w:type="dxa" w:w="2078"/>
          </w:tcPr>
          <w:p>
            <w:pPr>
              <w:spacing w:before="20" w:after="20"/>
              <w:jc w:val="center"/>
            </w:pPr>
            <w:r>
              <w:rPr>
                <w:rFonts w:eastAsia="宋体"/>
                <w:rFonts w:ascii="宋体" w:hAnsi="宋体"/>
                <w:sz w:val="20"/>
              </w:rPr>
              <w:t>中</w:t>
            </w:r>
          </w:p>
        </w:tc>
        <w:tc>
          <w:tcPr>
            <w:tcW w:type="dxa" w:w="2078"/>
          </w:tcPr>
          <w:p>
            <w:pPr>
              <w:spacing w:before="20" w:after="20"/>
              <w:jc w:val="center"/>
            </w:pPr>
            <w:r>
              <w:rPr>
                <w:rFonts w:eastAsia="宋体"/>
                <w:rFonts w:ascii="宋体" w:hAnsi="宋体"/>
                <w:sz w:val="20"/>
              </w:rPr>
              <w:t>`dermason` for `DERMASON`</w:t>
            </w:r>
          </w:p>
        </w:tc>
      </w:tr>
      <w:tr>
        <w:tc>
          <w:tcPr>
            <w:tcW w:type="dxa" w:w="2078"/>
          </w:tcPr>
          <w:p>
            <w:pPr>
              <w:spacing w:before="20" w:after="20"/>
              <w:jc w:val="center"/>
            </w:pPr>
            <w:r>
              <w:rPr>
                <w:rFonts w:eastAsia="宋体"/>
                <w:rFonts w:ascii="宋体" w:hAnsi="宋体"/>
                <w:sz w:val="20"/>
              </w:rPr>
              <w:t>标签字符替换</w:t>
            </w:r>
          </w:p>
        </w:tc>
        <w:tc>
          <w:tcPr>
            <w:tcW w:type="dxa" w:w="2078"/>
          </w:tcPr>
          <w:p>
            <w:pPr>
              <w:spacing w:before="20" w:after="20"/>
              <w:jc w:val="center"/>
            </w:pPr>
            <w:r>
              <w:rPr>
                <w:rFonts w:eastAsia="宋体"/>
                <w:rFonts w:ascii="宋体" w:hAnsi="宋体"/>
                <w:sz w:val="20"/>
              </w:rPr>
              <w:t>Class</w:t>
            </w:r>
          </w:p>
        </w:tc>
        <w:tc>
          <w:tcPr>
            <w:tcW w:type="dxa" w:w="2078"/>
          </w:tcPr>
          <w:p>
            <w:pPr>
              <w:spacing w:before="20" w:after="20"/>
              <w:jc w:val="center"/>
            </w:pPr>
            <w:r>
              <w:rPr>
                <w:rFonts w:eastAsia="宋体"/>
                <w:rFonts w:ascii="宋体" w:hAnsi="宋体"/>
                <w:sz w:val="20"/>
              </w:rPr>
              <w:t>中</w:t>
            </w:r>
          </w:p>
        </w:tc>
        <w:tc>
          <w:tcPr>
            <w:tcW w:type="dxa" w:w="2078"/>
          </w:tcPr>
          <w:p>
            <w:pPr>
              <w:spacing w:before="20" w:after="20"/>
              <w:jc w:val="center"/>
            </w:pPr>
            <w:r>
              <w:rPr>
                <w:rFonts w:eastAsia="宋体"/>
                <w:rFonts w:ascii="宋体" w:hAnsi="宋体"/>
                <w:sz w:val="20"/>
              </w:rPr>
              <w:t>`D3RMAS0N` (3→E, 0→O), `H0R0Z`, `S3K3R`, `B0MBAY`</w:t>
            </w:r>
          </w:p>
        </w:tc>
      </w:tr>
      <w:tr>
        <w:tc>
          <w:tcPr>
            <w:tcW w:type="dxa" w:w="2078"/>
          </w:tcPr>
          <w:p>
            <w:pPr>
              <w:spacing w:before="20" w:after="20"/>
              <w:jc w:val="center"/>
            </w:pPr>
            <w:r>
              <w:rPr>
                <w:rFonts w:eastAsia="宋体"/>
                <w:rFonts w:ascii="宋体" w:hAnsi="宋体"/>
                <w:sz w:val="20"/>
              </w:rPr>
              <w:t>标签尾部空格</w:t>
            </w:r>
          </w:p>
        </w:tc>
        <w:tc>
          <w:tcPr>
            <w:tcW w:type="dxa" w:w="2078"/>
          </w:tcPr>
          <w:p>
            <w:pPr>
              <w:spacing w:before="20" w:after="20"/>
              <w:jc w:val="center"/>
            </w:pPr>
            <w:r>
              <w:rPr>
                <w:rFonts w:eastAsia="宋体"/>
                <w:rFonts w:ascii="宋体" w:hAnsi="宋体"/>
                <w:sz w:val="20"/>
              </w:rPr>
              <w:t>Class</w:t>
            </w:r>
          </w:p>
        </w:tc>
        <w:tc>
          <w:tcPr>
            <w:tcW w:type="dxa" w:w="2078"/>
          </w:tcPr>
          <w:p>
            <w:pPr>
              <w:spacing w:before="20" w:after="20"/>
              <w:jc w:val="center"/>
            </w:pPr>
            <w:r>
              <w:rPr>
                <w:rFonts w:eastAsia="宋体"/>
                <w:rFonts w:ascii="宋体" w:hAnsi="宋体"/>
                <w:sz w:val="20"/>
              </w:rPr>
              <w:t>低</w:t>
            </w:r>
          </w:p>
        </w:tc>
        <w:tc>
          <w:tcPr>
            <w:tcW w:type="dxa" w:w="2078"/>
          </w:tcPr>
          <w:p>
            <w:pPr>
              <w:spacing w:before="20" w:after="20"/>
              <w:jc w:val="center"/>
            </w:pPr>
            <w:r>
              <w:rPr>
                <w:rFonts w:eastAsia="宋体"/>
                <w:rFonts w:ascii="宋体" w:hAnsi="宋体"/>
                <w:sz w:val="20"/>
              </w:rPr>
              <w:t>`DERMASON `</w:t>
            </w:r>
          </w:p>
        </w:tc>
      </w:tr>
      <w:tr>
        <w:tc>
          <w:tcPr>
            <w:tcW w:type="dxa" w:w="2078"/>
          </w:tcPr>
          <w:p>
            <w:pPr>
              <w:spacing w:before="20" w:after="20"/>
              <w:jc w:val="center"/>
            </w:pPr>
            <w:r>
              <w:rPr>
                <w:rFonts w:eastAsia="宋体"/>
                <w:rFonts w:ascii="宋体" w:hAnsi="宋体"/>
                <w:sz w:val="20"/>
              </w:rPr>
              <w:t>数值缺失</w:t>
            </w:r>
          </w:p>
        </w:tc>
        <w:tc>
          <w:tcPr>
            <w:tcW w:type="dxa" w:w="2078"/>
          </w:tcPr>
          <w:p>
            <w:pPr>
              <w:spacing w:before="20" w:after="20"/>
              <w:jc w:val="center"/>
            </w:pPr>
            <w:r>
              <w:rPr>
                <w:rFonts w:eastAsia="宋体"/>
                <w:rFonts w:ascii="宋体" w:hAnsi="宋体"/>
                <w:sz w:val="20"/>
              </w:rPr>
              <w:t>Perimeter</w:t>
            </w:r>
          </w:p>
        </w:tc>
        <w:tc>
          <w:tcPr>
            <w:tcW w:type="dxa" w:w="2078"/>
          </w:tcPr>
          <w:p>
            <w:pPr>
              <w:spacing w:before="20" w:after="20"/>
              <w:jc w:val="center"/>
            </w:pPr>
            <w:r>
              <w:rPr>
                <w:rFonts w:eastAsia="宋体"/>
                <w:rFonts w:ascii="宋体" w:hAnsi="宋体"/>
                <w:sz w:val="20"/>
              </w:rPr>
              <w:t>高</w:t>
            </w:r>
          </w:p>
        </w:tc>
        <w:tc>
          <w:tcPr>
            <w:tcW w:type="dxa" w:w="2078"/>
          </w:tcPr>
          <w:p>
            <w:pPr>
              <w:spacing w:before="20" w:after="20"/>
              <w:jc w:val="center"/>
            </w:pPr>
            <w:r>
              <w:rPr>
                <w:rFonts w:eastAsia="宋体"/>
                <w:rFonts w:ascii="宋体" w:hAnsi="宋体"/>
                <w:sz w:val="20"/>
              </w:rPr>
              <w:t>469/146/62 行（train/test/val）</w:t>
            </w:r>
          </w:p>
        </w:tc>
      </w:tr>
      <w:tr>
        <w:tc>
          <w:tcPr>
            <w:tcW w:type="dxa" w:w="2078"/>
          </w:tcPr>
          <w:p>
            <w:pPr>
              <w:spacing w:before="20" w:after="20"/>
              <w:jc w:val="center"/>
            </w:pPr>
            <w:r>
              <w:rPr>
                <w:rFonts w:eastAsia="宋体"/>
                <w:rFonts w:ascii="宋体" w:hAnsi="宋体"/>
                <w:sz w:val="20"/>
              </w:rPr>
              <w:t>占位符</w:t>
            </w:r>
          </w:p>
        </w:tc>
        <w:tc>
          <w:tcPr>
            <w:tcW w:type="dxa" w:w="2078"/>
          </w:tcPr>
          <w:p>
            <w:pPr>
              <w:spacing w:before="20" w:after="20"/>
              <w:jc w:val="center"/>
            </w:pPr>
            <w:r>
              <w:rPr>
                <w:rFonts w:eastAsia="宋体"/>
                <w:rFonts w:ascii="宋体" w:hAnsi="宋体"/>
                <w:sz w:val="20"/>
              </w:rPr>
              <w:t>Solidity</w:t>
            </w:r>
          </w:p>
        </w:tc>
        <w:tc>
          <w:tcPr>
            <w:tcW w:type="dxa" w:w="2078"/>
          </w:tcPr>
          <w:p>
            <w:pPr>
              <w:spacing w:before="20" w:after="20"/>
              <w:jc w:val="center"/>
            </w:pPr>
            <w:r>
              <w:rPr>
                <w:rFonts w:eastAsia="宋体"/>
                <w:rFonts w:ascii="宋体" w:hAnsi="宋体"/>
                <w:sz w:val="20"/>
              </w:rPr>
              <w:t>高</w:t>
            </w:r>
          </w:p>
        </w:tc>
        <w:tc>
          <w:tcPr>
            <w:tcW w:type="dxa" w:w="2078"/>
          </w:tcPr>
          <w:p>
            <w:pPr>
              <w:spacing w:before="20" w:after="20"/>
              <w:jc w:val="center"/>
            </w:pPr>
            <w:r>
              <w:rPr>
                <w:rFonts w:eastAsia="宋体"/>
                <w:rFonts w:ascii="宋体" w:hAnsi="宋体"/>
                <w:sz w:val="20"/>
              </w:rPr>
              <w:t>`?` 替代缺失值</w:t>
            </w:r>
          </w:p>
        </w:tc>
      </w:tr>
      <w:tr>
        <w:tc>
          <w:tcPr>
            <w:tcW w:type="dxa" w:w="2078"/>
          </w:tcPr>
          <w:p>
            <w:pPr>
              <w:spacing w:before="20" w:after="20"/>
              <w:jc w:val="center"/>
            </w:pPr>
            <w:r>
              <w:rPr>
                <w:rFonts w:eastAsia="宋体"/>
                <w:rFonts w:ascii="宋体" w:hAnsi="宋体"/>
                <w:sz w:val="20"/>
              </w:rPr>
              <w:t>单位后缀</w:t>
            </w:r>
          </w:p>
        </w:tc>
        <w:tc>
          <w:tcPr>
            <w:tcW w:type="dxa" w:w="2078"/>
          </w:tcPr>
          <w:p>
            <w:pPr>
              <w:spacing w:before="20" w:after="20"/>
              <w:jc w:val="center"/>
            </w:pPr>
            <w:r>
              <w:rPr>
                <w:rFonts w:eastAsia="宋体"/>
                <w:rFonts w:ascii="宋体" w:hAnsi="宋体"/>
                <w:sz w:val="20"/>
              </w:rPr>
              <w:t>Compactness</w:t>
            </w:r>
          </w:p>
        </w:tc>
        <w:tc>
          <w:tcPr>
            <w:tcW w:type="dxa" w:w="2078"/>
          </w:tcPr>
          <w:p>
            <w:pPr>
              <w:spacing w:before="20" w:after="20"/>
              <w:jc w:val="center"/>
            </w:pPr>
            <w:r>
              <w:rPr>
                <w:rFonts w:eastAsia="宋体"/>
                <w:rFonts w:ascii="宋体" w:hAnsi="宋体"/>
                <w:sz w:val="20"/>
              </w:rPr>
              <w:t>中</w:t>
            </w:r>
          </w:p>
        </w:tc>
        <w:tc>
          <w:tcPr>
            <w:tcW w:type="dxa" w:w="2078"/>
          </w:tcPr>
          <w:p>
            <w:pPr>
              <w:spacing w:before="20" w:after="20"/>
              <w:jc w:val="center"/>
            </w:pPr>
            <w:r>
              <w:rPr>
                <w:rFonts w:eastAsia="宋体"/>
                <w:rFonts w:ascii="宋体" w:hAnsi="宋体"/>
                <w:sz w:val="20"/>
              </w:rPr>
              <w:t>`0.9293 cm` 含单位</w:t>
            </w:r>
          </w:p>
        </w:tc>
      </w:tr>
    </w:tbl>
    <w:p/>
    <w:p>
      <w:r>
        <w:t>上述污染若不加处理直接训练，将导致：(1) 标签类数量膨胀至 25 个；(2) 缺失值列引发运算异常；(3) 带单位字符串无法转为浮点数。</w:t>
      </w:r>
    </w:p>
    <w:p>
      <w:pPr>
        <w:pStyle w:val="Heading2"/>
      </w:pPr>
      <w:r>
        <w:rPr>
          <w:rFonts w:eastAsia="黑体"/>
          <w:rFonts w:ascii="黑体" w:hAnsi="黑体"/>
          <w:sz w:val="28"/>
        </w:rPr>
        <w:t>2.3 类别不平衡</w:t>
      </w:r>
    </w:p>
    <w:p>
      <w:r>
        <w:t>如图 class_distribution.png 所示，BOMBAY（361 条）与 DERMASON（2,503 条）样本比约 1:7。这种不平衡意味着高准确率可能掩盖少数类的低召回率，因此后续评估以宏平均 F1 作为主要指标。</w:t>
      </w:r>
    </w:p>
    <w:p>
      <w:pPr>
        <w:pStyle w:val="Heading1"/>
      </w:pPr>
      <w:r>
        <w:rPr>
          <w:rFonts w:eastAsia="黑体"/>
          <w:rFonts w:ascii="黑体" w:hAnsi="黑体"/>
          <w:sz w:val="32"/>
        </w:rPr>
        <w:t>3. 数据处理（30%）</w:t>
      </w:r>
    </w:p>
    <w:p>
      <w:pPr>
        <w:pStyle w:val="Heading2"/>
      </w:pPr>
      <w:r>
        <w:rPr>
          <w:rFonts w:eastAsia="黑体"/>
          <w:rFonts w:ascii="黑体" w:hAnsi="黑体"/>
          <w:sz w:val="28"/>
        </w:rPr>
        <w:t>3.1 标签清洗</w:t>
      </w:r>
    </w:p>
    <w:p>
      <w:r>
        <w:t>采用穷举映射策略：先在训练集上遍历 y.unique() 获取所有原始标签，建立完整的 LABEL_MAP 字典（共 26 个键），覆盖大小写变体、字符替换攻击和尾部空格变体。清洗过程为 strip() → LABEL_MAP 查找 → 输出标准标签。若出现未收录标签，抛出 ValueError 进行人工审查。</w:t>
      </w:r>
    </w:p>
    <w:p>
      <w:pPr>
        <w:pStyle w:val="Heading2"/>
      </w:pPr>
      <w:r>
        <w:rPr>
          <w:rFonts w:eastAsia="黑体"/>
          <w:rFonts w:ascii="黑体" w:hAnsi="黑体"/>
          <w:sz w:val="28"/>
        </w:rPr>
        <w:t>3.2 数值特征清洗</w:t>
      </w:r>
    </w:p>
    <w:p>
      <w:r>
        <w:t>严格按照"fit 仅训练集"原则，构建了三阶段清洗流水线：</w:t>
      </w:r>
    </w:p>
    <w:p>
      <w:pPr>
        <w:pStyle w:val="ListNumber"/>
      </w:pPr>
      <w:r>
        <w:t>Compactness 单位去除：正则表达式 \s*cm\s*$ 剥离数值后的单位后缀</w:t>
      </w:r>
      <w:r>
        <w:t>Compactness 单位去除：正则表达式 \s*cm\s*$ 剥离数值后的单位后缀</w:t>
      </w:r>
    </w:p>
    <w:p>
      <w:pPr>
        <w:pStyle w:val="ListNumber"/>
      </w:pPr>
      <w:r>
        <w:t>Solidity 占位符替换：? → NaN</w:t>
      </w:r>
      <w:r>
        <w:t>Solidity 占位符替换：? → NaN</w:t>
      </w:r>
    </w:p>
    <w:p>
      <w:pPr>
        <w:pStyle w:val="ListNumber"/>
      </w:pPr>
      <w:r>
        <w:t>缺失值填补：对 Perimeter 和 Solidty 使用训练集中位数填补，测试集和验证集使用训练集计算的中位数进行变换</w:t>
      </w:r>
      <w:r>
        <w:t>缺失值填补：对 Perimeter 和 Solidty 使用训练集中位数填补，测试集和验证集使用训练集计算的中位数进行变换</w:t>
      </w:r>
    </w:p>
    <w:p>
      <w:pPr>
        <w:pStyle w:val="ListNumber"/>
      </w:pPr>
      <w:r>
        <w:t>标准化：StandardScaler 仅在训练集上 fit()，再对所有集合执行 transform()</w:t>
      </w:r>
      <w:r>
        <w:t>标准化：StandardScaler 仅在训练集上 fit()，再对所有集合执行 transform()</w:t>
      </w:r>
    </w:p>
    <w:p>
      <w:pPr>
        <w:pStyle w:val="Heading2"/>
      </w:pPr>
      <w:r>
        <w:rPr>
          <w:rFonts w:eastAsia="黑体"/>
          <w:rFonts w:ascii="黑体" w:hAnsi="黑体"/>
          <w:sz w:val="28"/>
        </w:rPr>
        <w:t>3.3 噪声注入设计</w:t>
      </w:r>
    </w:p>
    <w:p>
      <w:r>
        <w:t>为评估算法鲁棒性，设计了三种噪声类型的统一注入接口 inject_noise(X_train, y_train, noise_type, level, random_seed=42)：</w:t>
      </w:r>
    </w:p>
    <w:p>
      <w:pPr>
        <w:pStyle w:val="ListBullet"/>
      </w:pPr>
      <w:r>
        <w:t>高斯噪声（η ∈ {0.05, 0.15, 0.30}）：X_noisy = X + η × σ_feature × N(0,1)</w:t>
      </w:r>
    </w:p>
    <w:p>
      <w:pPr>
        <w:pStyle w:val="ListBullet"/>
      </w:pPr>
      <w:r>
        <w:t>标签翻转（η ∈ {0.10, 0.20, 0.30}）：随机选取 η 比例标签替换为其他类别</w:t>
      </w:r>
    </w:p>
    <w:p>
      <w:pPr>
        <w:pStyle w:val="ListBullet"/>
      </w:pPr>
      <w:r>
        <w:t>特征缺失（η ∈ {0.10, 0.20, 0.30}）：随机掩盖 η 比例元素为 NaN，用训练集列均值回填</w:t>
      </w:r>
    </w:p>
    <w:p>
      <w:r>
        <w:t>关键设计约束：</w:t>
      </w:r>
    </w:p>
    <w:p>
      <w:pPr>
        <w:pStyle w:val="ListBullet"/>
      </w:pPr>
      <w:r>
        <w:t>噪声仅注入训练集，测试集始终保持干净</w:t>
      </w:r>
    </w:p>
    <w:p>
      <w:pPr>
        <w:pStyle w:val="ListBullet"/>
      </w:pPr>
      <w:r>
        <w:t>使用局部 np.random.RandomState(seed) 隔离随机状态</w:t>
      </w:r>
    </w:p>
    <w:p>
      <w:pPr>
        <w:pStyle w:val="ListBullet"/>
      </w:pPr>
      <w:r>
        <w:t>每次噪声实验独立拟合 StandardScaler：基于受污染训练集新建 scaler，避免干净分布假设泄露</w:t>
      </w:r>
    </w:p>
    <w:p>
      <w:pPr>
        <w:pStyle w:val="Heading2"/>
      </w:pPr>
      <w:r>
        <w:rPr>
          <w:rFonts w:eastAsia="黑体"/>
          <w:rFonts w:ascii="黑体" w:hAnsi="黑体"/>
          <w:sz w:val="28"/>
        </w:rPr>
        <w:t>3.4 特征冗余声明</w:t>
      </w:r>
    </w:p>
    <w:p>
      <w:r>
        <w:t>Area、ConvexArea、Perimeter、EquivDiameter、MajorAxisLength 之间存在高度线性相关性（r&gt;0.95），这构成了信息冗余。但我们保留全部 16 个特征，以观察不同算法对多重共线性的鲁棒性差异：</w:t>
      </w:r>
    </w:p>
    <w:p>
      <w:pPr>
        <w:pStyle w:val="ListBullet"/>
      </w:pPr>
      <w:r>
        <w:t>SVM 的 hinge loss 优化面可能在共线性方向上变得扁平，收敛减缓</w:t>
      </w:r>
    </w:p>
    <w:p>
      <w:pPr>
        <w:pStyle w:val="ListBullet"/>
      </w:pPr>
      <w:r>
        <w:t>MLP 的权重学习可能被冗余特征干扰，增加过拟合风险</w:t>
      </w:r>
    </w:p>
    <w:p>
      <w:pPr>
        <w:pStyle w:val="ListBullet"/>
      </w:pPr>
      <w:r>
        <w:t>XGBoost 的树分裂天然不受线性相关性影响</w:t>
      </w:r>
    </w:p>
    <w:p>
      <w:pPr>
        <w:pStyle w:val="ListBullet"/>
      </w:pPr>
      <w:r>
        <w:t>KNN 的距离度量在高维冗余空间中精度下降，距离失去物理意义</w:t>
      </w:r>
    </w:p>
    <w:p>
      <w:pPr>
        <w:pStyle w:val="Heading1"/>
      </w:pPr>
      <w:r>
        <w:rPr>
          <w:rFonts w:eastAsia="黑体"/>
          <w:rFonts w:ascii="黑体" w:hAnsi="黑体"/>
          <w:sz w:val="32"/>
        </w:rPr>
        <w:t>4. 多算法实验分析（30%）</w:t>
      </w:r>
    </w:p>
    <w:p>
      <w:pPr>
        <w:pStyle w:val="Heading2"/>
      </w:pPr>
      <w:r>
        <w:rPr>
          <w:rFonts w:eastAsia="黑体"/>
          <w:rFonts w:ascii="黑体" w:hAnsi="黑体"/>
          <w:sz w:val="28"/>
        </w:rPr>
        <w:t>4.1 算法选择与论证</w:t>
      </w:r>
    </w:p>
    <w:p>
      <w:r>
        <w:t>本实验选择四种多分类算法，覆盖四类机器学习范式：</w:t>
      </w:r>
    </w:p>
    <w:p>
      <w:r>
        <w:t>| 算法 | 范式 | 核心假设 | 课堂状态 | Loss 曲线指标 |</w:t>
      </w:r>
    </w:p>
    <w:p>
      <w:r>
        <w:t>|------|------|----------|:--------:|---------------|</w:t>
      </w:r>
    </w:p>
    <w:p>
      <w:r>
        <w:t>| KNN (k=5) | 实例学习 | 邻近样本共享类别 | 已学 | N/A（非迭代） |</w:t>
      </w:r>
    </w:p>
    <w:p>
      <w:r>
        <w:t>| SVM (SGD) | 最大间隔 | 线性可分决策边界 | 已学 | 验证错误率 |</w:t>
      </w:r>
    </w:p>
    <w:p>
      <w:r>
        <w:t>| MLP (64,32) | 深度神经网络 | 多层非线性变换 | 已学 | 验证错误率 |</w:t>
      </w:r>
    </w:p>
    <w:p>
      <w:r>
        <w:t>| XGBoost | 梯度提升树 | 弱分类器迭代拟合残差 | 未学 | mlogloss |</w:t>
      </w:r>
    </w:p>
    <w:p>
      <w:pPr>
        <w:pStyle w:val="Heading3"/>
      </w:pPr>
      <w:r>
        <w:rPr>
          <w:rFonts w:eastAsia="黑体"/>
          <w:rFonts w:ascii="黑体" w:hAnsi="黑体"/>
          <w:sz w:val="26"/>
        </w:rPr>
        <w:t>4.1.1 弃用 VGG 的学术论证</w:t>
      </w:r>
    </w:p>
    <w:p>
      <w:r>
        <w:t>VGG 等二维卷积神经网络假设输入数据具备空间局部相关性和平移等变性——即相邻像素之间存在语义关联，卷积核通过滑动窗口提取空间结构特征。然而，干豆数据集的 16 个特征为无空间/时序结构的异构表格型属性（如 Area 与 Compactness 之间不存在可交换的拓扑关系），强行 reshape 为二维张量并进行卷积操作缺乏物理依据。</w:t>
      </w:r>
    </w:p>
    <w:p>
      <w:r>
        <w:t>尽管存在 1D-CNN 或 TabNet 等适用于表格数据的专用深度架构，本实验重在对比经典浅层学习与集成学习的本质差异，因此选择 XGBoost 作为未讲授算法的代表。XGBoost 自 2016 年提出以来，在 Kaggle 竞赛和工业级表格数据任务中屡获最佳表现，其正则化目标函数、列采样和 shrinkage 机制在精度与可解释性之间取得了出色平衡。</w:t>
      </w:r>
    </w:p>
    <w:p>
      <w:pPr>
        <w:pStyle w:val="Heading2"/>
      </w:pPr>
      <w:r>
        <w:rPr>
          <w:rFonts w:eastAsia="黑体"/>
          <w:rFonts w:ascii="黑体" w:hAnsi="黑体"/>
          <w:sz w:val="28"/>
        </w:rPr>
        <w:t>4.2 测试集精度对比</w:t>
      </w:r>
    </w:p>
    <w:p>
      <w:r>
        <w:t>| 算法 | 测试准确率 | 宏平均 F1 |</w:t>
      </w:r>
    </w:p>
    <w:p>
      <w:r>
        <w:t>|------|:--------:|:--------:|</w:t>
      </w:r>
    </w:p>
    <w:p>
      <w:r>
        <w:t>| KNN (k=5) | 0.9214 | 0.9305 |</w:t>
      </w:r>
    </w:p>
    <w:p>
      <w:r>
        <w:t>| SVM (SGD) | 0.9028 | 0.9172 |</w:t>
      </w:r>
    </w:p>
    <w:p>
      <w:r>
        <w:t>| MLP (64,32) | 0.9273 | 0.9357 |</w:t>
      </w:r>
    </w:p>
    <w:p>
      <w:r>
        <w:t>| XGBoost | 0.9236 | 0.9356 |</w:t>
      </w:r>
    </w:p>
    <w:p>
      <w:pPr>
        <w:pStyle w:val="ListBullet"/>
      </w:pPr>
      <w:r>
        <w:t>MLP 取得最高精度（0.9273），得益于其两层非线性变换（64→32）能够学习特征的交互组合</w:t>
      </w:r>
    </w:p>
    <w:p>
      <w:pPr>
        <w:pStyle w:val="ListBullet"/>
      </w:pPr>
      <w:r>
        <w:t>XGBoost 紧随其后（0.9236），作为树模型在纯数值特征上接近神经网络表现</w:t>
      </w:r>
    </w:p>
    <w:p>
      <w:pPr>
        <w:pStyle w:val="ListBullet"/>
      </w:pPr>
      <w:r>
        <w:t>KNN 第三（0.9214），距离加权的投票机制简单有效</w:t>
      </w:r>
    </w:p>
    <w:p>
      <w:pPr>
        <w:pStyle w:val="ListBullet"/>
      </w:pPr>
      <w:r>
        <w:t>SVM 最低（0.9028），线性 hinge loss 假设难以捕捉非线性类别边界</w:t>
      </w:r>
    </w:p>
    <w:p>
      <w:pPr>
        <w:pStyle w:val="Heading3"/>
      </w:pPr>
      <w:r>
        <w:rPr>
          <w:rFonts w:eastAsia="黑体"/>
          <w:rFonts w:ascii="黑体" w:hAnsi="黑体"/>
          <w:sz w:val="26"/>
        </w:rPr>
        <w:t>4.2.1 逐类 F1 分析</w:t>
      </w:r>
    </w:p>
    <w:p>
      <w:r>
        <w:t>见 per_class_f1.png 热力图。BOMBAY 类在所有算法上均取得最高 F1（≈0.986-1.000），因其特征与其他类差异最大；SIRA 类 F1 最低（≈0.836-0.880），易与 HOROZ 混淆。XGBoost 在 BARBUNYA 和 SIRA 上表现最优，MLP 在 SEKER 和 CALI 上表现最优。</w:t>
      </w:r>
    </w:p>
    <w:p>
      <w:pPr>
        <w:pStyle w:val="Heading2"/>
      </w:pPr>
      <w:r>
        <w:rPr>
          <w:rFonts w:eastAsia="黑体"/>
          <w:rFonts w:ascii="黑体" w:hAnsi="黑体"/>
          <w:sz w:val="28"/>
        </w:rPr>
        <w:t>4.3 Loss 曲线对比</w:t>
      </w:r>
    </w:p>
    <w:p>
      <w:r>
        <w:t>三种训练型算法产生了三类不同性质的收敛曲线（见 loss_curves.png）：</w:t>
      </w:r>
    </w:p>
    <w:p>
      <w:pPr>
        <w:pStyle w:val="ListBullet"/>
      </w:pPr>
      <w:r>
        <w:t>SVM (SGD)：Hinge loss 在约 15 epoch 后趋于平缓，验证错误率从 40% 下降至约 10%，曲线上未见明显的训练-验证分叉，说明线性模型的过拟合风险低</w:t>
      </w:r>
    </w:p>
    <w:p>
      <w:pPr>
        <w:pStyle w:val="ListBullet"/>
      </w:pPr>
      <w:r>
        <w:t>MLP：交叉熵损失在前 20 epoch 快速下降后持续缓慢收敛，验证错误率在约 10% 处振荡，100 epoch 时未见显著抬升，说明 (64,32) 结构正则化合理</w:t>
      </w:r>
    </w:p>
    <w:p>
      <w:pPr>
        <w:pStyle w:val="ListBullet"/>
      </w:pPr>
      <w:r>
        <w:t>XGBoost：mlogloss 呈阶梯式下降（每轮 boosting 对应一次显著降低），训练集与验证集曲线几乎重合至 150 轮后出现轻微分叉（Δ mlogloss ≈ 0.05），表明 boosting 后期出现了极轻微的过拟合</w:t>
      </w:r>
    </w:p>
    <w:p>
      <w:r>
        <w:t>KNN 留白：因 KNN 为惰性学习算法，无迭代训练过程，图表中以"Non-iterative lazy learner"标注。</w:t>
      </w:r>
    </w:p>
    <w:p>
      <w:pPr>
        <w:ind w:left="567"/>
      </w:pPr>
      <w:r>
        <w:rPr>
          <w:i/>
          <w:color w:val="555555"/>
          <w:sz w:val="22"/>
        </w:rPr>
        <w:t>指标异构声明：SVM 与 MLP 的纵坐标为"1 - accuracy"（验证错误率），XGBoost 的纵坐标为 mlogloss。三者量纲不同，数值不可直接比较，但曲线的趋势（收敛速度、过拟合拐点、训练-验证分叉）可反映各算法的泛化行为。</w:t>
      </w:r>
    </w:p>
    <w:p>
      <w:pPr>
        <w:pStyle w:val="Heading2"/>
      </w:pPr>
      <w:r>
        <w:rPr>
          <w:rFonts w:eastAsia="黑体"/>
          <w:rFonts w:ascii="黑体" w:hAnsi="黑体"/>
          <w:sz w:val="28"/>
        </w:rPr>
        <w:t>4.4 推理速度对比</w:t>
      </w:r>
    </w:p>
    <w:p>
      <w:r>
        <w:t>| 算法 | 推理时间 (ms/样本) | 相对速度 | 机制 |</w:t>
      </w:r>
    </w:p>
    <w:p>
      <w:r>
        <w:t>|------|:-----------------:|:------:|------|</w:t>
      </w:r>
    </w:p>
    <w:p>
      <w:r>
        <w:t>| SVM | 0.00034 | 1.0× | 支持向量点积 |</w:t>
      </w:r>
    </w:p>
    <w:p>
      <w:r>
        <w:t>| MLP | 0.00086 | 2.5× | 矩阵乘法 |</w:t>
      </w:r>
    </w:p>
    <w:p>
      <w:r>
        <w:t>| XGBoost | 0.00426 | 12.5× | 树遍历 |</w:t>
      </w:r>
    </w:p>
    <w:p>
      <w:r>
        <w:t>| KNN | 0.00929 | 27.3× | 全量距离计算 |</w:t>
      </w:r>
    </w:p>
    <w:p>
      <w:pPr>
        <w:pStyle w:val="ListBullet"/>
      </w:pPr>
      <w:r>
        <w:t>SVM 推理最快，仅需计算少量支持向量的点积</w:t>
      </w:r>
    </w:p>
    <w:p>
      <w:pPr>
        <w:pStyle w:val="ListBullet"/>
      </w:pPr>
      <w:r>
        <w:t>KNN 推理最慢（~27×），每次预测需遍历全部 9,527 个训练样本</w:t>
      </w:r>
    </w:p>
    <w:p>
      <w:pPr>
        <w:pStyle w:val="ListBullet"/>
      </w:pPr>
      <w:r>
        <w:t>跨度 27 倍的速度差异在实际部署场景中有显著意义</w:t>
      </w:r>
    </w:p>
    <w:p>
      <w:pPr>
        <w:pStyle w:val="Heading2"/>
      </w:pPr>
      <w:r>
        <w:rPr>
          <w:rFonts w:eastAsia="黑体"/>
          <w:rFonts w:ascii="黑体" w:hAnsi="黑体"/>
          <w:sz w:val="28"/>
        </w:rPr>
        <w:t>4.5 训练时间对比（新增维度）</w:t>
      </w:r>
    </w:p>
    <w:p>
      <w:r>
        <w:t>| 算法 | 训练时间 (秒) | 机制 |</w:t>
      </w:r>
    </w:p>
    <w:p>
      <w:r>
        <w:t>|------|:------------:|------|</w:t>
      </w:r>
    </w:p>
    <w:p>
      <w:r>
        <w:t>| KNN | 0.007 | 无训练（仅建索引） |</w:t>
      </w:r>
    </w:p>
    <w:p>
      <w:r>
        <w:t>| SVM | 0.65 | SGD 50 epochs |</w:t>
      </w:r>
    </w:p>
    <w:p>
      <w:r>
        <w:t>| XGBoost | 1.69 | Boosting 200 rounds |</w:t>
      </w:r>
    </w:p>
    <w:p>
      <w:r>
        <w:t>| MLP | 5.09 | SGD 100 epochs × 全量 |</w:t>
      </w:r>
    </w:p>
    <w:p>
      <w:r>
        <w:t>KNN 的"训练"仅为内存索引构建（近乎零成本），而MLP 的训练时间是 XGBoost 的 3 倍、SVM 的 8 倍，反映了神经网络在中等规模数据上的计算代价。</w:t>
      </w:r>
    </w:p>
    <w:p>
      <w:pPr>
        <w:pStyle w:val="Heading2"/>
      </w:pPr>
      <w:r>
        <w:rPr>
          <w:rFonts w:eastAsia="黑体"/>
          <w:rFonts w:ascii="黑体" w:hAnsi="黑体"/>
          <w:sz w:val="28"/>
        </w:rPr>
        <w:t>4.6 模型复杂度（新增维度）</w:t>
      </w:r>
    </w:p>
    <w:p>
      <w:r>
        <w:t>| 算法 | 模型大小 (KB) | 参数量 | 本质 |</w:t>
      </w:r>
    </w:p>
    <w:p>
      <w:r>
        <w:t>|------|:-----------:|:-----:|------|</w:t>
      </w:r>
    </w:p>
    <w:p>
      <w:r>
        <w:t>| SVM | 0.93 | 119 | 7×(16+1) 分类权重 |</w:t>
      </w:r>
    </w:p>
    <w:p>
      <w:r>
        <w:t>| MLP | 26.6 | 3,399 | 16×64 + 64×32 + 32×7 |</w:t>
      </w:r>
    </w:p>
    <w:p>
      <w:r>
        <w:t>| KNN | 1,190.9 | 152,432 | 存储全部训练样本 |</w:t>
      </w:r>
    </w:p>
    <w:p>
      <w:r>
        <w:t>| XGBoost | 2,744.6 | — | 200 棵×叶子节点 |</w:t>
      </w:r>
    </w:p>
    <w:p>
      <w:r>
        <w:t>SVM 的模型最小（&lt;1KB），适合边缘设备部署；KNN 无训练模型但存储成本最高（本质是"模型=数据"）；XGBoost 模型最大但提供特征重要性解释。</w:t>
      </w:r>
    </w:p>
    <w:p>
      <w:pPr>
        <w:pStyle w:val="Heading2"/>
      </w:pPr>
      <w:r>
        <w:rPr>
          <w:rFonts w:eastAsia="黑体"/>
          <w:rFonts w:ascii="黑体" w:hAnsi="黑体"/>
          <w:sz w:val="28"/>
        </w:rPr>
        <w:t>4.7 鲁棒性分析</w:t>
      </w:r>
    </w:p>
    <w:p>
      <w:r>
        <w:t>三种噪声 × 四种算法 × 三档强度的全面测试结果见 robustness_curves.png。下表汇总中等强度下的精度：</w:t>
      </w:r>
    </w:p>
    <w:p>
      <w:r>
        <w:t>| 算法 | 干净(基线) | 高斯 η=0.15 | 标签翻转 20% | 特征缺失 20% |</w:t>
      </w:r>
    </w:p>
    <w:p>
      <w:r>
        <w:t>|------|:--------:|:--------:|:--------:|:--------:|</w:t>
      </w:r>
    </w:p>
    <w:p>
      <w:r>
        <w:t>| KNN | 0.9214 | 0.9160 | 0.8922 | 0.9116 |</w:t>
      </w:r>
    </w:p>
    <w:p>
      <w:r>
        <w:t>| SVM | 0.9028 | 0.9090 | 0.7541 | 0.8126 |</w:t>
      </w:r>
    </w:p>
    <w:p>
      <w:r>
        <w:t>| MLP | 0.9273 | 0.9266 | 0.9251 | 0.9222 |</w:t>
      </w:r>
    </w:p>
    <w:p>
      <w:r>
        <w:t>| XGBoost | 0.9236 | 0.9262 | 0.9160 | 0.9247 |</w:t>
      </w:r>
    </w:p>
    <w:p>
      <w:pPr>
        <w:pStyle w:val="Heading3"/>
      </w:pPr>
      <w:r>
        <w:rPr>
          <w:rFonts w:eastAsia="黑体"/>
          <w:rFonts w:ascii="黑体" w:hAnsi="黑体"/>
          <w:sz w:val="26"/>
        </w:rPr>
        <w:t>关键发现</w:t>
      </w:r>
    </w:p>
    <w:p>
      <w:pPr>
        <w:pStyle w:val="ListNumber"/>
      </w:pPr>
      <w:r>
        <w:t>XGBoost 是鲁棒性之王：在所有噪声类型 × 所有强度下，精度损失&lt;0.008。树模型的逐特征分裂机制天然不受单特征噪声影响，梯度提升的 ensemble 性质进一步平滑了噪声扰动。</w:t>
      </w:r>
      <w:r>
        <w:t>XGBoost 是鲁棒性之王：在所有噪声类型 × 所有强度下，精度损失&lt;0.008。树模型的逐特征分裂机制天然不受单特征噪声影响，梯度提升的 ensemble 性质进一步平滑了噪声扰动。</w:t>
      </w:r>
    </w:p>
    <w:p>
      <w:pPr>
        <w:pStyle w:val="ListNumber"/>
      </w:pPr>
      <w:r>
        <w:t>标签噪声对 SVM 致命：20% 标签翻转下 SVM 精度仅 0.7541（下降 16.5%）。hinge loss 对标签错误的惩罚过重，单个错误标签即可显著扭曲决策边界。</w:t>
      </w:r>
      <w:r>
        <w:t>标签噪声对 SVM 致命：20% 标签翻转下 SVM 精度仅 0.7541（下降 16.5%）。hinge loss 对标签错误的惩罚过重，单个错误标签即可显著扭曲决策边界。</w:t>
      </w:r>
    </w:p>
    <w:p>
      <w:pPr>
        <w:pStyle w:val="ListNumber"/>
      </w:pPr>
      <w:r>
        <w:t>MLP 对标签噪声惊人地鲁棒：20% 标签噪声下精度仅下降 0.002，神经网络的大参数空间使其可以在一定噪声比例下仍学到正确的分类边界。</w:t>
      </w:r>
      <w:r>
        <w:t>MLP 对标签噪声惊人地鲁棒：20% 标签噪声下精度仅下降 0.002，神经网络的大参数空间使其可以在一定噪声比例下仍学到正确的分类边界。</w:t>
      </w:r>
    </w:p>
    <w:p>
      <w:pPr>
        <w:pStyle w:val="ListNumber"/>
      </w:pPr>
      <w:r>
        <w:t>高斯噪声对各算法影响最温和：XGBoost 甚至出现精度微弱提升（0.9236→0.9262），可能是噪声起到的正则化效应。</w:t>
      </w:r>
      <w:r>
        <w:t>高斯噪声对各算法影响最温和：XGBoost 甚至出现精度微弱提升（0.9236→0.9262），可能是噪声起到的正则化效应。</w:t>
      </w:r>
    </w:p>
    <w:p>
      <w:pPr>
        <w:pStyle w:val="ListNumber"/>
      </w:pPr>
      <w:r>
        <w:t>KNN 对特征缺失敏感：距离函数在缺失特征的均值填充后产生"收缩效应"，同类样本间的距离被系统性地低估。</w:t>
      </w:r>
      <w:r>
        <w:t>KNN 对特征缺失敏感：距离函数在缺失特征的均值填充后产生"收缩效应"，同类样本间的距离被系统性地低估。</w:t>
      </w:r>
    </w:p>
    <w:p>
      <w:pPr>
        <w:pStyle w:val="Heading3"/>
      </w:pPr>
      <w:r>
        <w:rPr>
          <w:rFonts w:eastAsia="黑体"/>
          <w:rFonts w:ascii="黑体" w:hAnsi="黑体"/>
          <w:sz w:val="26"/>
        </w:rPr>
        <w:t>鲁棒性综合排名</w:t>
      </w:r>
    </w:p>
    <w:p>
      <w:r>
        <w:t>XGBoost &gt; MLP &gt; KNN &gt; SVM</w:t>
      </w:r>
    </w:p>
    <w:p>
      <w:pPr>
        <w:pStyle w:val="Heading2"/>
      </w:pPr>
      <w:r>
        <w:rPr>
          <w:rFonts w:eastAsia="黑体"/>
          <w:rFonts w:ascii="黑体" w:hAnsi="黑体"/>
          <w:sz w:val="28"/>
        </w:rPr>
        <w:t>4.8 过拟合分析</w:t>
      </w:r>
    </w:p>
    <w:p>
      <w:r>
        <w:t>| 算法 | 训练精度 | 测试精度 | Δ (过拟合) | 分析 |</w:t>
      </w:r>
    </w:p>
    <w:p>
      <w:r>
        <w:t>|------|:------:|:------:|:--------:|------|</w:t>
      </w:r>
    </w:p>
    <w:p>
      <w:r>
        <w:t>| SVM | 0.9055 | 0.9028 | 0.0027 | 线性模型 + L2 正则化，泛化最优 |</w:t>
      </w:r>
    </w:p>
    <w:p>
      <w:r>
        <w:t>| MLP | 0.9416 | 0.9273 | 0.0143 | weight decay 有效，轻微过拟合 |</w:t>
      </w:r>
    </w:p>
    <w:p>
      <w:r>
        <w:t>| XGBoost | 0.9986 | 0.9236 | 0.0750 | boosting 易记忆训练集 |</w:t>
      </w:r>
    </w:p>
    <w:p>
      <w:r>
        <w:t>| KNN | 1.0000 | 0.9214 | 0.0786 | k=5 无法完全抵消 k=1 的记忆倾向 |</w:t>
      </w:r>
    </w:p>
    <w:p>
      <w:pPr>
        <w:pStyle w:val="ListBullet"/>
      </w:pPr>
      <w:r>
        <w:t>SVM 的 Δ 极小（0.0027），线性模型的结构化偏差阻止了过拟合</w:t>
      </w:r>
    </w:p>
    <w:p>
      <w:pPr>
        <w:pStyle w:val="ListBullet"/>
      </w:pPr>
      <w:r>
        <w:t>KNN 的训练精度恒为 1.0（在训练集上每个样本的最近邻就是自身），Δ 主要受 k 值调节</w:t>
      </w:r>
    </w:p>
    <w:p>
      <w:pPr>
        <w:pStyle w:val="ListBullet"/>
      </w:pPr>
      <w:r>
        <w:t>XGBoost 的高 Δ（0.0750）并非严格意义上的"有害过拟合"，而是 boosting 的高容量特征</w:t>
      </w:r>
    </w:p>
    <w:p>
      <w:pPr>
        <w:pStyle w:val="ListBullet"/>
      </w:pPr>
      <w:r>
        <w:t>结合 loss_curves.png，XGBoost 的验证 mlogloss 在 150 轮后出现缓慢上翘，建议将 n_estimators 从 200 降至 150 或增大 reg_lambda</w:t>
      </w:r>
    </w:p>
    <w:p>
      <w:r>
        <w:t>见 knn_k_sensitivity.png，KNN 从 k=1（Δ=0.25）到 k=50（Δ→0），完美演示了经典的 Bias-Variance Tradeoff。</w:t>
      </w:r>
    </w:p>
    <w:p>
      <w:pPr>
        <w:pStyle w:val="Heading2"/>
      </w:pPr>
      <w:r>
        <w:rPr>
          <w:rFonts w:eastAsia="黑体"/>
          <w:rFonts w:ascii="黑体" w:hAnsi="黑体"/>
          <w:sz w:val="28"/>
        </w:rPr>
        <w:t>4.9 XGBoost 特征重要性分析（新增维度）</w:t>
      </w:r>
    </w:p>
    <w:p>
      <w:r>
        <w:t>XGBoost 的 gain-based 特征重要性揭示了最具判别力的特征：</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before="20" w:after="20"/>
              <w:jc w:val="center"/>
            </w:pPr>
            <w:r>
              <w:rPr>
                <w:rFonts w:eastAsia="宋体"/>
                <w:rFonts w:ascii="宋体" w:hAnsi="宋体"/>
                <w:b/>
                <w:sz w:val="20"/>
              </w:rPr>
              <w:t>排名</w:t>
            </w:r>
          </w:p>
        </w:tc>
        <w:tc>
          <w:tcPr>
            <w:tcW w:type="dxa" w:w="2771"/>
          </w:tcPr>
          <w:p>
            <w:pPr>
              <w:spacing w:before="20" w:after="20"/>
              <w:jc w:val="center"/>
            </w:pPr>
            <w:r>
              <w:rPr>
                <w:rFonts w:eastAsia="宋体"/>
                <w:rFonts w:ascii="宋体" w:hAnsi="宋体"/>
                <w:b/>
                <w:sz w:val="20"/>
              </w:rPr>
              <w:t>特征</w:t>
            </w:r>
          </w:p>
        </w:tc>
        <w:tc>
          <w:tcPr>
            <w:tcW w:type="dxa" w:w="2771"/>
          </w:tcPr>
          <w:p>
            <w:pPr>
              <w:spacing w:before="20" w:after="20"/>
              <w:jc w:val="center"/>
            </w:pPr>
            <w:r>
              <w:rPr>
                <w:rFonts w:eastAsia="宋体"/>
                <w:rFonts w:ascii="宋体" w:hAnsi="宋体"/>
                <w:b/>
                <w:sz w:val="20"/>
              </w:rPr>
              <w:t>重要性</w:t>
            </w:r>
          </w:p>
        </w:tc>
      </w:tr>
      <w:tr>
        <w:tc>
          <w:tcPr>
            <w:tcW w:type="dxa" w:w="2771"/>
          </w:tcPr>
          <w:p>
            <w:pPr>
              <w:spacing w:before="20" w:after="20"/>
              <w:jc w:val="center"/>
            </w:pPr>
            <w:r>
              <w:rPr>
                <w:rFonts w:eastAsia="宋体"/>
                <w:rFonts w:ascii="宋体" w:hAnsi="宋体"/>
                <w:sz w:val="20"/>
              </w:rPr>
              <w:t>1</w:t>
            </w:r>
          </w:p>
        </w:tc>
        <w:tc>
          <w:tcPr>
            <w:tcW w:type="dxa" w:w="2771"/>
          </w:tcPr>
          <w:p>
            <w:pPr>
              <w:spacing w:before="20" w:after="20"/>
              <w:jc w:val="center"/>
            </w:pPr>
            <w:r>
              <w:rPr>
                <w:rFonts w:eastAsia="宋体"/>
                <w:rFonts w:ascii="宋体" w:hAnsi="宋体"/>
                <w:sz w:val="20"/>
              </w:rPr>
              <w:t>ShapeFactor3</w:t>
            </w:r>
          </w:p>
        </w:tc>
        <w:tc>
          <w:tcPr>
            <w:tcW w:type="dxa" w:w="2771"/>
          </w:tcPr>
          <w:p>
            <w:pPr>
              <w:spacing w:before="20" w:after="20"/>
              <w:jc w:val="center"/>
            </w:pPr>
            <w:r>
              <w:rPr>
                <w:rFonts w:eastAsia="宋体"/>
                <w:rFonts w:ascii="宋体" w:hAnsi="宋体"/>
                <w:sz w:val="20"/>
              </w:rPr>
              <w:t>0.2400</w:t>
            </w:r>
          </w:p>
        </w:tc>
      </w:tr>
      <w:tr>
        <w:tc>
          <w:tcPr>
            <w:tcW w:type="dxa" w:w="2771"/>
          </w:tcPr>
          <w:p>
            <w:pPr>
              <w:spacing w:before="20" w:after="20"/>
              <w:jc w:val="center"/>
            </w:pPr>
            <w:r>
              <w:rPr>
                <w:rFonts w:eastAsia="宋体"/>
                <w:rFonts w:ascii="宋体" w:hAnsi="宋体"/>
                <w:sz w:val="20"/>
              </w:rPr>
              <w:t>2</w:t>
            </w:r>
          </w:p>
        </w:tc>
        <w:tc>
          <w:tcPr>
            <w:tcW w:type="dxa" w:w="2771"/>
          </w:tcPr>
          <w:p>
            <w:pPr>
              <w:spacing w:before="20" w:after="20"/>
              <w:jc w:val="center"/>
            </w:pPr>
            <w:r>
              <w:rPr>
                <w:rFonts w:eastAsia="宋体"/>
                <w:rFonts w:ascii="宋体" w:hAnsi="宋体"/>
                <w:sz w:val="20"/>
              </w:rPr>
              <w:t>EquivDiameter</w:t>
            </w:r>
          </w:p>
        </w:tc>
        <w:tc>
          <w:tcPr>
            <w:tcW w:type="dxa" w:w="2771"/>
          </w:tcPr>
          <w:p>
            <w:pPr>
              <w:spacing w:before="20" w:after="20"/>
              <w:jc w:val="center"/>
            </w:pPr>
            <w:r>
              <w:rPr>
                <w:rFonts w:eastAsia="宋体"/>
                <w:rFonts w:ascii="宋体" w:hAnsi="宋体"/>
                <w:sz w:val="20"/>
              </w:rPr>
              <w:t>0.1307</w:t>
            </w:r>
          </w:p>
        </w:tc>
      </w:tr>
      <w:tr>
        <w:tc>
          <w:tcPr>
            <w:tcW w:type="dxa" w:w="2771"/>
          </w:tcPr>
          <w:p>
            <w:pPr>
              <w:spacing w:before="20" w:after="20"/>
              <w:jc w:val="center"/>
            </w:pPr>
            <w:r>
              <w:rPr>
                <w:rFonts w:eastAsia="宋体"/>
                <w:rFonts w:ascii="宋体" w:hAnsi="宋体"/>
                <w:sz w:val="20"/>
              </w:rPr>
              <w:t>3</w:t>
            </w:r>
          </w:p>
        </w:tc>
        <w:tc>
          <w:tcPr>
            <w:tcW w:type="dxa" w:w="2771"/>
          </w:tcPr>
          <w:p>
            <w:pPr>
              <w:spacing w:before="20" w:after="20"/>
              <w:jc w:val="center"/>
            </w:pPr>
            <w:r>
              <w:rPr>
                <w:rFonts w:eastAsia="宋体"/>
                <w:rFonts w:ascii="宋体" w:hAnsi="宋体"/>
                <w:sz w:val="20"/>
              </w:rPr>
              <w:t>Compactness</w:t>
            </w:r>
          </w:p>
        </w:tc>
        <w:tc>
          <w:tcPr>
            <w:tcW w:type="dxa" w:w="2771"/>
          </w:tcPr>
          <w:p>
            <w:pPr>
              <w:spacing w:before="20" w:after="20"/>
              <w:jc w:val="center"/>
            </w:pPr>
            <w:r>
              <w:rPr>
                <w:rFonts w:eastAsia="宋体"/>
                <w:rFonts w:ascii="宋体" w:hAnsi="宋体"/>
                <w:sz w:val="20"/>
              </w:rPr>
              <w:t>0.1185</w:t>
            </w:r>
          </w:p>
        </w:tc>
      </w:tr>
      <w:tr>
        <w:tc>
          <w:tcPr>
            <w:tcW w:type="dxa" w:w="2771"/>
          </w:tcPr>
          <w:p>
            <w:pPr>
              <w:spacing w:before="20" w:after="20"/>
              <w:jc w:val="center"/>
            </w:pPr>
            <w:r>
              <w:rPr>
                <w:rFonts w:eastAsia="宋体"/>
                <w:rFonts w:ascii="宋体" w:hAnsi="宋体"/>
                <w:sz w:val="20"/>
              </w:rPr>
              <w:t>4</w:t>
            </w:r>
          </w:p>
        </w:tc>
        <w:tc>
          <w:tcPr>
            <w:tcW w:type="dxa" w:w="2771"/>
          </w:tcPr>
          <w:p>
            <w:pPr>
              <w:spacing w:before="20" w:after="20"/>
              <w:jc w:val="center"/>
            </w:pPr>
            <w:r>
              <w:rPr>
                <w:rFonts w:eastAsia="宋体"/>
                <w:rFonts w:ascii="宋体" w:hAnsi="宋体"/>
                <w:sz w:val="20"/>
              </w:rPr>
              <w:t>ConvexArea</w:t>
            </w:r>
          </w:p>
        </w:tc>
        <w:tc>
          <w:tcPr>
            <w:tcW w:type="dxa" w:w="2771"/>
          </w:tcPr>
          <w:p>
            <w:pPr>
              <w:spacing w:before="20" w:after="20"/>
              <w:jc w:val="center"/>
            </w:pPr>
            <w:r>
              <w:rPr>
                <w:rFonts w:eastAsia="宋体"/>
                <w:rFonts w:ascii="宋体" w:hAnsi="宋体"/>
                <w:sz w:val="20"/>
              </w:rPr>
              <w:t>0.1094</w:t>
            </w:r>
          </w:p>
        </w:tc>
      </w:tr>
      <w:tr>
        <w:tc>
          <w:tcPr>
            <w:tcW w:type="dxa" w:w="2771"/>
          </w:tcPr>
          <w:p>
            <w:pPr>
              <w:spacing w:before="20" w:after="20"/>
              <w:jc w:val="center"/>
            </w:pPr>
            <w:r>
              <w:rPr>
                <w:rFonts w:eastAsia="宋体"/>
                <w:rFonts w:ascii="宋体" w:hAnsi="宋体"/>
                <w:sz w:val="20"/>
              </w:rPr>
              <w:t>5</w:t>
            </w:r>
          </w:p>
        </w:tc>
        <w:tc>
          <w:tcPr>
            <w:tcW w:type="dxa" w:w="2771"/>
          </w:tcPr>
          <w:p>
            <w:pPr>
              <w:spacing w:before="20" w:after="20"/>
              <w:jc w:val="center"/>
            </w:pPr>
            <w:r>
              <w:rPr>
                <w:rFonts w:eastAsia="宋体"/>
                <w:rFonts w:ascii="宋体" w:hAnsi="宋体"/>
                <w:sz w:val="20"/>
              </w:rPr>
              <w:t>Area</w:t>
            </w:r>
          </w:p>
        </w:tc>
        <w:tc>
          <w:tcPr>
            <w:tcW w:type="dxa" w:w="2771"/>
          </w:tcPr>
          <w:p>
            <w:pPr>
              <w:spacing w:before="20" w:after="20"/>
              <w:jc w:val="center"/>
            </w:pPr>
            <w:r>
              <w:rPr>
                <w:rFonts w:eastAsia="宋体"/>
                <w:rFonts w:ascii="宋体" w:hAnsi="宋体"/>
                <w:sz w:val="20"/>
              </w:rPr>
              <w:t>0.1030</w:t>
            </w:r>
          </w:p>
        </w:tc>
      </w:tr>
    </w:tbl>
    <w:p/>
    <w:p>
      <w:r>
        <w:t>前 5 项特征累计贡献 70.2% 的重要性。值得关注的是 ShapeFactor3（最高），但其 Pearson 相关性与其他特征均低，说明它是一个"低冗余高判别力"的黄金特征。而 Area 和 ConvexArea（r=0.99 相关）均进入 Top-5，说明高相关性的尺寸特征XGBoost仍能通过逐特征分裂分别利用。</w:t>
      </w:r>
    </w:p>
    <w:p>
      <w:pPr>
        <w:pStyle w:val="Heading2"/>
      </w:pPr>
      <w:r>
        <w:rPr>
          <w:rFonts w:eastAsia="黑体"/>
          <w:rFonts w:ascii="黑体" w:hAnsi="黑体"/>
          <w:sz w:val="28"/>
        </w:rPr>
        <w:t>4.10 多维度综合对比（新增维度）</w:t>
      </w:r>
    </w:p>
    <w:p>
      <w:r>
        <w:t>radar_comparison.png 雷达图在 6 个维度上对四种算法进行归一化比较：精度、F1、推理速度、抗过拟合、训练速度、模型紧凑度。</w:t>
      </w:r>
    </w:p>
    <w:p>
      <w:pPr>
        <w:pStyle w:val="ListBullet"/>
      </w:pPr>
      <w:r>
        <w:t>SVM：在推理速度、抗过拟合、模型大小三个维度全面领先，但在精度维度处于下风</w:t>
      </w:r>
    </w:p>
    <w:p>
      <w:pPr>
        <w:pStyle w:val="ListBullet"/>
      </w:pPr>
      <w:r>
        <w:t>MLP：在精度和 F1 维度最优，但训练速度和模型紧凑度较差</w:t>
      </w:r>
    </w:p>
    <w:p>
      <w:pPr>
        <w:pStyle w:val="ListBullet"/>
      </w:pPr>
      <w:r>
        <w:t>XGBoost：综合最均衡——精度接近 MLP、训练速度远快于 MLP、模型更紧凑</w:t>
      </w:r>
    </w:p>
    <w:p>
      <w:pPr>
        <w:pStyle w:val="ListBullet"/>
      </w:pPr>
      <w:r>
        <w:t>KNN：在精度维度有竞争力，但速度和模型大小维度劣势明显</w:t>
      </w:r>
    </w:p>
    <w:p>
      <w:pPr>
        <w:pStyle w:val="Heading1"/>
      </w:pPr>
      <w:r>
        <w:rPr>
          <w:rFonts w:eastAsia="黑体"/>
          <w:rFonts w:ascii="黑体" w:hAnsi="黑体"/>
          <w:sz w:val="32"/>
        </w:rPr>
        <w:t>5. 系统展示（30%）</w:t>
      </w:r>
    </w:p>
    <w:p>
      <w:pPr>
        <w:pStyle w:val="Heading2"/>
      </w:pPr>
      <w:r>
        <w:rPr>
          <w:rFonts w:eastAsia="黑体"/>
          <w:rFonts w:ascii="黑体" w:hAnsi="黑体"/>
          <w:sz w:val="28"/>
        </w:rPr>
        <w:t>5.1 项目架构</w:t>
      </w:r>
    </w:p>
    <w:p>
      <w:pPr>
        <w:spacing w:before="0" w:after="0" w:line="240" w:lineRule="auto"/>
      </w:pPr>
      <w:r>
        <w:rPr>
          <w:rFonts w:ascii="Consolas" w:hAnsi="Consolas"/>
          <w:sz w:val="18"/>
        </w:rPr>
        <w:t>dry-bean-classification/</w:t>
      </w:r>
    </w:p>
    <w:p>
      <w:pPr>
        <w:spacing w:before="0" w:after="0" w:line="240" w:lineRule="auto"/>
      </w:pPr>
      <w:r>
        <w:rPr>
          <w:rFonts w:ascii="Consolas" w:hAnsi="Consolas"/>
          <w:sz w:val="18"/>
        </w:rPr>
        <w:t>├── configs/              # YAML 实验配置（4个）</w:t>
      </w:r>
    </w:p>
    <w:p>
      <w:pPr>
        <w:spacing w:before="0" w:after="0" w:line="240" w:lineRule="auto"/>
      </w:pPr>
      <w:r>
        <w:rPr>
          <w:rFonts w:ascii="Consolas" w:hAnsi="Consolas"/>
          <w:sz w:val="18"/>
        </w:rPr>
        <w:t>├── data/                 # 原始数据集（3个CSV）</w:t>
      </w:r>
    </w:p>
    <w:p>
      <w:pPr>
        <w:spacing w:before="0" w:after="0" w:line="240" w:lineRule="auto"/>
      </w:pPr>
      <w:r>
        <w:rPr>
          <w:rFonts w:ascii="Consolas" w:hAnsi="Consolas"/>
          <w:sz w:val="18"/>
        </w:rPr>
        <w:t>│   ├── Dry_Bean_Dataset_Dirty_train.csv</w:t>
      </w:r>
    </w:p>
    <w:p>
      <w:pPr>
        <w:spacing w:before="0" w:after="0" w:line="240" w:lineRule="auto"/>
      </w:pPr>
      <w:r>
        <w:rPr>
          <w:rFonts w:ascii="Consolas" w:hAnsi="Consolas"/>
          <w:sz w:val="18"/>
        </w:rPr>
        <w:t>│   ├── Dry_Bean_Dataset_Dirty_test.csv</w:t>
      </w:r>
    </w:p>
    <w:p>
      <w:pPr>
        <w:spacing w:before="0" w:after="0" w:line="240" w:lineRule="auto"/>
      </w:pPr>
      <w:r>
        <w:rPr>
          <w:rFonts w:ascii="Consolas" w:hAnsi="Consolas"/>
          <w:sz w:val="18"/>
        </w:rPr>
        <w:t>│   └── Dry_Bean_Dataset_Dirty_val.csv</w:t>
      </w:r>
    </w:p>
    <w:p>
      <w:pPr>
        <w:spacing w:before="0" w:after="0" w:line="240" w:lineRule="auto"/>
      </w:pPr>
      <w:r>
        <w:rPr>
          <w:rFonts w:ascii="Consolas" w:hAnsi="Consolas"/>
          <w:sz w:val="18"/>
        </w:rPr>
        <w:t>├── src/</w:t>
      </w:r>
    </w:p>
    <w:p>
      <w:pPr>
        <w:spacing w:before="0" w:after="0" w:line="240" w:lineRule="auto"/>
      </w:pPr>
      <w:r>
        <w:rPr>
          <w:rFonts w:ascii="Consolas" w:hAnsi="Consolas"/>
          <w:sz w:val="18"/>
        </w:rPr>
        <w:t>│   ├── data_loader.py    # 数据加载 + BOM修复</w:t>
      </w:r>
    </w:p>
    <w:p>
      <w:pPr>
        <w:spacing w:before="0" w:after="0" w:line="240" w:lineRule="auto"/>
      </w:pPr>
      <w:r>
        <w:rPr>
          <w:rFonts w:ascii="Consolas" w:hAnsi="Consolas"/>
          <w:sz w:val="18"/>
        </w:rPr>
        <w:t>│   ├── label_mapping.py  # 24键穷举标签映射表</w:t>
      </w:r>
    </w:p>
    <w:p>
      <w:pPr>
        <w:spacing w:before="0" w:after="0" w:line="240" w:lineRule="auto"/>
      </w:pPr>
      <w:r>
        <w:rPr>
          <w:rFonts w:ascii="Consolas" w:hAnsi="Consolas"/>
          <w:sz w:val="18"/>
        </w:rPr>
        <w:t>│   ├── preprocessing.py  # 数值清洗流水线 + StandardScaler</w:t>
      </w:r>
    </w:p>
    <w:p>
      <w:pPr>
        <w:spacing w:before="0" w:after="0" w:line="240" w:lineRule="auto"/>
      </w:pPr>
      <w:r>
        <w:rPr>
          <w:rFonts w:ascii="Consolas" w:hAnsi="Consolas"/>
          <w:sz w:val="18"/>
        </w:rPr>
        <w:t>│   ├── noise_injector.py # 三类噪声统一注入接口</w:t>
      </w:r>
    </w:p>
    <w:p>
      <w:pPr>
        <w:spacing w:before="0" w:after="0" w:line="240" w:lineRule="auto"/>
      </w:pPr>
      <w:r>
        <w:rPr>
          <w:rFonts w:ascii="Consolas" w:hAnsi="Consolas"/>
          <w:sz w:val="18"/>
        </w:rPr>
        <w:t>│   ├── models/           # KNN / SVM-SGD / MLP / XGBoost 封装</w:t>
      </w:r>
    </w:p>
    <w:p>
      <w:pPr>
        <w:spacing w:before="0" w:after="0" w:line="240" w:lineRule="auto"/>
      </w:pPr>
      <w:r>
        <w:rPr>
          <w:rFonts w:ascii="Consolas" w:hAnsi="Consolas"/>
          <w:sz w:val="18"/>
        </w:rPr>
        <w:t>│   ├── train.py          # 训练调度 + 噪声独立Scaler</w:t>
      </w:r>
    </w:p>
    <w:p>
      <w:pPr>
        <w:spacing w:before="0" w:after="0" w:line="240" w:lineRule="auto"/>
      </w:pPr>
      <w:r>
        <w:rPr>
          <w:rFonts w:ascii="Consolas" w:hAnsi="Consolas"/>
          <w:sz w:val="18"/>
        </w:rPr>
        <w:t>│   ├── evaluate.py       # 10维度评估</w:t>
      </w:r>
    </w:p>
    <w:p>
      <w:pPr>
        <w:spacing w:before="0" w:after="0" w:line="240" w:lineRule="auto"/>
      </w:pPr>
      <w:r>
        <w:rPr>
          <w:rFonts w:ascii="Consolas" w:hAnsi="Consolas"/>
          <w:sz w:val="18"/>
        </w:rPr>
        <w:t>│   └── visualize.py      # 14种图表生成</w:t>
      </w:r>
    </w:p>
    <w:p>
      <w:pPr>
        <w:spacing w:before="0" w:after="0" w:line="240" w:lineRule="auto"/>
      </w:pPr>
      <w:r>
        <w:rPr>
          <w:rFonts w:ascii="Consolas" w:hAnsi="Consolas"/>
          <w:sz w:val="18"/>
        </w:rPr>
        <w:t>├── main.py               # 命令行入口</w:t>
      </w:r>
    </w:p>
    <w:p>
      <w:pPr>
        <w:spacing w:before="0" w:after="0" w:line="240" w:lineRule="auto"/>
      </w:pPr>
      <w:r>
        <w:rPr>
          <w:rFonts w:ascii="Consolas" w:hAnsi="Consolas"/>
          <w:sz w:val="18"/>
        </w:rPr>
        <w:t>├── requirements.txt</w:t>
      </w:r>
    </w:p>
    <w:p>
      <w:pPr>
        <w:spacing w:before="0" w:after="0" w:line="240" w:lineRule="auto"/>
      </w:pPr>
      <w:r>
        <w:rPr>
          <w:rFonts w:ascii="Consolas" w:hAnsi="Consolas"/>
          <w:sz w:val="18"/>
        </w:rPr>
        <w:t>├── paper.md              # 课程论文</w:t>
      </w:r>
    </w:p>
    <w:p>
      <w:pPr>
        <w:spacing w:before="0" w:after="0" w:line="240" w:lineRule="auto"/>
      </w:pPr>
      <w:r>
        <w:rPr>
          <w:rFonts w:ascii="Consolas" w:hAnsi="Consolas"/>
          <w:sz w:val="18"/>
        </w:rPr>
        <w:t>├── README.md</w:t>
      </w:r>
    </w:p>
    <w:p>
      <w:pPr>
        <w:spacing w:before="0" w:after="0" w:line="240" w:lineRule="auto"/>
      </w:pPr>
      <w:r>
        <w:rPr>
          <w:rFonts w:ascii="Consolas" w:hAnsi="Consolas"/>
          <w:sz w:val="18"/>
        </w:rPr>
        <w:t>└── outputs/              # 自动生成（图表+CSV表格）</w:t>
      </w:r>
    </w:p>
    <w:p>
      <w:pPr>
        <w:pStyle w:val="Heading2"/>
      </w:pPr>
      <w:r>
        <w:rPr>
          <w:rFonts w:eastAsia="黑体"/>
          <w:rFonts w:ascii="黑体" w:hAnsi="黑体"/>
          <w:sz w:val="28"/>
        </w:rPr>
        <w:t>5.2 命令行调用</w:t>
      </w:r>
    </w:p>
    <w:p>
      <w:pPr>
        <w:spacing w:before="0" w:after="0" w:line="240" w:lineRule="auto"/>
      </w:pPr>
      <w:r>
        <w:rPr>
          <w:rFonts w:ascii="Consolas" w:hAnsi="Consolas"/>
          <w:sz w:val="18"/>
        </w:rPr>
        <w:t># 基准实验</w:t>
      </w:r>
    </w:p>
    <w:p>
      <w:pPr>
        <w:spacing w:before="0" w:after="0" w:line="240" w:lineRule="auto"/>
      </w:pPr>
      <w:r>
        <w:rPr>
          <w:rFonts w:ascii="Consolas" w:hAnsi="Consolas"/>
          <w:sz w:val="18"/>
        </w:rPr>
        <w:t>python main.py --config configs/baseline.yaml</w:t>
      </w:r>
    </w:p>
    <w:p>
      <w:pPr>
        <w:spacing w:before="0" w:after="0" w:line="240" w:lineRule="auto"/>
      </w:pPr>
      <w:r>
        <w:rPr>
          <w:rFonts w:ascii="Consolas" w:hAnsi="Consolas"/>
          <w:sz w:val="18"/>
        </w:rPr>
      </w:r>
    </w:p>
    <w:p>
      <w:pPr>
        <w:spacing w:before="0" w:after="0" w:line="240" w:lineRule="auto"/>
      </w:pPr>
      <w:r>
        <w:rPr>
          <w:rFonts w:ascii="Consolas" w:hAnsi="Consolas"/>
          <w:sz w:val="18"/>
        </w:rPr>
        <w:t># 指定算法</w:t>
      </w:r>
    </w:p>
    <w:p>
      <w:pPr>
        <w:spacing w:before="0" w:after="0" w:line="240" w:lineRule="auto"/>
      </w:pPr>
      <w:r>
        <w:rPr>
          <w:rFonts w:ascii="Consolas" w:hAnsi="Consolas"/>
          <w:sz w:val="18"/>
        </w:rPr>
        <w:t>python main.py --config configs/baseline.yaml --algorithms knn,svm,mlp,xgb</w:t>
      </w:r>
    </w:p>
    <w:p>
      <w:pPr>
        <w:spacing w:before="0" w:after="0" w:line="240" w:lineRule="auto"/>
      </w:pPr>
      <w:r>
        <w:rPr>
          <w:rFonts w:ascii="Consolas" w:hAnsi="Consolas"/>
          <w:sz w:val="18"/>
        </w:rPr>
      </w:r>
    </w:p>
    <w:p>
      <w:pPr>
        <w:spacing w:before="0" w:after="0" w:line="240" w:lineRule="auto"/>
      </w:pPr>
      <w:r>
        <w:rPr>
          <w:rFonts w:ascii="Consolas" w:hAnsi="Consolas"/>
          <w:sz w:val="18"/>
        </w:rPr>
        <w:t># 噪声鲁棒性实验</w:t>
      </w:r>
    </w:p>
    <w:p>
      <w:pPr>
        <w:spacing w:before="0" w:after="0" w:line="240" w:lineRule="auto"/>
      </w:pPr>
      <w:r>
        <w:rPr>
          <w:rFonts w:ascii="Consolas" w:hAnsi="Consolas"/>
          <w:sz w:val="18"/>
        </w:rPr>
        <w:t>python main.py --config configs/noise_gaussian.yaml</w:t>
      </w:r>
    </w:p>
    <w:p>
      <w:pPr>
        <w:spacing w:before="0" w:after="0" w:line="240" w:lineRule="auto"/>
      </w:pPr>
      <w:r>
        <w:rPr>
          <w:rFonts w:ascii="Consolas" w:hAnsi="Consolas"/>
          <w:sz w:val="18"/>
        </w:rPr>
        <w:t>python main.py --config configs/noise_label.yaml</w:t>
      </w:r>
    </w:p>
    <w:p>
      <w:pPr>
        <w:spacing w:before="0" w:after="0" w:line="240" w:lineRule="auto"/>
      </w:pPr>
      <w:r>
        <w:rPr>
          <w:rFonts w:ascii="Consolas" w:hAnsi="Consolas"/>
          <w:sz w:val="18"/>
        </w:rPr>
        <w:t>python main.py --config configs/noise_missing.yaml</w:t>
      </w:r>
    </w:p>
    <w:p>
      <w:pPr>
        <w:spacing w:before="0" w:after="0" w:line="240" w:lineRule="auto"/>
      </w:pPr>
      <w:r>
        <w:rPr>
          <w:rFonts w:ascii="Consolas" w:hAnsi="Consolas"/>
          <w:sz w:val="18"/>
        </w:rPr>
      </w:r>
    </w:p>
    <w:p>
      <w:pPr>
        <w:spacing w:before="0" w:after="0" w:line="240" w:lineRule="auto"/>
      </w:pPr>
      <w:r>
        <w:rPr>
          <w:rFonts w:ascii="Consolas" w:hAnsi="Consolas"/>
          <w:sz w:val="18"/>
        </w:rPr>
        <w:t># 自定义输出路径</w:t>
      </w:r>
    </w:p>
    <w:p>
      <w:pPr>
        <w:spacing w:before="0" w:after="0" w:line="240" w:lineRule="auto"/>
      </w:pPr>
      <w:r>
        <w:rPr>
          <w:rFonts w:ascii="Consolas" w:hAnsi="Consolas"/>
          <w:sz w:val="18"/>
        </w:rPr>
        <w:t>python main.py --config configs/baseline.yaml --output_dir outputs/experiment_1</w:t>
      </w:r>
    </w:p>
    <w:p>
      <w:r>
        <w:t>全程无 UI 弹出，所有图表通过 plt.savefig() 静默保存。</w:t>
      </w:r>
    </w:p>
    <w:p>
      <w:pPr>
        <w:pStyle w:val="Heading2"/>
      </w:pPr>
      <w:r>
        <w:rPr>
          <w:rFonts w:eastAsia="黑体"/>
          <w:rFonts w:ascii="黑体" w:hAnsi="黑体"/>
          <w:sz w:val="28"/>
        </w:rPr>
        <w:t>5.3 GitHub 仓库</w:t>
      </w:r>
    </w:p>
    <w:p>
      <w:r>
        <w:t>项目已上传至 GitHub，仓库地址：</w:t>
      </w:r>
    </w:p>
    <w:p>
      <w:pPr>
        <w:ind w:left="567"/>
      </w:pPr>
      <w:r>
        <w:rPr>
          <w:i/>
          <w:color w:val="555555"/>
          <w:sz w:val="22"/>
        </w:rPr>
        <w:t>[https://github.com/&lt;username&gt;/dry-bean-classification](https://github.com)</w:t>
      </w:r>
    </w:p>
    <w:p>
      <w:r>
        <w:t>仓库包含完整的源代码、实验配置、requirements.txt 和本文档。README 中展示了综合精度表、运行指令和可复现性声明。</w:t>
      </w:r>
    </w:p>
    <w:p>
      <w:pPr>
        <w:pStyle w:val="Heading2"/>
      </w:pPr>
      <w:r>
        <w:rPr>
          <w:rFonts w:eastAsia="黑体"/>
          <w:rFonts w:ascii="黑体" w:hAnsi="黑体"/>
          <w:sz w:val="28"/>
        </w:rPr>
        <w:t>5.4 可复现性声明</w:t>
      </w:r>
    </w:p>
    <w:p>
      <w:pPr>
        <w:pStyle w:val="ListBullet"/>
      </w:pPr>
      <w:r>
        <w:t>全局随机种子：固定为 42</w:t>
      </w:r>
    </w:p>
    <w:p>
      <w:pPr>
        <w:pStyle w:val="ListBullet"/>
      </w:pPr>
      <w:r>
        <w:t>数据划分：使用教师提供的预划分 train/test/val CSV 文件</w:t>
      </w:r>
    </w:p>
    <w:p>
      <w:pPr>
        <w:pStyle w:val="ListBullet"/>
      </w:pPr>
      <w:r>
        <w:t>标准化防泄漏：所有 fit 操作仅对训练集；噪声实验独立新建 Scaler</w:t>
      </w:r>
    </w:p>
    <w:p>
      <w:pPr>
        <w:pStyle w:val="ListBullet"/>
      </w:pPr>
      <w:r>
        <w:t>噪声隔离：使用局部 np.random.RandomState(seed) 生成噪声</w:t>
      </w:r>
    </w:p>
    <w:p>
      <w:pPr>
        <w:pStyle w:val="ListBullet"/>
      </w:pPr>
      <w:r>
        <w:t>依赖环境：Python 3.10+，关键依赖见 requirements.txt</w:t>
      </w:r>
    </w:p>
    <w:p>
      <w:pPr>
        <w:pStyle w:val="Heading1"/>
      </w:pPr>
      <w:r>
        <w:rPr>
          <w:rFonts w:eastAsia="黑体"/>
          <w:rFonts w:ascii="黑体" w:hAnsi="黑体"/>
          <w:sz w:val="32"/>
        </w:rPr>
        <w:t>6. 课程总结（5%）</w:t>
      </w:r>
    </w:p>
    <w:p>
      <w:pPr>
        <w:pStyle w:val="Heading2"/>
      </w:pPr>
      <w:r>
        <w:rPr>
          <w:rFonts w:eastAsia="黑体"/>
          <w:rFonts w:ascii="黑体" w:hAnsi="黑体"/>
          <w:sz w:val="28"/>
        </w:rPr>
        <w:t>6.1 知识收获</w:t>
      </w:r>
    </w:p>
    <w:p>
      <w:r>
        <w:t>通过本课程的系统学习与本次完整工程项目实践，我在以下方面取得了实质性收获：</w:t>
      </w:r>
    </w:p>
    <w:p>
      <w:pPr>
        <w:pStyle w:val="ListNumber"/>
      </w:pPr>
      <w:r>
        <w:t>机器学习全流程认知：从原始数据清洗到最终模型部署，理解了"数据质量决定模型上限"的工程原则。本项目中发现的 7 类数据污染如果遗漏任何一项，都会导致模型训练失败或评测虚高。</w:t>
      </w:r>
      <w:r>
        <w:t>机器学习全流程认知：从原始数据清洗到最终模型部署，理解了"数据质量决定模型上限"的工程原则。本项目中发现的 7 类数据污染如果遗漏任何一项，都会导致模型训练失败或评测虚高。</w:t>
      </w:r>
    </w:p>
    <w:p>
      <w:pPr>
        <w:pStyle w:val="ListNumber"/>
      </w:pPr>
      <w:r>
        <w:t>多算法对比方法论：学会了如何在精度之外，从推理速度、参数规模、过拟合程度、噪声鲁棒性等多个维度系统性地评估算法。单一指标（尤其是准确率）远不足以反映算法的真实适用性。</w:t>
      </w:r>
      <w:r>
        <w:t>多算法对比方法论：学会了如何在精度之外，从推理速度、参数规模、过拟合程度、噪声鲁棒性等多个维度系统性地评估算法。单一指标（尤其是准确率）远不足以反映算法的真实适用性。</w:t>
      </w:r>
    </w:p>
    <w:p>
      <w:pPr>
        <w:pStyle w:val="ListNumber"/>
      </w:pPr>
      <w:r>
        <w:t>数据泄露的严重性：亲手实现了"fit 仅训练集"和"噪声实验独立 Scaler"的流水线后，深刻理解了为什么 Kaggle 竞赛中数据泄露是最常见的隐形错误。</w:t>
      </w:r>
      <w:r>
        <w:t>数据泄露的严重性：亲手实现了"fit 仅训练集"和"噪声实验独立 Scaler"的流水线后，深刻理解了为什么 Kaggle 竞赛中数据泄露是最常见的隐形错误。</w:t>
      </w:r>
    </w:p>
    <w:p>
      <w:pPr>
        <w:pStyle w:val="ListNumber"/>
      </w:pPr>
      <w:r>
        <w:t>从代码到论文：工程实现和学术写作的双向映射——每张图表背后都有对应的代码模块和实验配置，每段分析都有可复现的实验支撑。</w:t>
      </w:r>
      <w:r>
        <w:t>从代码到论文：工程实现和学术写作的双向映射——每张图表背后都有对应的代码模块和实验配置，每段分析都有可复现的实验支撑。</w:t>
      </w:r>
    </w:p>
    <w:p>
      <w:pPr>
        <w:pStyle w:val="ListNumber"/>
      </w:pPr>
      <w:r>
        <w:t>XGBoost 的自学过程：通过阅读文档和实践，掌握了梯度提升树的目标函数设计、正则化策略和特征重要性提取，填补了课堂未覆盖的重要知识缺口。</w:t>
      </w:r>
      <w:r>
        <w:t>XGBoost 的自学过程：通过阅读文档和实践，掌握了梯度提升树的目标函数设计、正则化策略和特征重要性提取，填补了课堂未覆盖的重要知识缺口。</w:t>
      </w:r>
    </w:p>
    <w:p>
      <w:pPr>
        <w:pStyle w:val="Heading2"/>
      </w:pPr>
      <w:r>
        <w:rPr>
          <w:rFonts w:eastAsia="黑体"/>
          <w:rFonts w:ascii="黑体" w:hAnsi="黑体"/>
          <w:sz w:val="28"/>
        </w:rPr>
        <w:t>6.2 课程评价</w:t>
      </w:r>
    </w:p>
    <w:p>
      <w:r>
        <w:t>优点：</w:t>
      </w:r>
    </w:p>
    <w:p>
      <w:pPr>
        <w:pStyle w:val="ListBullet"/>
      </w:pPr>
      <w:r>
        <w:t>课程内容体系完整，覆盖了从经典回归到深度学习的核心算法</w:t>
      </w:r>
    </w:p>
    <w:p>
      <w:pPr>
        <w:pStyle w:val="ListBullet"/>
      </w:pPr>
      <w:r>
        <w:t>"教师预划分数据集"的做法避免了学生因划分策略不同导致的不可比结果</w:t>
      </w:r>
    </w:p>
    <w:p>
      <w:pPr>
        <w:pStyle w:val="ListBullet"/>
      </w:pPr>
      <w:r>
        <w:t>工程占评分 30% 的权重体现了课程对工业实践能力的重视</w:t>
      </w:r>
    </w:p>
    <w:p>
      <w:r>
        <w:t>建议：</w:t>
      </w:r>
    </w:p>
    <w:p>
      <w:pPr>
        <w:pStyle w:val="ListBullet"/>
      </w:pPr>
      <w:r>
        <w:t>建议在课程中加入梯度提升树专题（XGBoost / LightGBM），因为这是当前工业界表格数据任务的事实标准算法，与 VGG 等视觉模型互补</w:t>
      </w:r>
    </w:p>
    <w:p>
      <w:pPr>
        <w:pStyle w:val="ListBullet"/>
      </w:pPr>
      <w:r>
        <w:t>建议增加一节特征工程专题，讲授缺失值处理策略对比、特征选择和噪声注入实验设计</w:t>
      </w:r>
    </w:p>
    <w:p>
      <w:pPr>
        <w:pStyle w:val="ListBullet"/>
      </w:pPr>
      <w:r>
        <w:t>建议在评分中增加代码质量（模块化、类型提示、文档字符串）的考量</w:t>
      </w:r>
    </w:p>
    <w:p>
      <w:pPr>
        <w:pStyle w:val="Heading1"/>
      </w:pPr>
      <w:r>
        <w:rPr>
          <w:rFonts w:eastAsia="黑体"/>
          <w:rFonts w:ascii="黑体" w:hAnsi="黑体"/>
          <w:sz w:val="32"/>
        </w:rPr>
        <w:t>参考文献</w:t>
      </w:r>
    </w:p>
    <w:p>
      <w:r>
        <w:t>[1] Koklu, M., &amp; Ozkan, I. A. (2020). Multiclass classification of dry beans using computer vision and machine learning techniques. *Computers and Electronics in Agriculture*, 174, 105507.</w:t>
      </w:r>
    </w:p>
    <w:p>
      <w:r>
        <w:t>[2] Chen, T., &amp; Guestrin, C. (2016). XGBoost: A Scalable Tree Boosting System. *Proceedings of the 22nd ACM SIGKDD*, 785-794.</w:t>
      </w:r>
    </w:p>
    <w:p>
      <w:r>
        <w:t>[3] Pedregosa, F., et al. (2011). Scikit-learn: Machine Learning in Python. *Journal of Machine Learning Research*, 12, 2825-2830.</w:t>
      </w:r>
    </w:p>
    <w:p>
      <w:r>
        <w:t>*本文档由 Dry Bean Classification 项目自动生成，图表和表格数据均可通过运行 python main.py --config configs/baseline.yaml 复现。*</w:t>
      </w:r>
    </w:p>
    <w:p>
      <w:pPr>
        <w:pStyle w:val="Heading1"/>
      </w:pPr>
      <w:r>
        <w:t>参考文献</w:t>
      </w:r>
    </w:p>
    <w:p>
      <w:pPr>
        <w:ind w:hanging="420" w:left="420"/>
      </w:pPr>
      <w:r>
        <w:t>[1] Koklu, M., &amp; Ozkan, I. A. (2020). Multiclass classification of dry beans using computer vision and machine learning techniques. Computers and Electronics in Agriculture, 174, 105507.</w:t>
      </w:r>
    </w:p>
    <w:p>
      <w:pPr>
        <w:ind w:hanging="420" w:left="420"/>
      </w:pPr>
      <w:r>
        <w:t>[2] Chen, T., &amp; Guestrin, C. (2016). XGBoost: A Scalable Tree Boosting System. Proceedings of the 22nd ACM SIGKDD, 785-794.</w:t>
      </w:r>
    </w:p>
    <w:p>
      <w:pPr>
        <w:ind w:hanging="420" w:left="420"/>
      </w:pPr>
      <w:r>
        <w:t>[3] Pedregosa, F., et al. (2011). Scikit-learn: Machine Learning in Python. Journal of Machine Learning Research, 12, 2825-2830.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