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Plan de Implementación y Arquitectura Transaccional - Ecosistema VitalPaws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lineRule="auto"/>
        <w:rPr/>
      </w:pPr>
      <w:r w:rsidDel="00000000" w:rsidR="00000000" w:rsidRPr="00000000">
        <w:rPr>
          <w:rtl w:val="0"/>
        </w:rPr>
        <w:t xml:space="preserve">Este documento detalla la hoja de ruta operativa y la arquitectura técnica para la implementación de VitalPaws en un entorno real. Se hace especial énfasis en la trazabilidad inmutable, la gestión descentralizada de fondos y la precisión en el ciclo de vida de cada transacción dentro de la red Ethereum, garantizando la propuesta de valor estipulada en el Whitepaper.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Arquitectura Tecnológica Base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El ecosistema requiere una infraestructura robusta que soporte tanto la complejidad de la blockchain como una experiencia de usuario (UX) sin fricciones. Se estructurará bajo el siguiente stack tecnológico: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Frontend (DApp):</w:t>
      </w:r>
      <w:r w:rsidDel="00000000" w:rsidR="00000000" w:rsidRPr="00000000">
        <w:rPr>
          <w:rtl w:val="0"/>
        </w:rPr>
        <w:t xml:space="preserve"> Desarrollado en Next.js con TypeScript para asegurar tipado estricto, renderizado optimizado (SSR/SSG) y escalabilidad en la interfaz de gobernanza y donaciones.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Backend y Orquestación:</w:t>
      </w:r>
      <w:r w:rsidDel="00000000" w:rsidR="00000000" w:rsidRPr="00000000">
        <w:rPr>
          <w:rtl w:val="0"/>
        </w:rPr>
        <w:t xml:space="preserve"> Node.js para la gestión de API RESTful, procesos asíncronos y comunicación con pasarelas de pago tradicionales.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Blockchain (Capa de Liquidación):</w:t>
      </w:r>
      <w:r w:rsidDel="00000000" w:rsidR="00000000" w:rsidRPr="00000000">
        <w:rPr>
          <w:rtl w:val="0"/>
        </w:rPr>
        <w:t xml:space="preserve"> Contratos inteligentes redactados en Solidity, desplegados sobre la red Ethereum (o una Layer 2 como Polygon/Arbitrum para reducir los </w:t>
      </w:r>
      <w:r w:rsidDel="00000000" w:rsidR="00000000" w:rsidRPr="00000000">
        <w:rPr>
          <w:i w:val="1"/>
          <w:iCs w:val="1"/>
          <w:rtl w:val="0"/>
        </w:rPr>
        <w:t xml:space="preserve">gas fees</w:t>
      </w:r>
      <w:r w:rsidDel="00000000" w:rsidR="00000000" w:rsidRPr="00000000">
        <w:rPr>
          <w:rtl w:val="0"/>
        </w:rPr>
        <w:t xml:space="preserve">), gestionando la tesorería y la lógica del token $PAWS.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Anatomía de la Transacción: Ciclo de Vida Detallado (End-to-End)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lineRule="auto"/>
        <w:rPr/>
      </w:pPr>
      <w:r w:rsidDel="00000000" w:rsidR="00000000" w:rsidRPr="00000000">
        <w:rPr>
          <w:rtl w:val="0"/>
        </w:rPr>
        <w:t xml:space="preserve">Para cumplir con la promesa de "transparencia inquebrantable", la transacción no es un simple envío de fondos. Es un flujo condicionado por </w:t>
      </w:r>
      <w:r w:rsidDel="00000000" w:rsidR="00000000" w:rsidRPr="00000000">
        <w:rPr>
          <w:i w:val="1"/>
          <w:iCs w:val="1"/>
          <w:rtl w:val="0"/>
        </w:rPr>
        <w:t xml:space="preserve">Smart Contracts</w:t>
      </w:r>
      <w:r w:rsidDel="00000000" w:rsidR="00000000" w:rsidRPr="00000000">
        <w:rPr>
          <w:rtl w:val="0"/>
        </w:rPr>
        <w:t xml:space="preserve"> que abarca desde la captación del capital hasta la validación física de la prótesis. A continuación se desglosa el ciclo de vida: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Fase 2.1: Ingreso de Capital (Inversión / Donación)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El usuario inicia el proceso en la DApp. Para mitigar la barrera de entrada a usuarios Web2, se implementa </w:t>
      </w:r>
      <w:r w:rsidDel="00000000" w:rsidR="00000000" w:rsidRPr="00000000">
        <w:rPr>
          <w:b w:val="1"/>
          <w:bCs w:val="1"/>
          <w:rtl w:val="0"/>
        </w:rPr>
        <w:t xml:space="preserve">Account Abstraction (ERC-4337)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Flujo Cripto Nativo:</w:t>
      </w:r>
      <w:r w:rsidDel="00000000" w:rsidR="00000000" w:rsidRPr="00000000">
        <w:rPr>
          <w:rtl w:val="0"/>
        </w:rPr>
        <w:t xml:space="preserve"> El usuario conecta su billetera (ej. MetaMask) y transfiere ETH, USDT o USDC directamente al contrato de preventa o donación.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Flujo Fiat (Tarjetas/Locales):</w:t>
      </w:r>
      <w:r w:rsidDel="00000000" w:rsidR="00000000" w:rsidRPr="00000000">
        <w:rPr>
          <w:rtl w:val="0"/>
        </w:rPr>
        <w:t xml:space="preserve"> Usuarios sin criptomonedas utilizan una pasarela integrada. Para asegurar la accesibilidad local, se pueden integrar pasarelas que soporten operaciones en la región (como Izipay para tarjetas de crédito/débito), o soluciones globales como Stripe. Un proveedor de liquidez (on-ramp) convierte el Fiat a cripto en el backend y lo inyecta al contrato inteligente en nombre del usuario.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Fase 2.2: Enrutamiento y Gestión de Tesorería (Multi-Sig)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Una vez que los fondos entran al ecosistema, un </w:t>
      </w:r>
      <w:r w:rsidDel="00000000" w:rsidR="00000000" w:rsidRPr="00000000">
        <w:rPr>
          <w:i w:val="1"/>
          <w:iCs w:val="1"/>
          <w:rtl w:val="0"/>
        </w:rPr>
        <w:t xml:space="preserve">Smart Contract</w:t>
      </w:r>
      <w:r w:rsidDel="00000000" w:rsidR="00000000" w:rsidRPr="00000000">
        <w:rPr>
          <w:rtl w:val="0"/>
        </w:rPr>
        <w:t xml:space="preserve"> de enrutamiento distribuye automáticamente el capital según las normativas del Whitepaper, eliminando la intervención humana inicial.</w:t>
      </w:r>
    </w:p>
    <w:tbl>
      <w:tblPr>
        <w:tblStyle w:val="Table1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Porcentaje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Destino (Bóveda / Wallet)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Condición de Liberación (On-Chain)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50%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Bóveda de Producción Médica e I+D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Billetera Multi-firma (2-de-3). Requiere firma de tesorería y aprobación de auditoría clínica para pago a proveedores 3D.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Liquidez y Tesorería DAO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Bloqueo temporal (Vesting / Cliff). Liberación programada por bloque para estabilizar el mercado.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Marketing y Comunidad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Fondos operativos de acceso recurrente, gobernados por los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token holders</w:t>
            </w:r>
            <w:r w:rsidDel="00000000" w:rsidR="00000000" w:rsidRPr="00000000">
              <w:rPr>
                <w:rtl w:val="0"/>
              </w:rPr>
              <w:t xml:space="preserve"> mediante votación DAO.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Operaciones y Legal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Liberación mensual automatizada para cubrir costos logísticos y de servidores.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Seguridad y Auditoría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Pago directo contra entrega de reportes de auditoría de contratos inteligentes.</w:t>
            </w:r>
          </w:p>
        </w:tc>
      </w:tr>
    </w:tbl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Fase 2.3: Validación y Certificación (Minting del NFT de Impacto)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La transacción concluye cuando el impacto en el mundo real se verifica en la blockchain.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600" w:hanging="360"/>
      </w:pPr>
      <w:r w:rsidDel="00000000" w:rsidR="00000000" w:rsidRPr="00000000">
        <w:rPr>
          <w:rtl w:val="0"/>
        </w:rPr>
        <w:t xml:space="preserve">El especialista veterinario carga la evidencia (fotos, escáner CAD, reporte médico) a un sistema de almacenamiento descentralizado (IPFS).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tl w:val="0"/>
        </w:rPr>
        <w:t xml:space="preserve">El contrato inteligente lee esta validación y "acuña" (mints) automáticamente un NFT coleccionable.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Rule="auto"/>
        <w:ind w:left="600" w:hanging="360"/>
      </w:pPr>
      <w:r w:rsidDel="00000000" w:rsidR="00000000" w:rsidRPr="00000000">
        <w:rPr>
          <w:rtl w:val="0"/>
        </w:rPr>
        <w:t xml:space="preserve">Este NFT se transfiere a la billetera del donante inicial, sirviendo como un certificado criptográfico inmutable de que su aporte se transformó en una prótesis real.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 de Metadatos del NFT (Almacenado en IPFS):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75" w:before="225" w:lineRule="auto"/>
        <w:ind w:left="225" w:right="225" w:firstLine="0"/>
        <w:rPr>
          <w:rFonts w:ascii="Courier" w:cs="Courier" w:eastAsia="Courier" w:hAnsi="Courier"/>
          <w:sz w:val="20"/>
          <w:szCs w:val="20"/>
          <w:shd w:fill="f1f5f9" w:val="clear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shd w:fill="f1f5f9" w:val="clear"/>
          <w:rtl w:val="0"/>
        </w:rPr>
        <w:t xml:space="preserve">{</w:t>
        <w:br w:type="textWrapping"/>
        <w:t xml:space="preserve">  "name": "VitalPaws Impact Certificate #001",</w:t>
        <w:br w:type="textWrapping"/>
        <w:t xml:space="preserve">  "description": "Prótesis frontal izquierda de TPU fabricada para 'Max'.",</w:t>
        <w:br w:type="textWrapping"/>
        <w:t xml:space="preserve">  "image": "ipfs://QmYwAPJzv5CZsnA625s3Xf2smhx...",</w:t>
        <w:br w:type="textWrapping"/>
        <w:t xml:space="preserve">  "attributes": [</w:t>
        <w:br w:type="textWrapping"/>
        <w:t xml:space="preserve">    { "trait_type": "Material", "value": "TPU Grado Médico" },</w:t>
        <w:br w:type="textWrapping"/>
        <w:t xml:space="preserve">    { "trait_type": "Clínica Validadora", "value": "Centro Veterinario Aliado - Trujillo" },</w:t>
        <w:br w:type="textWrapping"/>
        <w:t xml:space="preserve">    { "trait_type": "TxHash Financiación", "value": "0x7f8c9b..." },</w:t>
        <w:br w:type="textWrapping"/>
        <w:t xml:space="preserve">    { "trait_type": "Fecha de Entrega", "value": "2026-08-15" }</w:t>
        <w:br w:type="textWrapping"/>
        <w:t xml:space="preserve">  ]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Implementación del Programa Piloto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lineRule="auto"/>
        <w:rPr/>
      </w:pPr>
      <w:r w:rsidDel="00000000" w:rsidR="00000000" w:rsidRPr="00000000">
        <w:rPr>
          <w:rtl w:val="0"/>
        </w:rPr>
        <w:t xml:space="preserve">Antes de abrir la Oferta Inicial de Monedas (ICO) al público general, se ejecutará el piloto para calibrar los sistemas físicos y digitales.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3.1. Operaciones Físicas (Hardware y Ortopedia)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Se colaborará con refugios locales en Trujillo para seleccionar los primeros 3 casos clínicos. El proceso de manufactura implica: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Escaneo:</w:t>
      </w:r>
      <w:r w:rsidDel="00000000" w:rsidR="00000000" w:rsidRPr="00000000">
        <w:rPr>
          <w:rtl w:val="0"/>
        </w:rPr>
        <w:t xml:space="preserve"> Toma de medidas anatómicas exactas utilizando escáneres 3D portátiles.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Modelado CAD:</w:t>
      </w:r>
      <w:r w:rsidDel="00000000" w:rsidR="00000000" w:rsidRPr="00000000">
        <w:rPr>
          <w:rtl w:val="0"/>
        </w:rPr>
        <w:t xml:space="preserve"> Adaptación de la geometría de la prótesis utilizando software especializado para asegurar la ergonomía.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Impresión:</w:t>
      </w:r>
      <w:r w:rsidDel="00000000" w:rsidR="00000000" w:rsidRPr="00000000">
        <w:rPr>
          <w:rtl w:val="0"/>
        </w:rPr>
        <w:t xml:space="preserve"> Uso de filamentos PETG o TPU. Se calibrarán los parámetros de densidad (infill) para soportar la carga biomecánica sin comprometer el peso.</w:t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3.2. Operaciones Digitales y Auditoría (Testnet)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lineRule="auto"/>
        <w:rPr/>
      </w:pPr>
      <w:r w:rsidDel="00000000" w:rsidR="00000000" w:rsidRPr="00000000">
        <w:rPr>
          <w:rtl w:val="0"/>
        </w:rPr>
        <w:t xml:space="preserve">Toda la lógica financiera se simulará primero en la red de pruebas Sepolia. Es fundamental que el equipo técnico realice pruebas de estrés, prestando especial atención a ataques de reentrada (Reentrancy), concurrencia y validación de </w:t>
      </w:r>
      <w:r w:rsidDel="00000000" w:rsidR="00000000" w:rsidRPr="00000000">
        <w:rPr>
          <w:i w:val="1"/>
          <w:iCs w:val="1"/>
          <w:rtl w:val="0"/>
        </w:rPr>
        <w:t xml:space="preserve">soft locks</w:t>
      </w:r>
      <w:r w:rsidDel="00000000" w:rsidR="00000000" w:rsidRPr="00000000">
        <w:rPr>
          <w:rtl w:val="0"/>
        </w:rPr>
        <w:t xml:space="preserve"> en la lógica de vesting. La participación de pares enfocados en QA o auditoría técnica (como Charlie) será crucial en esta etapa para asegurar que la liquidez no quede atrapada por errores en el código.</w:t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3.3. Preparación Comercial (Pitch y ICO)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lineRule="auto"/>
        <w:rPr/>
      </w:pPr>
      <w:r w:rsidDel="00000000" w:rsidR="00000000" w:rsidRPr="00000000">
        <w:rPr>
          <w:rtl w:val="0"/>
        </w:rPr>
        <w:t xml:space="preserve">Paralelamente a las pruebas técnicas, el área de marketing y desarrollo de negocio deberá estructurar el </w:t>
      </w:r>
      <w:r w:rsidDel="00000000" w:rsidR="00000000" w:rsidRPr="00000000">
        <w:rPr>
          <w:i w:val="1"/>
          <w:iCs w:val="1"/>
          <w:rtl w:val="0"/>
        </w:rPr>
        <w:t xml:space="preserve">Pitch Deck</w:t>
      </w:r>
      <w:r w:rsidDel="00000000" w:rsidR="00000000" w:rsidRPr="00000000">
        <w:rPr>
          <w:rtl w:val="0"/>
        </w:rPr>
        <w:t xml:space="preserve"> oficial. Con el apoyo de perfiles comerciales (como Franco), se articularán las presentaciones para inversores ángeles en la Fase 1 (Private Sale), enfocando el discurso en las métricas ESG (Environmental, Social, and Governance) y la escalabilidad internacional del modelo B2B.</w:t>
      </w:r>
    </w:p>
    <w:p w:rsidR="00000000" w:rsidDel="00000000" w:rsidP="00000000" w:rsidRDefault="00000000" w:rsidRPr="00000000" w14:paraId="0000003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Consideraciones Finales y Siguientes Pasos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La integración exitosa de VitalPaws requiere mantener una sincronía perfecta entre el desarrollo full-stack del ecosistema Web3 y la precisión técnica de la impresión 3D. El siguiente paso inmediato es la redacción técnica de los contratos en Solidity y la configuración inicial del repositorio en Next.js para el panel de donantes.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00" w:before="240" w:lineRule="auto"/>
    </w:pPr>
    <w:rPr>
      <w:b w:val="1"/>
      <w:bCs w:val="1"/>
      <w:i w:val="0"/>
      <w:iCs w:val="0"/>
      <w:color w:val="1a365d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450" w:lineRule="auto"/>
    </w:pPr>
    <w:rPr>
      <w:b w:val="1"/>
      <w:bCs w:val="1"/>
      <w:i w:val="0"/>
      <w:iCs w:val="0"/>
      <w:color w:val="2b6cb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375" w:lineRule="auto"/>
    </w:pPr>
    <w:rPr>
      <w:b w:val="1"/>
      <w:bCs w:val="1"/>
      <w:i w:val="0"/>
      <w:iCs w:val="0"/>
      <w:color w:val="2c5282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