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终端编程助手 PRD 文档</w:t>
      </w:r>
    </w:p>
    <w:p>
      <w:pPr>
        <w:jc w:val="center"/>
      </w:pPr>
      <w:r>
        <w:t>终端编程助手项目｜V1.0｜2026年7月</w:t>
      </w:r>
    </w:p>
    <w:p>
      <w:r>
        <w:br w:type="page"/>
      </w:r>
    </w:p>
    <w:p>
      <w:pPr>
        <w:pStyle w:val="Heading1"/>
      </w:pPr>
      <w:r>
        <w:t>一、文档基础信息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F4E78"/>
          </w:tcPr>
          <w:p>
            <w:r>
              <w:rPr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  <w:color w:val="FFFFFF"/>
                <w:sz w:val="17"/>
              </w:rPr>
              <w:t>定位</w:t>
            </w:r>
          </w:p>
        </w:tc>
        <w:tc>
          <w:tcPr>
            <w:tcW w:type="dxa" w:w="2556"/>
            <w:shd w:fill="1F4E78"/>
          </w:tcPr>
          <w:p>
            <w:r>
              <w:rPr>
                <w:b/>
                <w:color w:val="FFFFFF"/>
                <w:sz w:val="17"/>
              </w:rPr>
              <w:t>目标用户</w:t>
            </w:r>
          </w:p>
        </w:tc>
      </w:tr>
      <w:tr>
        <w:tc>
          <w:tcPr>
            <w:tcW w:type="dxa" w:w="2556"/>
            <w:shd w:fill="F2F6FA"/>
          </w:tcPr>
          <w:p>
            <w:r>
              <w:rPr>
                <w:sz w:val="16"/>
              </w:rPr>
              <w:t>YX 终端编程助手</w:t>
            </w:r>
          </w:p>
        </w:tc>
        <w:tc>
          <w:tcPr>
            <w:tcW w:type="dxa" w:w="2556"/>
            <w:shd w:fill="F2F6FA"/>
          </w:tcPr>
          <w:p>
            <w:r>
              <w:rPr>
                <w:sz w:val="16"/>
              </w:rPr>
              <w:t>V1.0</w:t>
            </w:r>
          </w:p>
        </w:tc>
        <w:tc>
          <w:tcPr>
            <w:tcW w:type="dxa" w:w="2556"/>
            <w:shd w:fill="F2F6FA"/>
          </w:tcPr>
          <w:p>
            <w:r>
              <w:rPr>
                <w:sz w:val="16"/>
              </w:rPr>
              <w:t>在终端内完成“理解—计划—执行—验证—复盘”的 AI 编程协作工具</w:t>
            </w:r>
          </w:p>
        </w:tc>
        <w:tc>
          <w:tcPr>
            <w:tcW w:type="dxa" w:w="2556"/>
            <w:shd w:fill="F2F6FA"/>
          </w:tcPr>
          <w:p>
            <w:r>
              <w:rPr>
                <w:sz w:val="16"/>
              </w:rPr>
              <w:t>个人开发者、团队开发者、项目维护者</w:t>
            </w:r>
          </w:p>
        </w:tc>
      </w:tr>
    </w:tbl>
    <w:p/>
    <w:p>
      <w:r>
        <w:t>参考依据：当前工作区 yx/__main__.py、yx/app.py、agent.py、client.py、tools、commands、permissions、mcp、memory、skills、teams、worktree 等代码实现。</w:t>
      </w:r>
    </w:p>
    <w:p>
      <w:pPr>
        <w:pStyle w:val="Heading1"/>
      </w:pPr>
      <w:r>
        <w:t>二、产品核心价值</w:t>
      </w:r>
    </w:p>
    <w:p>
      <w:pPr>
        <w:pStyle w:val="Heading2"/>
      </w:pPr>
      <w:r>
        <w:t>2.1 开发者价值</w:t>
      </w:r>
    </w:p>
    <w:p>
      <w:r>
        <w:t>减少在文件搜索、代码解释、命令执行、测试验证和上下文整理上的切换成本；通过流式终端交互保持开发节奏。</w:t>
      </w:r>
    </w:p>
    <w:p>
      <w:pPr>
        <w:pStyle w:val="Heading2"/>
      </w:pPr>
      <w:r>
        <w:t>2.2 工程治理价值</w:t>
      </w:r>
    </w:p>
    <w:p>
      <w:r>
        <w:t>通过权限模式、规则、沙箱、审计、checkpoint、worktree 和可解释工具结果，降低 AI 修改代码和执行命令的风险。</w:t>
      </w:r>
    </w:p>
    <w:p>
      <w:pPr>
        <w:pStyle w:val="Heading1"/>
      </w:pPr>
      <w:r>
        <w:t>三、产品模块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8"/>
          </w:tcPr>
          <w:p>
            <w:r>
              <w:rPr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  <w:sz w:val="17"/>
              </w:rPr>
              <w:t>核心能力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  <w:sz w:val="17"/>
              </w:rPr>
              <w:t>核心入口</w:t>
            </w:r>
          </w:p>
        </w:tc>
      </w:tr>
      <w:tr>
        <w:tc>
          <w:tcPr>
            <w:tcW w:type="dxa" w:w="3408"/>
            <w:shd w:fill="F2F6FA"/>
          </w:tcPr>
          <w:p>
            <w:r>
              <w:rPr>
                <w:sz w:val="16"/>
              </w:rPr>
              <w:t>终端交互</w:t>
            </w:r>
          </w:p>
        </w:tc>
        <w:tc>
          <w:tcPr>
            <w:tcW w:type="dxa" w:w="3408"/>
            <w:shd w:fill="F2F6FA"/>
          </w:tcPr>
          <w:p>
            <w:r>
              <w:rPr>
                <w:sz w:val="16"/>
              </w:rPr>
              <w:t>Textual UI、Markdown、流式消息、状态块、通知</w:t>
            </w:r>
          </w:p>
        </w:tc>
        <w:tc>
          <w:tcPr>
            <w:tcW w:type="dxa" w:w="3408"/>
            <w:shd w:fill="F2F6FA"/>
          </w:tcPr>
          <w:p>
            <w:r>
              <w:rPr>
                <w:sz w:val="16"/>
              </w:rPr>
              <w:t>启动命令与对话输入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sz w:val="16"/>
              </w:rPr>
              <w:t>模型与代理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6"/>
              </w:rPr>
              <w:t>Provider、系统提示、上下文、工具循环、使用量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6"/>
              </w:rPr>
              <w:t>自然语言对话</w:t>
            </w:r>
          </w:p>
        </w:tc>
      </w:tr>
      <w:tr>
        <w:tc>
          <w:tcPr>
            <w:tcW w:type="dxa" w:w="3408"/>
            <w:shd w:fill="F2F6FA"/>
          </w:tcPr>
          <w:p>
            <w:r>
              <w:rPr>
                <w:sz w:val="16"/>
              </w:rPr>
              <w:t>工具执行</w:t>
            </w:r>
          </w:p>
        </w:tc>
        <w:tc>
          <w:tcPr>
            <w:tcW w:type="dxa" w:w="3408"/>
            <w:shd w:fill="F2F6FA"/>
          </w:tcPr>
          <w:p>
            <w:r>
              <w:rPr>
                <w:sz w:val="16"/>
              </w:rPr>
              <w:t>文件、搜索、diff、shell、用户询问</w:t>
            </w:r>
          </w:p>
        </w:tc>
        <w:tc>
          <w:tcPr>
            <w:tcW w:type="dxa" w:w="3408"/>
            <w:shd w:fill="F2F6FA"/>
          </w:tcPr>
          <w:p>
            <w:r>
              <w:rPr>
                <w:sz w:val="16"/>
              </w:rPr>
              <w:t>模型工具调用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sz w:val="16"/>
              </w:rPr>
              <w:t>命令中心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6"/>
              </w:rPr>
              <w:t>help、plan、permission、session、review 等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6"/>
              </w:rPr>
              <w:t>/command + Tab 补全</w:t>
            </w:r>
          </w:p>
        </w:tc>
      </w:tr>
      <w:tr>
        <w:tc>
          <w:tcPr>
            <w:tcW w:type="dxa" w:w="3408"/>
            <w:shd w:fill="F2F6FA"/>
          </w:tcPr>
          <w:p>
            <w:r>
              <w:rPr>
                <w:sz w:val="16"/>
              </w:rPr>
              <w:t>安全控制</w:t>
            </w:r>
          </w:p>
        </w:tc>
        <w:tc>
          <w:tcPr>
            <w:tcW w:type="dxa" w:w="3408"/>
            <w:shd w:fill="F2F6FA"/>
          </w:tcPr>
          <w:p>
            <w:r>
              <w:rPr>
                <w:sz w:val="16"/>
              </w:rPr>
              <w:t>权限模式、规则、危险命令、路径沙箱、OS 沙箱</w:t>
            </w:r>
          </w:p>
        </w:tc>
        <w:tc>
          <w:tcPr>
            <w:tcW w:type="dxa" w:w="3408"/>
            <w:shd w:fill="F2F6FA"/>
          </w:tcPr>
          <w:p>
            <w:r>
              <w:rPr>
                <w:sz w:val="16"/>
              </w:rPr>
              <w:t>/permission、/sandbox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sz w:val="16"/>
              </w:rPr>
              <w:t>上下文与记忆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6"/>
              </w:rPr>
              <w:t>compact、session、memory、history、file cache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6"/>
              </w:rPr>
              <w:t>/compact、/memory、/session</w:t>
            </w:r>
          </w:p>
        </w:tc>
      </w:tr>
      <w:tr>
        <w:tc>
          <w:tcPr>
            <w:tcW w:type="dxa" w:w="3408"/>
            <w:shd w:fill="F2F6FA"/>
          </w:tcPr>
          <w:p>
            <w:r>
              <w:rPr>
                <w:sz w:val="16"/>
              </w:rPr>
              <w:t>扩展与协作</w:t>
            </w:r>
          </w:p>
        </w:tc>
        <w:tc>
          <w:tcPr>
            <w:tcW w:type="dxa" w:w="3408"/>
            <w:shd w:fill="F2F6FA"/>
          </w:tcPr>
          <w:p>
            <w:r>
              <w:rPr>
                <w:sz w:val="16"/>
              </w:rPr>
              <w:t>MCP、skills、hooks、agents、teams、worktree</w:t>
            </w:r>
          </w:p>
        </w:tc>
        <w:tc>
          <w:tcPr>
            <w:tcW w:type="dxa" w:w="3408"/>
            <w:shd w:fill="F2F6FA"/>
          </w:tcPr>
          <w:p>
            <w:r>
              <w:rPr>
                <w:sz w:val="16"/>
              </w:rPr>
              <w:t>/mcp、/skill、Agent、TeamCreate</w:t>
            </w:r>
          </w:p>
        </w:tc>
      </w:tr>
    </w:tbl>
    <w:p/>
    <w:p>
      <w:pPr>
        <w:pStyle w:val="Heading1"/>
      </w:pPr>
      <w:r>
        <w:t>四、核心用户流程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8"/>
          </w:tcPr>
          <w:p>
            <w:r>
              <w:rPr>
                <w:b/>
                <w:color w:val="FFFFFF"/>
                <w:sz w:val="17"/>
              </w:rPr>
              <w:t>流程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  <w:sz w:val="17"/>
              </w:rPr>
              <w:t>用户可见结果</w:t>
            </w:r>
          </w:p>
        </w:tc>
      </w:tr>
      <w:tr>
        <w:tc>
          <w:tcPr>
            <w:tcW w:type="dxa" w:w="3408"/>
            <w:shd w:fill="F2F6FA"/>
          </w:tcPr>
          <w:p>
            <w:r>
              <w:rPr>
                <w:sz w:val="16"/>
              </w:rPr>
              <w:t>普通编码任务</w:t>
            </w:r>
          </w:p>
        </w:tc>
        <w:tc>
          <w:tcPr>
            <w:tcW w:type="dxa" w:w="3408"/>
            <w:shd w:fill="F2F6FA"/>
          </w:tcPr>
          <w:p>
            <w:r>
              <w:rPr>
                <w:sz w:val="16"/>
              </w:rPr>
              <w:t>输入需求→助手检索文件→提出方案→请求权限→编辑→运行测试→汇总</w:t>
            </w:r>
          </w:p>
        </w:tc>
        <w:tc>
          <w:tcPr>
            <w:tcW w:type="dxa" w:w="3408"/>
            <w:shd w:fill="F2F6FA"/>
          </w:tcPr>
          <w:p>
            <w:r>
              <w:rPr>
                <w:sz w:val="16"/>
              </w:rPr>
              <w:t>每次工具调用、diff、退出码和结论均可见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sz w:val="16"/>
              </w:rPr>
              <w:t>规划任务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6"/>
              </w:rPr>
              <w:t>/plan→分析代码→生成计划→只读探索→用户确认→退出计划执行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6"/>
              </w:rPr>
              <w:t>计划阶段不会执行非计划写操作</w:t>
            </w:r>
          </w:p>
        </w:tc>
      </w:tr>
      <w:tr>
        <w:tc>
          <w:tcPr>
            <w:tcW w:type="dxa" w:w="3408"/>
            <w:shd w:fill="F2F6FA"/>
          </w:tcPr>
          <w:p>
            <w:r>
              <w:rPr>
                <w:sz w:val="16"/>
              </w:rPr>
              <w:t>复杂协作</w:t>
            </w:r>
          </w:p>
        </w:tc>
        <w:tc>
          <w:tcPr>
            <w:tcW w:type="dxa" w:w="3408"/>
            <w:shd w:fill="F2F6FA"/>
          </w:tcPr>
          <w:p>
            <w:r>
              <w:rPr>
                <w:sz w:val="16"/>
              </w:rPr>
              <w:t>创建 team→Agent 拆分任务→worktree 隔离→SendMessage 汇报→合并/清理</w:t>
            </w:r>
          </w:p>
        </w:tc>
        <w:tc>
          <w:tcPr>
            <w:tcW w:type="dxa" w:w="3408"/>
            <w:shd w:fill="F2F6FA"/>
          </w:tcPr>
          <w:p>
            <w:r>
              <w:rPr>
                <w:sz w:val="16"/>
              </w:rPr>
              <w:t>成员、任务、分支、进度和失败状态可追踪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sz w:val="16"/>
              </w:rPr>
              <w:t>长会话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6"/>
              </w:rPr>
              <w:t>上下文接近上限→/compact 或自动摘要→召回 memory→继续任务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6"/>
              </w:rPr>
              <w:t>保留目标、决策、约束和关键文件</w:t>
            </w:r>
          </w:p>
        </w:tc>
      </w:tr>
    </w:tbl>
    <w:p/>
    <w:p>
      <w:pPr>
        <w:pStyle w:val="Heading1"/>
      </w:pPr>
      <w:r>
        <w:t>五、终端交互规格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  <w:sz w:val="17"/>
              </w:rPr>
              <w:t>区域/行为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5112"/>
            <w:shd w:fill="F2F6FA"/>
          </w:tcPr>
          <w:p>
            <w:r>
              <w:rPr>
                <w:sz w:val="16"/>
              </w:rPr>
              <w:t>输入区</w:t>
            </w:r>
          </w:p>
        </w:tc>
        <w:tc>
          <w:tcPr>
            <w:tcW w:type="dxa" w:w="5112"/>
            <w:shd w:fill="F2F6FA"/>
          </w:tcPr>
          <w:p>
            <w:r>
              <w:rPr>
                <w:sz w:val="16"/>
              </w:rPr>
              <w:t>Enter提交、Shift+Enter/Ctrl+J换行、Tab补全、上下键浏览历史、@文件引用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6"/>
              </w:rPr>
              <w:t>消息区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6"/>
              </w:rPr>
              <w:t>流式文本、Thinking、ToolUse、ToolResult、Retry、Usage、Error 和完成事件可区分</w:t>
            </w:r>
          </w:p>
        </w:tc>
      </w:tr>
      <w:tr>
        <w:tc>
          <w:tcPr>
            <w:tcW w:type="dxa" w:w="5112"/>
            <w:shd w:fill="F2F6FA"/>
          </w:tcPr>
          <w:p>
            <w:r>
              <w:rPr>
                <w:sz w:val="16"/>
              </w:rPr>
              <w:t>工具块</w:t>
            </w:r>
          </w:p>
        </w:tc>
        <w:tc>
          <w:tcPr>
            <w:tcW w:type="dxa" w:w="5112"/>
            <w:shd w:fill="F2F6FA"/>
          </w:tcPr>
          <w:p>
            <w:r>
              <w:rPr>
                <w:sz w:val="16"/>
              </w:rPr>
              <w:t>默认折叠；EditFile diff 默认展开；支持查看详细输入/输出；超长输出截断并提示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6"/>
              </w:rPr>
              <w:t>权限确认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6"/>
              </w:rPr>
              <w:t>展示工具名、目标路径/命令、风险和允许/拒绝选项；拒绝后继续对话</w:t>
            </w:r>
          </w:p>
        </w:tc>
      </w:tr>
      <w:tr>
        <w:tc>
          <w:tcPr>
            <w:tcW w:type="dxa" w:w="5112"/>
            <w:shd w:fill="F2F6FA"/>
          </w:tcPr>
          <w:p>
            <w:r>
              <w:rPr>
                <w:sz w:val="16"/>
              </w:rPr>
              <w:t>模式状态</w:t>
            </w:r>
          </w:p>
        </w:tc>
        <w:tc>
          <w:tcPr>
            <w:tcW w:type="dxa" w:w="5112"/>
            <w:shd w:fill="F2F6FA"/>
          </w:tcPr>
          <w:p>
            <w:r>
              <w:rPr>
                <w:sz w:val="16"/>
              </w:rPr>
              <w:t>顶部或系统消息展示 default/accept-edits/plan/bypass、sandbox、MCP 和任务状态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6"/>
              </w:rPr>
              <w:t>错误体验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6"/>
              </w:rPr>
              <w:t>鉴权、限流、超时、解析、MCP、沙箱、路径和退出码错误均给出下一步建议</w:t>
            </w:r>
          </w:p>
        </w:tc>
      </w:tr>
    </w:tbl>
    <w:p/>
    <w:p>
      <w:pPr>
        <w:pStyle w:val="Heading1"/>
      </w:pPr>
      <w:r>
        <w:t>六、配置与扩展规格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  <w:sz w:val="17"/>
              </w:rPr>
              <w:t>配置项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  <w:sz w:val="17"/>
              </w:rPr>
              <w:t>产品要求</w:t>
            </w:r>
          </w:p>
        </w:tc>
      </w:tr>
      <w:tr>
        <w:tc>
          <w:tcPr>
            <w:tcW w:type="dxa" w:w="5112"/>
            <w:shd w:fill="F2F6FA"/>
          </w:tcPr>
          <w:p>
            <w:r>
              <w:rPr>
                <w:sz w:val="16"/>
              </w:rPr>
              <w:t>Provider</w:t>
            </w:r>
          </w:p>
        </w:tc>
        <w:tc>
          <w:tcPr>
            <w:tcW w:type="dxa" w:w="5112"/>
            <w:shd w:fill="F2F6FA"/>
          </w:tcPr>
          <w:p>
            <w:r>
              <w:rPr>
                <w:sz w:val="16"/>
              </w:rPr>
              <w:t>name/protocol/base_url/model/api_key/thinking/context_window/max_output_tokens；API key 支持环境变量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6"/>
              </w:rPr>
              <w:t>MCP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6"/>
              </w:rPr>
              <w:t>stdio command/args 或 URL/headers/env；显示连接结果与工具发现状态</w:t>
            </w:r>
          </w:p>
        </w:tc>
      </w:tr>
      <w:tr>
        <w:tc>
          <w:tcPr>
            <w:tcW w:type="dxa" w:w="5112"/>
            <w:shd w:fill="F2F6FA"/>
          </w:tcPr>
          <w:p>
            <w:r>
              <w:rPr>
                <w:sz w:val="16"/>
              </w:rPr>
              <w:t>Worktree</w:t>
            </w:r>
          </w:p>
        </w:tc>
        <w:tc>
          <w:tcPr>
            <w:tcW w:type="dxa" w:w="5112"/>
            <w:shd w:fill="F2F6FA"/>
          </w:tcPr>
          <w:p>
            <w:r>
              <w:rPr>
                <w:sz w:val="16"/>
              </w:rPr>
              <w:t>symlink_directories、stale_cleanup_interval、stale_cutoff_hours；支持自动清理陈旧工作树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6"/>
              </w:rPr>
              <w:t>Sandbox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6"/>
              </w:rPr>
              <w:t>enabled、auto_allow、network_enabled；平台不支持时提示而非静默放行</w:t>
            </w:r>
          </w:p>
        </w:tc>
      </w:tr>
      <w:tr>
        <w:tc>
          <w:tcPr>
            <w:tcW w:type="dxa" w:w="5112"/>
            <w:shd w:fill="F2F6FA"/>
          </w:tcPr>
          <w:p>
            <w:r>
              <w:rPr>
                <w:sz w:val="16"/>
              </w:rPr>
              <w:t>Hooks</w:t>
            </w:r>
          </w:p>
        </w:tc>
        <w:tc>
          <w:tcPr>
            <w:tcW w:type="dxa" w:w="5112"/>
            <w:shd w:fill="F2F6FA"/>
          </w:tcPr>
          <w:p>
            <w:r>
              <w:rPr>
                <w:sz w:val="16"/>
              </w:rPr>
              <w:t>按事件、条件和执行器扩展流程；hook 失败有日志但不破坏主流程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6"/>
              </w:rPr>
              <w:t>Skills/Commands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6"/>
              </w:rPr>
              <w:t>从用户/项目目录加载 Markdown；frontmatter 支持 description、argument-hint、aliases；可安装并刷新 catalog</w:t>
            </w:r>
          </w:p>
        </w:tc>
      </w:tr>
    </w:tbl>
    <w:p/>
    <w:p>
      <w:pPr>
        <w:pStyle w:val="Heading1"/>
      </w:pPr>
      <w:r>
        <w:t>七、版本规划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F4E78"/>
          </w:tcPr>
          <w:p>
            <w:r>
              <w:rPr>
                <w:b/>
                <w:color w:val="FFFFFF"/>
                <w:sz w:val="17"/>
              </w:rPr>
              <w:t>版本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  <w:sz w:val="17"/>
              </w:rPr>
              <w:t>范围</w:t>
            </w:r>
          </w:p>
        </w:tc>
        <w:tc>
          <w:tcPr>
            <w:tcW w:type="dxa" w:w="3408"/>
            <w:shd w:fill="1F4E78"/>
          </w:tcPr>
          <w:p>
            <w:r>
              <w:rPr>
                <w:b/>
                <w:color w:val="FFFFFF"/>
                <w:sz w:val="17"/>
              </w:rPr>
              <w:t>验收重点</w:t>
            </w:r>
          </w:p>
        </w:tc>
      </w:tr>
      <w:tr>
        <w:tc>
          <w:tcPr>
            <w:tcW w:type="dxa" w:w="3408"/>
            <w:shd w:fill="F2F6FA"/>
          </w:tcPr>
          <w:p>
            <w:r>
              <w:rPr>
                <w:sz w:val="16"/>
              </w:rPr>
              <w:t>V1.0</w:t>
            </w:r>
          </w:p>
        </w:tc>
        <w:tc>
          <w:tcPr>
            <w:tcW w:type="dxa" w:w="3408"/>
            <w:shd w:fill="F2F6FA"/>
          </w:tcPr>
          <w:p>
            <w:r>
              <w:rPr>
                <w:sz w:val="16"/>
              </w:rPr>
              <w:t>终端对话、provider、基础工具、命令、权限、会话、compact、MCP</w:t>
            </w:r>
          </w:p>
        </w:tc>
        <w:tc>
          <w:tcPr>
            <w:tcW w:type="dxa" w:w="3408"/>
            <w:shd w:fill="F2F6FA"/>
          </w:tcPr>
          <w:p>
            <w:r>
              <w:rPr>
                <w:sz w:val="16"/>
              </w:rPr>
              <w:t>核心闭环可用且拒绝权限不执行</w:t>
            </w:r>
          </w:p>
        </w:tc>
      </w:tr>
      <w:tr>
        <w:tc>
          <w:tcPr>
            <w:tcW w:type="dxa" w:w="3408"/>
            <w:shd w:fill="FFFFFF"/>
          </w:tcPr>
          <w:p>
            <w:r>
              <w:rPr>
                <w:sz w:val="16"/>
              </w:rPr>
              <w:t>V1.1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6"/>
              </w:rPr>
              <w:t>skills、hooks、memory、review、rewind、sandbox、worktree</w:t>
            </w:r>
          </w:p>
        </w:tc>
        <w:tc>
          <w:tcPr>
            <w:tcW w:type="dxa" w:w="3408"/>
            <w:shd w:fill="FFFFFF"/>
          </w:tcPr>
          <w:p>
            <w:r>
              <w:rPr>
                <w:sz w:val="16"/>
              </w:rPr>
              <w:t>扩展加载、恢复和隔离流程稳定</w:t>
            </w:r>
          </w:p>
        </w:tc>
      </w:tr>
      <w:tr>
        <w:tc>
          <w:tcPr>
            <w:tcW w:type="dxa" w:w="3408"/>
            <w:shd w:fill="F2F6FA"/>
          </w:tcPr>
          <w:p>
            <w:r>
              <w:rPr>
                <w:sz w:val="16"/>
              </w:rPr>
              <w:t>V1.2</w:t>
            </w:r>
          </w:p>
        </w:tc>
        <w:tc>
          <w:tcPr>
            <w:tcW w:type="dxa" w:w="3408"/>
            <w:shd w:fill="F2F6FA"/>
          </w:tcPr>
          <w:p>
            <w:r>
              <w:rPr>
                <w:sz w:val="16"/>
              </w:rPr>
              <w:t>Agent/team 并行协作、团队通知、进度、更多 provider 能力</w:t>
            </w:r>
          </w:p>
        </w:tc>
        <w:tc>
          <w:tcPr>
            <w:tcW w:type="dxa" w:w="3408"/>
            <w:shd w:fill="F2F6FA"/>
          </w:tcPr>
          <w:p>
            <w:r>
              <w:rPr>
                <w:sz w:val="16"/>
              </w:rPr>
              <w:t>任务状态、消息、worktree 生命周期完整</w:t>
            </w:r>
          </w:p>
        </w:tc>
      </w:tr>
    </w:tbl>
    <w:p/>
    <w:p>
      <w:pPr>
        <w:pStyle w:val="Heading1"/>
      </w:pPr>
      <w:r>
        <w:t>八、风险与降级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8"/>
          </w:tcPr>
          <w:p>
            <w:r>
              <w:rPr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5112"/>
            <w:shd w:fill="1F4E78"/>
          </w:tcPr>
          <w:p>
            <w:r>
              <w:rPr>
                <w:b/>
                <w:color w:val="FFFFFF"/>
                <w:sz w:val="17"/>
              </w:rPr>
              <w:t>降级策略</w:t>
            </w:r>
          </w:p>
        </w:tc>
      </w:tr>
      <w:tr>
        <w:tc>
          <w:tcPr>
            <w:tcW w:type="dxa" w:w="5112"/>
            <w:shd w:fill="F2F6FA"/>
          </w:tcPr>
          <w:p>
            <w:r>
              <w:rPr>
                <w:sz w:val="16"/>
              </w:rPr>
              <w:t>模型不可用/鉴权失败</w:t>
            </w:r>
          </w:p>
        </w:tc>
        <w:tc>
          <w:tcPr>
            <w:tcW w:type="dxa" w:w="5112"/>
            <w:shd w:fill="F2F6FA"/>
          </w:tcPr>
          <w:p>
            <w:r>
              <w:rPr>
                <w:sz w:val="16"/>
              </w:rPr>
              <w:t>启动或调用时展示 provider、base_url、model 和鉴权诊断，不伪造结果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6"/>
              </w:rPr>
              <w:t>工具失败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6"/>
              </w:rPr>
              <w:t>保留错误输出和退出码；允许模型修复或请求用户处理</w:t>
            </w:r>
          </w:p>
        </w:tc>
      </w:tr>
      <w:tr>
        <w:tc>
          <w:tcPr>
            <w:tcW w:type="dxa" w:w="5112"/>
            <w:shd w:fill="F2F6FA"/>
          </w:tcPr>
          <w:p>
            <w:r>
              <w:rPr>
                <w:sz w:val="16"/>
              </w:rPr>
              <w:t>上下文超窗</w:t>
            </w:r>
          </w:p>
        </w:tc>
        <w:tc>
          <w:tcPr>
            <w:tcW w:type="dxa" w:w="5112"/>
            <w:shd w:fill="F2F6FA"/>
          </w:tcPr>
          <w:p>
            <w:r>
              <w:rPr>
                <w:sz w:val="16"/>
              </w:rPr>
              <w:t>自动/手动 compact，摘要记录保留目标和约束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6"/>
              </w:rPr>
              <w:t>MCP 失败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6"/>
              </w:rPr>
              <w:t>单个 server 隔离失败，核心内置工具继续可用</w:t>
            </w:r>
          </w:p>
        </w:tc>
      </w:tr>
      <w:tr>
        <w:tc>
          <w:tcPr>
            <w:tcW w:type="dxa" w:w="5112"/>
            <w:shd w:fill="F2F6FA"/>
          </w:tcPr>
          <w:p>
            <w:r>
              <w:rPr>
                <w:sz w:val="16"/>
              </w:rPr>
              <w:t>沙箱不支持</w:t>
            </w:r>
          </w:p>
        </w:tc>
        <w:tc>
          <w:tcPr>
            <w:tcW w:type="dxa" w:w="5112"/>
            <w:shd w:fill="F2F6FA"/>
          </w:tcPr>
          <w:p>
            <w:r>
              <w:rPr>
                <w:sz w:val="16"/>
              </w:rPr>
              <w:t>明确平台限制，依旧执行权限和路径规则</w:t>
            </w:r>
          </w:p>
        </w:tc>
      </w:tr>
      <w:tr>
        <w:tc>
          <w:tcPr>
            <w:tcW w:type="dxa" w:w="5112"/>
            <w:shd w:fill="FFFFFF"/>
          </w:tcPr>
          <w:p>
            <w:r>
              <w:rPr>
                <w:sz w:val="16"/>
              </w:rPr>
              <w:t>协作成员失败</w:t>
            </w:r>
          </w:p>
        </w:tc>
        <w:tc>
          <w:tcPr>
            <w:tcW w:type="dxa" w:w="5112"/>
            <w:shd w:fill="FFFFFF"/>
          </w:tcPr>
          <w:p>
            <w:r>
              <w:rPr>
                <w:sz w:val="16"/>
              </w:rPr>
              <w:t>任务标记失败、通知主代理，可重试或清理 worktree</w:t>
            </w:r>
          </w:p>
        </w:tc>
      </w:tr>
    </w:tbl>
    <w:p/>
    <w:p>
      <w:pPr>
        <w:pStyle w:val="Heading1"/>
      </w:pPr>
      <w:r>
        <w:t>九、架构图</w:t>
      </w:r>
    </w:p>
    <w:p>
      <w:r>
        <w:t>下图根据当前源码模块绘制，体现终端 UI、代理循环、工具/命令、扩展能力、安全控制和配置/状态之间的关系。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80760" cy="4053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x_terminal_assistant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053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详细技术架构图（更新）</w:t>
      </w:r>
    </w:p>
    <w:p>
      <w:r>
        <w:t>该图按实际源码模块展开，补充了终端交互、启动配置、代理编排、模型适配、工具与命令、安全与状态、扩展协作及 Git worktree 的职责与控制流。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56080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x_terminal_assistant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60808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