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77B" w:rsidRDefault="0071377B"/>
    <w:p w:rsidR="00CC3AFA" w:rsidRPr="006241A2" w:rsidRDefault="006241A2">
      <w:pPr>
        <w:rPr>
          <w:b/>
          <w:sz w:val="24"/>
          <w:szCs w:val="24"/>
        </w:rPr>
      </w:pPr>
      <w:r w:rsidRPr="006241A2">
        <w:rPr>
          <w:b/>
          <w:sz w:val="24"/>
          <w:szCs w:val="24"/>
        </w:rPr>
        <w:t>Vanessa Fillis</w:t>
      </w:r>
    </w:p>
    <w:p w:rsidR="00CC3AFA" w:rsidRPr="00A66442" w:rsidRDefault="006241A2">
      <w:pPr>
        <w:rPr>
          <w:sz w:val="24"/>
          <w:szCs w:val="24"/>
        </w:rPr>
      </w:pPr>
      <w:r w:rsidRPr="00A66442">
        <w:rPr>
          <w:rFonts w:eastAsia="Calibri"/>
          <w:color w:val="0000FF"/>
          <w:sz w:val="24"/>
          <w:szCs w:val="24"/>
          <w:u w:val="single"/>
          <w:lang w:eastAsia="en-GB"/>
        </w:rPr>
        <w:t>vanessafillis.journalism@gmail.com</w:t>
      </w:r>
    </w:p>
    <w:p w:rsidR="00FD0ACC" w:rsidRPr="00A66442" w:rsidRDefault="002A3CCD" w:rsidP="000D56B5">
      <w:pPr>
        <w:rPr>
          <w:sz w:val="24"/>
          <w:szCs w:val="24"/>
        </w:rPr>
      </w:pPr>
      <w:r w:rsidRPr="00A66442">
        <w:rPr>
          <w:sz w:val="24"/>
          <w:szCs w:val="24"/>
        </w:rPr>
        <w:t xml:space="preserve">Our </w:t>
      </w:r>
      <w:r w:rsidR="00542D40" w:rsidRPr="00A66442">
        <w:rPr>
          <w:sz w:val="24"/>
          <w:szCs w:val="24"/>
        </w:rPr>
        <w:t>ref:</w:t>
      </w:r>
      <w:r w:rsidRPr="00A66442">
        <w:rPr>
          <w:sz w:val="24"/>
          <w:szCs w:val="24"/>
        </w:rPr>
        <w:t xml:space="preserve"> 2</w:t>
      </w:r>
      <w:r w:rsidR="00A571C3" w:rsidRPr="00A66442">
        <w:rPr>
          <w:sz w:val="24"/>
          <w:szCs w:val="24"/>
        </w:rPr>
        <w:t>1</w:t>
      </w:r>
      <w:r w:rsidR="000D56B5" w:rsidRPr="00A66442">
        <w:rPr>
          <w:sz w:val="24"/>
          <w:szCs w:val="24"/>
        </w:rPr>
        <w:t xml:space="preserve"> FOI </w:t>
      </w:r>
      <w:r w:rsidR="00332DD7" w:rsidRPr="00A66442">
        <w:rPr>
          <w:sz w:val="24"/>
          <w:szCs w:val="24"/>
        </w:rPr>
        <w:t>124</w:t>
      </w:r>
    </w:p>
    <w:p w:rsidR="000D56B5" w:rsidRPr="006241A2" w:rsidRDefault="008C26D5" w:rsidP="000D56B5">
      <w:pPr>
        <w:rPr>
          <w:sz w:val="24"/>
          <w:szCs w:val="24"/>
        </w:rPr>
      </w:pPr>
      <w:r w:rsidRPr="00A66442">
        <w:rPr>
          <w:sz w:val="24"/>
          <w:szCs w:val="24"/>
        </w:rPr>
        <w:t xml:space="preserve"> </w:t>
      </w:r>
      <w:r w:rsidR="00111D8A" w:rsidRPr="006241A2">
        <w:rPr>
          <w:sz w:val="24"/>
          <w:szCs w:val="24"/>
        </w:rPr>
        <w:t>30</w:t>
      </w:r>
      <w:r w:rsidR="00332DD7" w:rsidRPr="006241A2">
        <w:rPr>
          <w:sz w:val="24"/>
          <w:szCs w:val="24"/>
          <w:vertAlign w:val="superscript"/>
        </w:rPr>
        <w:t>th</w:t>
      </w:r>
      <w:r w:rsidR="00332DD7" w:rsidRPr="006241A2">
        <w:rPr>
          <w:sz w:val="24"/>
          <w:szCs w:val="24"/>
        </w:rPr>
        <w:t xml:space="preserve"> April,</w:t>
      </w:r>
      <w:r w:rsidR="00CB5923" w:rsidRPr="006241A2">
        <w:rPr>
          <w:sz w:val="24"/>
          <w:szCs w:val="24"/>
        </w:rPr>
        <w:t xml:space="preserve"> </w:t>
      </w:r>
      <w:r w:rsidR="000D56B5" w:rsidRPr="006241A2">
        <w:rPr>
          <w:sz w:val="24"/>
          <w:szCs w:val="24"/>
        </w:rPr>
        <w:t>20</w:t>
      </w:r>
      <w:r w:rsidR="00FD0ACC" w:rsidRPr="006241A2">
        <w:rPr>
          <w:sz w:val="24"/>
          <w:szCs w:val="24"/>
        </w:rPr>
        <w:t>2</w:t>
      </w:r>
      <w:r w:rsidR="007F1891" w:rsidRPr="006241A2">
        <w:rPr>
          <w:sz w:val="24"/>
          <w:szCs w:val="24"/>
        </w:rPr>
        <w:t>1</w:t>
      </w:r>
    </w:p>
    <w:p w:rsidR="000D56B5" w:rsidRPr="000D56B5" w:rsidRDefault="000D56B5" w:rsidP="000D56B5">
      <w:pPr>
        <w:jc w:val="right"/>
        <w:rPr>
          <w:sz w:val="24"/>
          <w:szCs w:val="24"/>
        </w:rPr>
      </w:pPr>
    </w:p>
    <w:p w:rsidR="000D56B5" w:rsidRPr="000D56B5" w:rsidRDefault="00531A88" w:rsidP="000D56B5">
      <w:pPr>
        <w:jc w:val="right"/>
        <w:rPr>
          <w:sz w:val="24"/>
          <w:szCs w:val="24"/>
        </w:rPr>
      </w:pPr>
      <w:r>
        <w:rPr>
          <w:noProof/>
          <w:sz w:val="24"/>
          <w:szCs w:val="24"/>
          <w:lang w:val="en-US"/>
        </w:rPr>
        <w:pict>
          <v:shapetype id="_x0000_t202" coordsize="21600,21600" o:spt="202" path="m,l,21600r21600,l21600,xe">
            <v:stroke joinstyle="miter"/>
            <v:path gradientshapeok="t" o:connecttype="rect"/>
          </v:shapetype>
          <v:shape id="_x0000_s1029" type="#_x0000_t202" style="position:absolute;left:0;text-align:left;margin-left:328.8pt;margin-top:129.6pt;width:163.55pt;height:116.15pt;z-index:251659264;mso-position-vertical-relative:page" stroked="f">
            <v:textbox>
              <w:txbxContent>
                <w:p w:rsidR="00E67123" w:rsidRPr="00104F13" w:rsidRDefault="00E67123" w:rsidP="000D56B5">
                  <w:pPr>
                    <w:jc w:val="right"/>
                    <w:rPr>
                      <w:b/>
                      <w:bCs/>
                      <w:sz w:val="24"/>
                      <w:szCs w:val="24"/>
                    </w:rPr>
                  </w:pPr>
                  <w:r w:rsidRPr="00104F13">
                    <w:rPr>
                      <w:b/>
                      <w:bCs/>
                      <w:sz w:val="24"/>
                      <w:szCs w:val="24"/>
                    </w:rPr>
                    <w:t>Information Governance</w:t>
                  </w:r>
                </w:p>
                <w:p w:rsidR="00BC4C2E" w:rsidRPr="00BC4C2E" w:rsidRDefault="00BC4C2E" w:rsidP="00BC4C2E">
                  <w:pPr>
                    <w:jc w:val="right"/>
                    <w:rPr>
                      <w:sz w:val="24"/>
                      <w:szCs w:val="24"/>
                    </w:rPr>
                  </w:pPr>
                  <w:r w:rsidRPr="00BC4C2E">
                    <w:rPr>
                      <w:sz w:val="24"/>
                      <w:szCs w:val="24"/>
                    </w:rPr>
                    <w:t>First Floor</w:t>
                  </w:r>
                </w:p>
                <w:p w:rsidR="00BC4C2E" w:rsidRPr="00BC4C2E" w:rsidRDefault="00BC4C2E" w:rsidP="00BC4C2E">
                  <w:pPr>
                    <w:jc w:val="right"/>
                    <w:rPr>
                      <w:sz w:val="24"/>
                      <w:szCs w:val="24"/>
                    </w:rPr>
                  </w:pPr>
                  <w:r w:rsidRPr="00BC4C2E">
                    <w:rPr>
                      <w:sz w:val="24"/>
                      <w:szCs w:val="24"/>
                    </w:rPr>
                    <w:t>The Gordon Hospital</w:t>
                  </w:r>
                </w:p>
                <w:p w:rsidR="00BC4C2E" w:rsidRPr="00BC4C2E" w:rsidRDefault="00BC4C2E" w:rsidP="00BC4C2E">
                  <w:pPr>
                    <w:jc w:val="right"/>
                    <w:rPr>
                      <w:sz w:val="24"/>
                      <w:szCs w:val="24"/>
                    </w:rPr>
                  </w:pPr>
                  <w:r w:rsidRPr="00BC4C2E">
                    <w:rPr>
                      <w:sz w:val="24"/>
                      <w:szCs w:val="24"/>
                    </w:rPr>
                    <w:t>Bloomburg Street</w:t>
                  </w:r>
                </w:p>
                <w:p w:rsidR="00BC4C2E" w:rsidRPr="00BC4C2E" w:rsidRDefault="00BC4C2E" w:rsidP="00BC4C2E">
                  <w:pPr>
                    <w:jc w:val="right"/>
                    <w:rPr>
                      <w:sz w:val="24"/>
                      <w:szCs w:val="24"/>
                    </w:rPr>
                  </w:pPr>
                  <w:r w:rsidRPr="00BC4C2E">
                    <w:rPr>
                      <w:sz w:val="24"/>
                      <w:szCs w:val="24"/>
                    </w:rPr>
                    <w:t xml:space="preserve">London </w:t>
                  </w:r>
                </w:p>
                <w:p w:rsidR="00BC4C2E" w:rsidRPr="00BC4C2E" w:rsidRDefault="00BC4C2E" w:rsidP="00BC4C2E">
                  <w:pPr>
                    <w:jc w:val="right"/>
                    <w:rPr>
                      <w:sz w:val="24"/>
                      <w:szCs w:val="24"/>
                    </w:rPr>
                  </w:pPr>
                  <w:r w:rsidRPr="00BC4C2E">
                    <w:rPr>
                      <w:sz w:val="24"/>
                      <w:szCs w:val="24"/>
                    </w:rPr>
                    <w:t>SW1V 2RH</w:t>
                  </w:r>
                </w:p>
                <w:p w:rsidR="00E67123" w:rsidRPr="00104F13" w:rsidRDefault="00E67123" w:rsidP="000D56B5">
                  <w:pPr>
                    <w:jc w:val="right"/>
                    <w:rPr>
                      <w:sz w:val="24"/>
                      <w:szCs w:val="24"/>
                    </w:rPr>
                  </w:pPr>
                </w:p>
                <w:p w:rsidR="00E67123" w:rsidRPr="0039061A" w:rsidRDefault="00E67123" w:rsidP="000D56B5">
                  <w:pPr>
                    <w:jc w:val="right"/>
                  </w:pPr>
                  <w:r w:rsidRPr="00104F13">
                    <w:rPr>
                      <w:sz w:val="24"/>
                      <w:szCs w:val="24"/>
                    </w:rPr>
                    <w:t>Tel: 020 3214 5852</w:t>
                  </w:r>
                </w:p>
              </w:txbxContent>
            </v:textbox>
            <w10:wrap anchory="page"/>
            <w10:anchorlock/>
          </v:shape>
        </w:pict>
      </w:r>
    </w:p>
    <w:p w:rsidR="000D56B5" w:rsidRPr="000D56B5" w:rsidRDefault="000D56B5" w:rsidP="000D56B5">
      <w:pPr>
        <w:rPr>
          <w:sz w:val="24"/>
          <w:szCs w:val="24"/>
        </w:rPr>
      </w:pPr>
    </w:p>
    <w:p w:rsidR="008C26D5" w:rsidRDefault="008C26D5" w:rsidP="000D56B5">
      <w:pPr>
        <w:rPr>
          <w:sz w:val="24"/>
          <w:szCs w:val="24"/>
        </w:rPr>
      </w:pPr>
    </w:p>
    <w:p w:rsidR="008C26D5" w:rsidRDefault="008C26D5" w:rsidP="000D56B5">
      <w:pPr>
        <w:rPr>
          <w:sz w:val="24"/>
          <w:szCs w:val="24"/>
        </w:rPr>
      </w:pPr>
    </w:p>
    <w:p w:rsidR="000D56B5" w:rsidRPr="000D56B5" w:rsidRDefault="00B8737D" w:rsidP="000D56B5">
      <w:pPr>
        <w:rPr>
          <w:sz w:val="24"/>
          <w:szCs w:val="24"/>
        </w:rPr>
      </w:pPr>
      <w:r>
        <w:rPr>
          <w:sz w:val="24"/>
          <w:szCs w:val="24"/>
        </w:rPr>
        <w:t>Dear</w:t>
      </w:r>
      <w:r w:rsidR="008F4014">
        <w:rPr>
          <w:sz w:val="24"/>
          <w:szCs w:val="24"/>
        </w:rPr>
        <w:t xml:space="preserve"> </w:t>
      </w:r>
      <w:bookmarkStart w:id="0" w:name="_Hlk70674360"/>
      <w:r w:rsidR="00332DD7">
        <w:rPr>
          <w:sz w:val="24"/>
          <w:szCs w:val="24"/>
        </w:rPr>
        <w:t>Vanessa Fillis</w:t>
      </w:r>
      <w:bookmarkEnd w:id="0"/>
      <w:r w:rsidR="000D56B5" w:rsidRPr="000D56B5">
        <w:rPr>
          <w:sz w:val="24"/>
          <w:szCs w:val="24"/>
        </w:rPr>
        <w:t>,</w:t>
      </w:r>
    </w:p>
    <w:p w:rsidR="000D56B5" w:rsidRPr="000D56B5" w:rsidRDefault="000D56B5" w:rsidP="000D56B5">
      <w:pPr>
        <w:rPr>
          <w:sz w:val="24"/>
          <w:szCs w:val="24"/>
        </w:rPr>
      </w:pPr>
    </w:p>
    <w:p w:rsidR="000D56B5" w:rsidRPr="000D56B5" w:rsidRDefault="000D56B5" w:rsidP="000D56B5">
      <w:pPr>
        <w:autoSpaceDE w:val="0"/>
        <w:autoSpaceDN w:val="0"/>
        <w:adjustRightInd w:val="0"/>
        <w:spacing w:line="253" w:lineRule="atLeast"/>
        <w:rPr>
          <w:color w:val="000000"/>
          <w:sz w:val="24"/>
          <w:szCs w:val="24"/>
          <w:lang w:val="en-US"/>
        </w:rPr>
      </w:pPr>
      <w:r w:rsidRPr="000D56B5">
        <w:rPr>
          <w:color w:val="000000"/>
          <w:sz w:val="24"/>
          <w:szCs w:val="24"/>
          <w:lang w:val="en-US"/>
        </w:rPr>
        <w:t xml:space="preserve">I am writing in response to your request for information, made under the Freedom of Information Act 2000, which was received by Central and North West London NHS Foundation Trust (CNWL) on </w:t>
      </w:r>
      <w:r w:rsidR="00332DD7">
        <w:rPr>
          <w:color w:val="000000"/>
          <w:sz w:val="24"/>
          <w:szCs w:val="24"/>
          <w:lang w:val="en-US"/>
        </w:rPr>
        <w:t>8</w:t>
      </w:r>
      <w:r w:rsidR="00332DD7" w:rsidRPr="00332DD7">
        <w:rPr>
          <w:color w:val="000000"/>
          <w:sz w:val="24"/>
          <w:szCs w:val="24"/>
          <w:vertAlign w:val="superscript"/>
          <w:lang w:val="en-US"/>
        </w:rPr>
        <w:t>th</w:t>
      </w:r>
      <w:r w:rsidR="00332DD7">
        <w:rPr>
          <w:color w:val="000000"/>
          <w:sz w:val="24"/>
          <w:szCs w:val="24"/>
          <w:lang w:val="en-US"/>
        </w:rPr>
        <w:t xml:space="preserve"> April,</w:t>
      </w:r>
      <w:r w:rsidR="00CB5923">
        <w:rPr>
          <w:color w:val="000000"/>
          <w:sz w:val="24"/>
          <w:szCs w:val="24"/>
          <w:lang w:val="en-US"/>
        </w:rPr>
        <w:t xml:space="preserve"> </w:t>
      </w:r>
      <w:r w:rsidRPr="000D56B5">
        <w:rPr>
          <w:color w:val="000000"/>
          <w:sz w:val="24"/>
          <w:szCs w:val="24"/>
          <w:lang w:val="en-US"/>
        </w:rPr>
        <w:t>20</w:t>
      </w:r>
      <w:r w:rsidR="00153413">
        <w:rPr>
          <w:color w:val="000000"/>
          <w:sz w:val="24"/>
          <w:szCs w:val="24"/>
          <w:lang w:val="en-US"/>
        </w:rPr>
        <w:t>2</w:t>
      </w:r>
      <w:r w:rsidR="00A571C3">
        <w:rPr>
          <w:color w:val="000000"/>
          <w:sz w:val="24"/>
          <w:szCs w:val="24"/>
          <w:lang w:val="en-US"/>
        </w:rPr>
        <w:t>1</w:t>
      </w:r>
      <w:r w:rsidRPr="000D56B5">
        <w:rPr>
          <w:color w:val="000000"/>
          <w:sz w:val="24"/>
          <w:szCs w:val="24"/>
          <w:lang w:val="en-US"/>
        </w:rPr>
        <w:t xml:space="preserve">. </w:t>
      </w:r>
    </w:p>
    <w:p w:rsidR="000D56B5" w:rsidRDefault="000D56B5" w:rsidP="000D56B5">
      <w:pPr>
        <w:rPr>
          <w:sz w:val="24"/>
          <w:szCs w:val="24"/>
        </w:rPr>
      </w:pPr>
    </w:p>
    <w:p w:rsidR="00332DD7" w:rsidRDefault="00332DD7" w:rsidP="000D56B5">
      <w:pPr>
        <w:rPr>
          <w:sz w:val="24"/>
          <w:szCs w:val="24"/>
        </w:rPr>
      </w:pPr>
    </w:p>
    <w:p w:rsidR="00332DD7" w:rsidRPr="000D56B5" w:rsidRDefault="00332DD7" w:rsidP="000D56B5">
      <w:pPr>
        <w:rPr>
          <w:sz w:val="24"/>
          <w:szCs w:val="24"/>
        </w:rPr>
      </w:pPr>
    </w:p>
    <w:p w:rsidR="000D56B5" w:rsidRDefault="000D56B5" w:rsidP="000D56B5">
      <w:pPr>
        <w:rPr>
          <w:sz w:val="24"/>
          <w:szCs w:val="24"/>
        </w:rPr>
      </w:pPr>
      <w:r w:rsidRPr="000D56B5">
        <w:rPr>
          <w:sz w:val="24"/>
          <w:szCs w:val="24"/>
        </w:rPr>
        <w:t>The information that we hold and are able to provide under the Act and within the “Fees Limit” is listed or attached below.</w:t>
      </w:r>
    </w:p>
    <w:p w:rsidR="00FC27BB" w:rsidRDefault="00FC27BB" w:rsidP="000D56B5">
      <w:pPr>
        <w:rPr>
          <w:sz w:val="24"/>
          <w:szCs w:val="24"/>
        </w:rPr>
      </w:pPr>
    </w:p>
    <w:p w:rsidR="00F54A19" w:rsidRDefault="00F54A19" w:rsidP="00F54A19">
      <w:pPr>
        <w:shd w:val="clear" w:color="auto" w:fill="FFFFFF"/>
        <w:rPr>
          <w:rFonts w:ascii="Calibri" w:hAnsi="Calibri" w:cs="Times New Roman"/>
          <w:color w:val="212121"/>
          <w:sz w:val="22"/>
          <w:szCs w:val="22"/>
          <w:lang w:eastAsia="en-GB"/>
        </w:rPr>
      </w:pPr>
      <w:r w:rsidRPr="00F54A19">
        <w:rPr>
          <w:rFonts w:ascii="Calibri" w:hAnsi="Calibri" w:cs="Times New Roman"/>
          <w:color w:val="212121"/>
          <w:sz w:val="22"/>
          <w:szCs w:val="22"/>
          <w:lang w:eastAsia="en-GB"/>
        </w:rPr>
        <w:t> </w:t>
      </w:r>
    </w:p>
    <w:p w:rsidR="00111D8A" w:rsidRDefault="00111D8A" w:rsidP="00111D8A">
      <w:pPr>
        <w:spacing w:after="240"/>
        <w:rPr>
          <w:b/>
          <w:bCs/>
          <w:i/>
          <w:iCs/>
          <w:sz w:val="24"/>
          <w:szCs w:val="24"/>
        </w:rPr>
      </w:pPr>
      <w:r>
        <w:rPr>
          <w:b/>
          <w:bCs/>
          <w:i/>
          <w:iCs/>
          <w:color w:val="7030A0"/>
          <w:sz w:val="24"/>
          <w:szCs w:val="24"/>
        </w:rPr>
        <w:t>I would like to request, under the freedom of information act, the following information for adult mental health services in Central and North West London NHS Foundation Trust.</w:t>
      </w:r>
      <w:r>
        <w:rPr>
          <w:b/>
          <w:bCs/>
          <w:i/>
          <w:iCs/>
          <w:color w:val="7030A0"/>
          <w:sz w:val="24"/>
          <w:szCs w:val="24"/>
        </w:rPr>
        <w:br/>
      </w:r>
      <w:r>
        <w:rPr>
          <w:b/>
          <w:bCs/>
          <w:i/>
          <w:iCs/>
          <w:color w:val="7030A0"/>
          <w:sz w:val="24"/>
          <w:szCs w:val="24"/>
        </w:rPr>
        <w:br/>
        <w:t>1. The number of nurses or support workers who support patients regarding their housing while they are inpatient in a mental health unit. These could be housing officers, housing support workers, special housing nurses, or similar professions that are specialised in housing support.</w:t>
      </w:r>
      <w:r>
        <w:rPr>
          <w:b/>
          <w:bCs/>
          <w:i/>
          <w:iCs/>
          <w:sz w:val="24"/>
          <w:szCs w:val="24"/>
        </w:rPr>
        <w:t xml:space="preserve">  </w:t>
      </w:r>
    </w:p>
    <w:p w:rsidR="00111D8A" w:rsidRDefault="00111D8A" w:rsidP="002E7D30">
      <w:pPr>
        <w:rPr>
          <w:b/>
          <w:bCs/>
          <w:iCs/>
          <w:sz w:val="24"/>
          <w:szCs w:val="24"/>
        </w:rPr>
      </w:pPr>
      <w:r w:rsidRPr="002E7D30">
        <w:rPr>
          <w:bCs/>
          <w:i/>
          <w:iCs/>
          <w:sz w:val="24"/>
          <w:szCs w:val="24"/>
        </w:rPr>
        <w:t>Brent</w:t>
      </w:r>
      <w:r w:rsidR="002E7D30">
        <w:rPr>
          <w:b/>
          <w:bCs/>
          <w:iCs/>
          <w:sz w:val="24"/>
          <w:szCs w:val="24"/>
        </w:rPr>
        <w:t xml:space="preserve"> - </w:t>
      </w:r>
      <w:r w:rsidRPr="00111D8A">
        <w:rPr>
          <w:b/>
          <w:bCs/>
          <w:iCs/>
          <w:sz w:val="24"/>
          <w:szCs w:val="24"/>
        </w:rPr>
        <w:t>LB Brent housing provide a housing worker from the</w:t>
      </w:r>
      <w:r w:rsidR="00531A88">
        <w:rPr>
          <w:b/>
          <w:bCs/>
          <w:iCs/>
          <w:sz w:val="24"/>
          <w:szCs w:val="24"/>
        </w:rPr>
        <w:t>ir</w:t>
      </w:r>
      <w:r w:rsidRPr="00111D8A">
        <w:rPr>
          <w:b/>
          <w:bCs/>
          <w:iCs/>
          <w:sz w:val="24"/>
          <w:szCs w:val="24"/>
        </w:rPr>
        <w:t xml:space="preserve"> homelessness unit that supports patients who are homeless.  They attend ward and weekly bed meeting.  There are no other specialist workers – CMHT staff and ward staff provide support to assess housing needs and complete relevant paperwork and assessments. </w:t>
      </w:r>
    </w:p>
    <w:p w:rsidR="002E7D30" w:rsidRPr="00111D8A" w:rsidRDefault="002E7D30" w:rsidP="002E7D30">
      <w:pPr>
        <w:rPr>
          <w:b/>
          <w:bCs/>
          <w:iCs/>
          <w:sz w:val="24"/>
          <w:szCs w:val="24"/>
        </w:rPr>
      </w:pPr>
    </w:p>
    <w:p w:rsidR="00111D8A" w:rsidRDefault="00111D8A" w:rsidP="002E7D30">
      <w:pPr>
        <w:rPr>
          <w:b/>
          <w:bCs/>
          <w:iCs/>
          <w:sz w:val="24"/>
          <w:szCs w:val="24"/>
        </w:rPr>
      </w:pPr>
      <w:r w:rsidRPr="002E7D30">
        <w:rPr>
          <w:bCs/>
          <w:i/>
          <w:iCs/>
          <w:sz w:val="24"/>
          <w:szCs w:val="24"/>
        </w:rPr>
        <w:t>Harrow</w:t>
      </w:r>
      <w:r w:rsidRPr="002E7D30">
        <w:rPr>
          <w:b/>
          <w:bCs/>
          <w:iCs/>
          <w:sz w:val="24"/>
          <w:szCs w:val="24"/>
        </w:rPr>
        <w:t xml:space="preserve"> </w:t>
      </w:r>
      <w:r w:rsidR="002E7D30" w:rsidRPr="002E7D30">
        <w:rPr>
          <w:b/>
          <w:bCs/>
          <w:iCs/>
          <w:sz w:val="24"/>
          <w:szCs w:val="24"/>
        </w:rPr>
        <w:t>–</w:t>
      </w:r>
      <w:r w:rsidRPr="002E7D30">
        <w:rPr>
          <w:b/>
          <w:bCs/>
          <w:iCs/>
          <w:sz w:val="24"/>
          <w:szCs w:val="24"/>
        </w:rPr>
        <w:t xml:space="preserve"> </w:t>
      </w:r>
      <w:r w:rsidRPr="00111D8A">
        <w:rPr>
          <w:b/>
          <w:bCs/>
          <w:iCs/>
          <w:sz w:val="24"/>
          <w:szCs w:val="24"/>
        </w:rPr>
        <w:t>Two dedicated housing officers support inpatients and continue this work in the community.</w:t>
      </w:r>
    </w:p>
    <w:p w:rsidR="002E7D30" w:rsidRDefault="002E7D30" w:rsidP="002E7D30">
      <w:pPr>
        <w:rPr>
          <w:b/>
          <w:bCs/>
          <w:iCs/>
          <w:sz w:val="24"/>
          <w:szCs w:val="24"/>
        </w:rPr>
      </w:pPr>
    </w:p>
    <w:p w:rsidR="00CE1157" w:rsidRPr="002E7D30" w:rsidRDefault="00CE1157" w:rsidP="002E7D30">
      <w:pPr>
        <w:rPr>
          <w:bCs/>
          <w:iCs/>
          <w:sz w:val="24"/>
          <w:szCs w:val="24"/>
        </w:rPr>
      </w:pPr>
      <w:r w:rsidRPr="002E7D30">
        <w:rPr>
          <w:bCs/>
          <w:i/>
          <w:iCs/>
          <w:sz w:val="24"/>
          <w:szCs w:val="24"/>
        </w:rPr>
        <w:t>Hillingdo</w:t>
      </w:r>
      <w:r w:rsidR="002E7D30" w:rsidRPr="002E7D30">
        <w:rPr>
          <w:bCs/>
          <w:i/>
          <w:iCs/>
          <w:sz w:val="24"/>
          <w:szCs w:val="24"/>
        </w:rPr>
        <w:t>n</w:t>
      </w:r>
      <w:r w:rsidR="002E7D30">
        <w:rPr>
          <w:bCs/>
          <w:iCs/>
          <w:sz w:val="24"/>
          <w:szCs w:val="24"/>
        </w:rPr>
        <w:t xml:space="preserve"> </w:t>
      </w:r>
      <w:r w:rsidR="002E7D30" w:rsidRPr="002E7D30">
        <w:rPr>
          <w:b/>
          <w:bCs/>
          <w:iCs/>
          <w:sz w:val="24"/>
          <w:szCs w:val="24"/>
        </w:rPr>
        <w:t xml:space="preserve">- </w:t>
      </w:r>
      <w:r w:rsidRPr="00CE1157">
        <w:rPr>
          <w:b/>
          <w:bCs/>
          <w:iCs/>
          <w:sz w:val="24"/>
          <w:szCs w:val="24"/>
        </w:rPr>
        <w:t xml:space="preserve">In Hillingdon Mental Health Services, we have a Community Access Service (CAS) team who work specifically on the management, discharge and transfer of patients from an inpatient setting. One of these workers is employed by MIND, and they have a dedicated housing support worker who works with the local authority in terms of the management of housing needs. The wider CAS team, and in particular the Occupational Therapist and Social </w:t>
      </w:r>
      <w:r w:rsidRPr="00CE1157">
        <w:rPr>
          <w:b/>
          <w:bCs/>
          <w:iCs/>
          <w:sz w:val="24"/>
          <w:szCs w:val="24"/>
        </w:rPr>
        <w:lastRenderedPageBreak/>
        <w:t>Worker also work as part of the team that support housing issues such as Activities of Daily Living and ensuring that individuals are claiming the correct benefits or housing benefit as part of the tenancy management process.</w:t>
      </w:r>
    </w:p>
    <w:p w:rsidR="002E7D30" w:rsidRPr="002E7D30" w:rsidRDefault="002E7D30" w:rsidP="002E7D30">
      <w:pPr>
        <w:rPr>
          <w:bCs/>
          <w:iCs/>
          <w:sz w:val="24"/>
          <w:szCs w:val="24"/>
        </w:rPr>
      </w:pPr>
    </w:p>
    <w:p w:rsidR="00CE1157" w:rsidRPr="00CE1157" w:rsidRDefault="00CE1157" w:rsidP="00CE1157">
      <w:pPr>
        <w:rPr>
          <w:b/>
          <w:bCs/>
          <w:iCs/>
          <w:sz w:val="24"/>
          <w:szCs w:val="24"/>
        </w:rPr>
      </w:pPr>
      <w:r w:rsidRPr="002E7D30">
        <w:rPr>
          <w:bCs/>
          <w:i/>
          <w:iCs/>
          <w:sz w:val="24"/>
          <w:szCs w:val="24"/>
        </w:rPr>
        <w:t>Milton Keynes</w:t>
      </w:r>
      <w:r>
        <w:rPr>
          <w:b/>
          <w:bCs/>
          <w:iCs/>
          <w:sz w:val="24"/>
          <w:szCs w:val="24"/>
        </w:rPr>
        <w:t xml:space="preserve"> </w:t>
      </w:r>
      <w:r w:rsidR="002E7D30">
        <w:rPr>
          <w:b/>
          <w:bCs/>
          <w:iCs/>
          <w:sz w:val="24"/>
          <w:szCs w:val="24"/>
        </w:rPr>
        <w:t>–</w:t>
      </w:r>
      <w:r>
        <w:rPr>
          <w:b/>
          <w:bCs/>
          <w:iCs/>
          <w:sz w:val="24"/>
          <w:szCs w:val="24"/>
        </w:rPr>
        <w:t xml:space="preserve"> </w:t>
      </w:r>
      <w:r w:rsidRPr="00CE1157">
        <w:rPr>
          <w:b/>
          <w:bCs/>
          <w:iCs/>
          <w:sz w:val="24"/>
          <w:szCs w:val="24"/>
        </w:rPr>
        <w:t>We have one B5 discharge co-ordinator and two B4 associate practitioners (one per ward) who take the bulk of the responsibility in this area. They are further supported by the Occupational therapists (Two per ward, one B6 senior and one B5, depending on the issue at hand). There is further available support from peer support workers and activity co-ordinators to help with some aspects such as making phone calls and visits. Housing however is not the only part of the role for these professionals - we do not have people at the Campbell Centre with specific housing specialty. </w:t>
      </w:r>
    </w:p>
    <w:p w:rsidR="00CF3B24" w:rsidRDefault="00CE1157" w:rsidP="00CF3B24">
      <w:pPr>
        <w:rPr>
          <w:b/>
          <w:bCs/>
          <w:iCs/>
          <w:sz w:val="24"/>
          <w:szCs w:val="24"/>
        </w:rPr>
      </w:pPr>
      <w:r w:rsidRPr="00CE1157">
        <w:rPr>
          <w:b/>
          <w:bCs/>
          <w:iCs/>
          <w:sz w:val="24"/>
          <w:szCs w:val="24"/>
        </w:rPr>
        <w:t>We have previously had a named housing liaison officer in the council but provision has been inconsistent - we have a good working relationship with Milton Keynes Council housing team.</w:t>
      </w:r>
    </w:p>
    <w:p w:rsidR="00CF3B24" w:rsidRDefault="00CF3B24" w:rsidP="00CF3B24">
      <w:pPr>
        <w:rPr>
          <w:b/>
          <w:bCs/>
          <w:iCs/>
          <w:sz w:val="24"/>
          <w:szCs w:val="24"/>
        </w:rPr>
      </w:pPr>
    </w:p>
    <w:p w:rsidR="002E7D30" w:rsidRDefault="00CF3B24" w:rsidP="00CF3B24">
      <w:pPr>
        <w:rPr>
          <w:b/>
          <w:bCs/>
          <w:i/>
          <w:iCs/>
          <w:sz w:val="24"/>
          <w:szCs w:val="24"/>
          <w:u w:val="single"/>
        </w:rPr>
      </w:pPr>
      <w:r w:rsidRPr="002E7D30">
        <w:rPr>
          <w:bCs/>
          <w:i/>
          <w:iCs/>
          <w:sz w:val="24"/>
          <w:szCs w:val="24"/>
        </w:rPr>
        <w:t>Kensington &amp; Chelsea</w:t>
      </w:r>
      <w:r>
        <w:rPr>
          <w:b/>
          <w:bCs/>
          <w:iCs/>
          <w:sz w:val="24"/>
          <w:szCs w:val="24"/>
        </w:rPr>
        <w:t xml:space="preserve"> </w:t>
      </w:r>
      <w:r w:rsidR="002E7D30">
        <w:rPr>
          <w:b/>
          <w:bCs/>
          <w:iCs/>
          <w:sz w:val="24"/>
          <w:szCs w:val="24"/>
        </w:rPr>
        <w:t>–</w:t>
      </w:r>
      <w:r>
        <w:rPr>
          <w:b/>
          <w:bCs/>
          <w:iCs/>
          <w:sz w:val="24"/>
          <w:szCs w:val="24"/>
        </w:rPr>
        <w:t xml:space="preserve"> </w:t>
      </w:r>
    </w:p>
    <w:p w:rsidR="00CF3B24" w:rsidRPr="00CF3B24" w:rsidRDefault="00CF3B24" w:rsidP="00CF3B24">
      <w:pPr>
        <w:rPr>
          <w:b/>
          <w:bCs/>
          <w:iCs/>
          <w:sz w:val="24"/>
          <w:szCs w:val="24"/>
        </w:rPr>
      </w:pPr>
      <w:r w:rsidRPr="00CF3B24">
        <w:rPr>
          <w:b/>
          <w:bCs/>
          <w:iCs/>
          <w:sz w:val="24"/>
          <w:szCs w:val="24"/>
        </w:rPr>
        <w:t>2 x Central Assessment Service (CAS) social workers</w:t>
      </w:r>
    </w:p>
    <w:p w:rsidR="00CF3B24" w:rsidRPr="00CF3B24" w:rsidRDefault="00CF3B24" w:rsidP="002E7D30">
      <w:pPr>
        <w:rPr>
          <w:b/>
          <w:bCs/>
          <w:iCs/>
          <w:sz w:val="24"/>
          <w:szCs w:val="24"/>
        </w:rPr>
      </w:pPr>
      <w:r w:rsidRPr="00CF3B24">
        <w:rPr>
          <w:b/>
          <w:bCs/>
          <w:iCs/>
          <w:sz w:val="24"/>
          <w:szCs w:val="24"/>
        </w:rPr>
        <w:t xml:space="preserve">1 x Single Homes Project (SHP) housing support worker </w:t>
      </w:r>
    </w:p>
    <w:p w:rsidR="00CF3B24" w:rsidRPr="00CF3B24" w:rsidRDefault="00CF3B24" w:rsidP="002E7D30">
      <w:pPr>
        <w:rPr>
          <w:b/>
          <w:bCs/>
          <w:iCs/>
          <w:sz w:val="24"/>
          <w:szCs w:val="24"/>
        </w:rPr>
      </w:pPr>
      <w:r w:rsidRPr="00CF3B24">
        <w:rPr>
          <w:b/>
          <w:bCs/>
          <w:iCs/>
          <w:sz w:val="24"/>
          <w:szCs w:val="24"/>
        </w:rPr>
        <w:t>1x part time Citizens Advice Bureaux CAB worker</w:t>
      </w:r>
    </w:p>
    <w:p w:rsidR="00CF3B24" w:rsidRPr="00CF3B24" w:rsidRDefault="00CF3B24" w:rsidP="002E7D30">
      <w:pPr>
        <w:rPr>
          <w:b/>
          <w:bCs/>
          <w:iCs/>
          <w:sz w:val="24"/>
          <w:szCs w:val="24"/>
        </w:rPr>
      </w:pPr>
      <w:r w:rsidRPr="00CF3B24">
        <w:rPr>
          <w:b/>
          <w:bCs/>
          <w:iCs/>
          <w:sz w:val="24"/>
          <w:szCs w:val="24"/>
        </w:rPr>
        <w:t>1 x Homeless Persons Initiative (HPI)</w:t>
      </w:r>
    </w:p>
    <w:p w:rsidR="00CF3B24" w:rsidRPr="00CE1157" w:rsidRDefault="00CF3B24" w:rsidP="00CF3B24">
      <w:pPr>
        <w:rPr>
          <w:b/>
          <w:bCs/>
          <w:iCs/>
          <w:sz w:val="24"/>
          <w:szCs w:val="24"/>
        </w:rPr>
      </w:pPr>
    </w:p>
    <w:p w:rsidR="003316D2" w:rsidRDefault="003316D2" w:rsidP="00A66442">
      <w:pPr>
        <w:spacing w:after="240"/>
        <w:rPr>
          <w:b/>
          <w:bCs/>
          <w:iCs/>
          <w:sz w:val="24"/>
          <w:szCs w:val="24"/>
        </w:rPr>
      </w:pPr>
      <w:r w:rsidRPr="003316D2">
        <w:rPr>
          <w:bCs/>
          <w:i/>
          <w:iCs/>
          <w:sz w:val="24"/>
          <w:szCs w:val="24"/>
        </w:rPr>
        <w:t>Westminster</w:t>
      </w:r>
      <w:r>
        <w:rPr>
          <w:b/>
          <w:bCs/>
          <w:iCs/>
          <w:sz w:val="24"/>
          <w:szCs w:val="24"/>
        </w:rPr>
        <w:t xml:space="preserve"> –</w:t>
      </w:r>
      <w:r w:rsidR="00A66442">
        <w:rPr>
          <w:b/>
          <w:bCs/>
          <w:iCs/>
          <w:sz w:val="24"/>
          <w:szCs w:val="24"/>
        </w:rPr>
        <w:t xml:space="preserve"> </w:t>
      </w:r>
      <w:r w:rsidR="00A66442" w:rsidRPr="00A66442">
        <w:rPr>
          <w:b/>
          <w:bCs/>
          <w:iCs/>
          <w:sz w:val="24"/>
          <w:szCs w:val="24"/>
        </w:rPr>
        <w:t>We don’t have any inpatients in Westminster</w:t>
      </w:r>
    </w:p>
    <w:p w:rsidR="00111D8A" w:rsidRDefault="00111D8A" w:rsidP="00111D8A">
      <w:pPr>
        <w:spacing w:after="240"/>
        <w:rPr>
          <w:b/>
          <w:bCs/>
          <w:i/>
          <w:iCs/>
          <w:sz w:val="24"/>
          <w:szCs w:val="24"/>
        </w:rPr>
      </w:pPr>
      <w:r>
        <w:rPr>
          <w:b/>
          <w:bCs/>
          <w:i/>
          <w:iCs/>
          <w:sz w:val="24"/>
          <w:szCs w:val="24"/>
        </w:rPr>
        <w:t> </w:t>
      </w:r>
      <w:r>
        <w:rPr>
          <w:b/>
          <w:bCs/>
          <w:i/>
          <w:iCs/>
          <w:color w:val="7030A0"/>
          <w:sz w:val="24"/>
          <w:szCs w:val="24"/>
        </w:rPr>
        <w:br/>
        <w:t>2. The protocol for discharging homeless patients or patients who face homelessness after their discharge. Please provide a document with the discharge policy or, if there is no document, please state what the protocol is.</w:t>
      </w:r>
      <w:r>
        <w:rPr>
          <w:b/>
          <w:bCs/>
          <w:i/>
          <w:iCs/>
          <w:sz w:val="24"/>
          <w:szCs w:val="24"/>
        </w:rPr>
        <w:t xml:space="preserve">  </w:t>
      </w:r>
    </w:p>
    <w:p w:rsidR="00531A88" w:rsidRDefault="00A66442" w:rsidP="00111D8A">
      <w:pPr>
        <w:spacing w:after="240"/>
        <w:rPr>
          <w:b/>
          <w:bCs/>
          <w:iCs/>
          <w:sz w:val="24"/>
          <w:szCs w:val="24"/>
        </w:rPr>
      </w:pPr>
      <w:r>
        <w:rPr>
          <w:b/>
          <w:bCs/>
          <w:iCs/>
          <w:sz w:val="24"/>
          <w:szCs w:val="24"/>
        </w:rPr>
        <w:t xml:space="preserve">Please see </w:t>
      </w:r>
      <w:r w:rsidR="00111D8A" w:rsidRPr="00111D8A">
        <w:rPr>
          <w:b/>
          <w:bCs/>
          <w:iCs/>
          <w:sz w:val="24"/>
          <w:szCs w:val="24"/>
        </w:rPr>
        <w:t>attached</w:t>
      </w:r>
      <w:r w:rsidR="00972468" w:rsidRPr="00972468">
        <w:rPr>
          <w:b/>
          <w:bCs/>
          <w:iCs/>
          <w:sz w:val="24"/>
          <w:szCs w:val="24"/>
        </w:rPr>
        <w:t xml:space="preserve"> </w:t>
      </w:r>
      <w:r w:rsidR="00972468" w:rsidRPr="00111D8A">
        <w:rPr>
          <w:b/>
          <w:bCs/>
          <w:iCs/>
          <w:sz w:val="24"/>
          <w:szCs w:val="24"/>
        </w:rPr>
        <w:t>Trust</w:t>
      </w:r>
      <w:r w:rsidR="00531A88">
        <w:rPr>
          <w:b/>
          <w:bCs/>
          <w:iCs/>
          <w:sz w:val="24"/>
          <w:szCs w:val="24"/>
        </w:rPr>
        <w:t>-</w:t>
      </w:r>
      <w:r w:rsidR="00972468">
        <w:rPr>
          <w:b/>
          <w:bCs/>
          <w:iCs/>
          <w:sz w:val="24"/>
          <w:szCs w:val="24"/>
        </w:rPr>
        <w:t>wide</w:t>
      </w:r>
      <w:r w:rsidR="00972468" w:rsidRPr="00111D8A">
        <w:rPr>
          <w:b/>
          <w:bCs/>
          <w:iCs/>
          <w:sz w:val="24"/>
          <w:szCs w:val="24"/>
        </w:rPr>
        <w:t xml:space="preserve"> policy</w:t>
      </w:r>
      <w:r w:rsidR="00531A88">
        <w:rPr>
          <w:b/>
          <w:bCs/>
          <w:iCs/>
          <w:sz w:val="24"/>
          <w:szCs w:val="24"/>
        </w:rPr>
        <w:t>:</w:t>
      </w:r>
    </w:p>
    <w:p w:rsidR="00542D40" w:rsidRDefault="00542D40" w:rsidP="00111D8A">
      <w:pPr>
        <w:spacing w:after="240"/>
        <w:rPr>
          <w:b/>
          <w:bCs/>
          <w:iCs/>
          <w:sz w:val="24"/>
          <w:szCs w:val="24"/>
        </w:rPr>
      </w:pPr>
      <w:r>
        <w:rPr>
          <w:b/>
          <w:bCs/>
          <w:iCs/>
          <w:sz w:val="24"/>
          <w:szCs w:val="24"/>
        </w:rPr>
        <w:object w:dxaOrig="1508"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11" o:title=""/>
          </v:shape>
          <o:OLEObject Type="Embed" ProgID="AcroExch.Document.DC" ShapeID="_x0000_i1025" DrawAspect="Icon" ObjectID="_1681291769" r:id="rId12"/>
        </w:object>
      </w:r>
    </w:p>
    <w:p w:rsidR="00542D40" w:rsidRDefault="00531A88" w:rsidP="00111D8A">
      <w:pPr>
        <w:spacing w:after="240"/>
        <w:rPr>
          <w:b/>
          <w:bCs/>
          <w:iCs/>
          <w:sz w:val="24"/>
          <w:szCs w:val="24"/>
        </w:rPr>
      </w:pPr>
      <w:r>
        <w:rPr>
          <w:b/>
          <w:bCs/>
          <w:iCs/>
          <w:sz w:val="24"/>
          <w:szCs w:val="24"/>
        </w:rPr>
        <w:t>A</w:t>
      </w:r>
      <w:r>
        <w:rPr>
          <w:b/>
          <w:bCs/>
          <w:iCs/>
          <w:sz w:val="24"/>
          <w:szCs w:val="24"/>
        </w:rPr>
        <w:t xml:space="preserve">dditional information has been provided by Harrow, Milton Keynes and Kensington &amp; Chelsea </w:t>
      </w:r>
      <w:r>
        <w:rPr>
          <w:b/>
          <w:bCs/>
          <w:iCs/>
          <w:sz w:val="24"/>
          <w:szCs w:val="24"/>
        </w:rPr>
        <w:t>Services</w:t>
      </w:r>
      <w:r>
        <w:rPr>
          <w:b/>
          <w:bCs/>
          <w:iCs/>
          <w:sz w:val="24"/>
          <w:szCs w:val="24"/>
        </w:rPr>
        <w:t>.</w:t>
      </w:r>
    </w:p>
    <w:p w:rsidR="00972468" w:rsidRDefault="00111D8A" w:rsidP="00111D8A">
      <w:pPr>
        <w:spacing w:after="240"/>
        <w:rPr>
          <w:b/>
          <w:bCs/>
          <w:iCs/>
          <w:sz w:val="24"/>
          <w:szCs w:val="24"/>
        </w:rPr>
      </w:pPr>
      <w:r w:rsidRPr="002E7D30">
        <w:rPr>
          <w:bCs/>
          <w:i/>
          <w:iCs/>
          <w:sz w:val="24"/>
          <w:szCs w:val="24"/>
        </w:rPr>
        <w:t>Harrow</w:t>
      </w:r>
      <w:r w:rsidRPr="00111D8A">
        <w:rPr>
          <w:b/>
          <w:bCs/>
          <w:iCs/>
          <w:sz w:val="24"/>
          <w:szCs w:val="24"/>
        </w:rPr>
        <w:t xml:space="preserve"> - Please see </w:t>
      </w:r>
      <w:r w:rsidR="00542D40">
        <w:rPr>
          <w:b/>
          <w:bCs/>
          <w:iCs/>
          <w:sz w:val="24"/>
          <w:szCs w:val="24"/>
        </w:rPr>
        <w:t>the attached</w:t>
      </w:r>
      <w:r w:rsidRPr="00111D8A">
        <w:rPr>
          <w:b/>
          <w:bCs/>
          <w:iCs/>
          <w:sz w:val="24"/>
          <w:szCs w:val="24"/>
        </w:rPr>
        <w:t xml:space="preserve"> document</w:t>
      </w:r>
    </w:p>
    <w:p w:rsidR="00542D40" w:rsidRDefault="00542D40" w:rsidP="00111D8A">
      <w:pPr>
        <w:spacing w:after="240"/>
        <w:rPr>
          <w:b/>
          <w:bCs/>
          <w:iCs/>
          <w:sz w:val="24"/>
          <w:szCs w:val="24"/>
        </w:rPr>
      </w:pPr>
      <w:r>
        <w:rPr>
          <w:b/>
          <w:bCs/>
          <w:iCs/>
          <w:sz w:val="24"/>
          <w:szCs w:val="24"/>
        </w:rPr>
        <w:object w:dxaOrig="1508" w:dyaOrig="982">
          <v:shape id="_x0000_i1026" type="#_x0000_t75" style="width:75.75pt;height:48.75pt" o:ole="">
            <v:imagedata r:id="rId13" o:title=""/>
          </v:shape>
          <o:OLEObject Type="Embed" ProgID="AcroExch.Document.DC" ShapeID="_x0000_i1026" DrawAspect="Icon" ObjectID="_1681291770" r:id="rId14"/>
        </w:object>
      </w:r>
    </w:p>
    <w:p w:rsidR="00CF3B24" w:rsidRPr="00CF3B24" w:rsidRDefault="00CF3B24" w:rsidP="00CF3B24">
      <w:pPr>
        <w:rPr>
          <w:b/>
          <w:bCs/>
          <w:iCs/>
          <w:sz w:val="24"/>
          <w:szCs w:val="24"/>
        </w:rPr>
      </w:pPr>
      <w:r w:rsidRPr="002E7D30">
        <w:rPr>
          <w:bCs/>
          <w:i/>
          <w:iCs/>
          <w:sz w:val="24"/>
          <w:szCs w:val="24"/>
        </w:rPr>
        <w:t>Milton Keynes</w:t>
      </w:r>
      <w:r>
        <w:rPr>
          <w:b/>
          <w:bCs/>
          <w:iCs/>
          <w:sz w:val="24"/>
          <w:szCs w:val="24"/>
        </w:rPr>
        <w:t xml:space="preserve"> – we do not have a </w:t>
      </w:r>
      <w:r w:rsidRPr="00CF3B24">
        <w:rPr>
          <w:b/>
          <w:bCs/>
          <w:iCs/>
          <w:sz w:val="24"/>
          <w:szCs w:val="24"/>
        </w:rPr>
        <w:t xml:space="preserve">document or policy to enable us to discharge people as homeless. </w:t>
      </w:r>
      <w:r>
        <w:rPr>
          <w:b/>
          <w:bCs/>
          <w:iCs/>
          <w:sz w:val="24"/>
          <w:szCs w:val="24"/>
        </w:rPr>
        <w:t>However, w</w:t>
      </w:r>
      <w:r w:rsidRPr="00CF3B24">
        <w:rPr>
          <w:b/>
          <w:bCs/>
          <w:iCs/>
          <w:sz w:val="24"/>
          <w:szCs w:val="24"/>
        </w:rPr>
        <w:t xml:space="preserve">e have a number of provisions for supporting people with housing. All patients have housing needs/concerns identified within 72 hours as part of the 'Getting to Know You' screening tool with the </w:t>
      </w:r>
      <w:r w:rsidRPr="00CF3B24">
        <w:rPr>
          <w:b/>
          <w:bCs/>
          <w:iCs/>
          <w:sz w:val="24"/>
          <w:szCs w:val="24"/>
        </w:rPr>
        <w:lastRenderedPageBreak/>
        <w:t>Social &amp; Recovery Team. From here we complete a 'duty to refer' for housing assessment if required, or create an action plan to resolve housing issues.</w:t>
      </w:r>
    </w:p>
    <w:p w:rsidR="00CF3B24" w:rsidRPr="00CF3B24" w:rsidRDefault="00CF3B24" w:rsidP="00CF3B24">
      <w:pPr>
        <w:rPr>
          <w:b/>
          <w:bCs/>
          <w:iCs/>
          <w:sz w:val="24"/>
          <w:szCs w:val="24"/>
        </w:rPr>
      </w:pPr>
    </w:p>
    <w:p w:rsidR="00CE1157" w:rsidRDefault="00CF3B24" w:rsidP="00CF3B24">
      <w:pPr>
        <w:rPr>
          <w:b/>
          <w:bCs/>
          <w:iCs/>
          <w:sz w:val="24"/>
          <w:szCs w:val="24"/>
        </w:rPr>
      </w:pPr>
      <w:r w:rsidRPr="00CF3B24">
        <w:rPr>
          <w:b/>
          <w:bCs/>
          <w:iCs/>
          <w:sz w:val="24"/>
          <w:szCs w:val="24"/>
        </w:rPr>
        <w:t>For individuals without accommodation and who are ready for discharge typically we are supported by the team to offer them a prolonged stay in hospital, or we will use a step-down bed in the interim. We have excellent escalation pathways within the Trust and with social services and housing when patients need are not met. We do not discharge patients to the street. A patient would be supported to identify mainstream housing and set up housing benefits if needed - this is another time when a step-down bed is helpful.</w:t>
      </w:r>
    </w:p>
    <w:p w:rsidR="002E7D30" w:rsidRDefault="002E7D30" w:rsidP="00CF3B24">
      <w:pPr>
        <w:rPr>
          <w:b/>
          <w:bCs/>
          <w:iCs/>
          <w:sz w:val="24"/>
          <w:szCs w:val="24"/>
        </w:rPr>
      </w:pPr>
    </w:p>
    <w:p w:rsidR="002E7D30" w:rsidRDefault="002E7D30" w:rsidP="00CF3B24">
      <w:pPr>
        <w:rPr>
          <w:b/>
          <w:bCs/>
          <w:iCs/>
          <w:sz w:val="24"/>
          <w:szCs w:val="24"/>
        </w:rPr>
      </w:pPr>
      <w:r w:rsidRPr="002E7D30">
        <w:rPr>
          <w:bCs/>
          <w:i/>
          <w:iCs/>
          <w:sz w:val="24"/>
          <w:szCs w:val="24"/>
        </w:rPr>
        <w:t>Kensington &amp; Chelsea</w:t>
      </w:r>
      <w:r>
        <w:rPr>
          <w:b/>
          <w:bCs/>
          <w:iCs/>
          <w:sz w:val="24"/>
          <w:szCs w:val="24"/>
        </w:rPr>
        <w:t xml:space="preserve"> - </w:t>
      </w:r>
      <w:r w:rsidRPr="002E7D30">
        <w:rPr>
          <w:b/>
          <w:bCs/>
          <w:iCs/>
          <w:sz w:val="24"/>
          <w:szCs w:val="24"/>
        </w:rPr>
        <w:t>Duty to refer for both Westminster and K&amp;C in response to the homelessness Reduction Act. All staff are aware and use the service.</w:t>
      </w:r>
    </w:p>
    <w:p w:rsidR="003316D2" w:rsidRDefault="003316D2" w:rsidP="00CF3B24">
      <w:pPr>
        <w:rPr>
          <w:b/>
          <w:bCs/>
          <w:iCs/>
          <w:sz w:val="24"/>
          <w:szCs w:val="24"/>
        </w:rPr>
      </w:pPr>
    </w:p>
    <w:p w:rsidR="00CF3B24" w:rsidRDefault="00CF3B24" w:rsidP="00CF3B24">
      <w:pPr>
        <w:rPr>
          <w:b/>
          <w:bCs/>
          <w:iCs/>
          <w:sz w:val="24"/>
          <w:szCs w:val="24"/>
        </w:rPr>
      </w:pPr>
    </w:p>
    <w:p w:rsidR="00111D8A" w:rsidRDefault="00111D8A" w:rsidP="00111D8A">
      <w:pPr>
        <w:spacing w:after="240"/>
        <w:rPr>
          <w:b/>
          <w:bCs/>
          <w:i/>
          <w:iCs/>
          <w:sz w:val="24"/>
          <w:szCs w:val="24"/>
        </w:rPr>
      </w:pPr>
      <w:r>
        <w:rPr>
          <w:b/>
          <w:bCs/>
          <w:i/>
          <w:iCs/>
          <w:color w:val="7030A0"/>
          <w:sz w:val="24"/>
          <w:szCs w:val="24"/>
        </w:rPr>
        <w:t>3. The number of nurses or support workers who support mental health patients regarding their housing while they are in the community. These could be housing officers, housing support workers, special housing nurses, or similar professions that are specialised in housing support.</w:t>
      </w:r>
      <w:r>
        <w:rPr>
          <w:b/>
          <w:bCs/>
          <w:i/>
          <w:iCs/>
          <w:sz w:val="24"/>
          <w:szCs w:val="24"/>
        </w:rPr>
        <w:t xml:space="preserve">  </w:t>
      </w:r>
    </w:p>
    <w:p w:rsidR="00111D8A" w:rsidRDefault="00111D8A" w:rsidP="00111D8A">
      <w:pPr>
        <w:spacing w:after="240"/>
        <w:rPr>
          <w:b/>
          <w:bCs/>
          <w:iCs/>
          <w:sz w:val="24"/>
          <w:szCs w:val="24"/>
        </w:rPr>
      </w:pPr>
      <w:r w:rsidRPr="002E7D30">
        <w:rPr>
          <w:bCs/>
          <w:i/>
          <w:iCs/>
          <w:sz w:val="24"/>
          <w:szCs w:val="24"/>
        </w:rPr>
        <w:t>Brent</w:t>
      </w:r>
      <w:r>
        <w:rPr>
          <w:b/>
          <w:bCs/>
          <w:iCs/>
          <w:sz w:val="24"/>
          <w:szCs w:val="24"/>
        </w:rPr>
        <w:t xml:space="preserve"> - </w:t>
      </w:r>
      <w:r w:rsidRPr="00111D8A">
        <w:rPr>
          <w:b/>
          <w:bCs/>
          <w:iCs/>
          <w:sz w:val="24"/>
          <w:szCs w:val="24"/>
        </w:rPr>
        <w:t>CMHT workers as above will support patients with housing issues, support assessments and make applications for support as required.  They are not specialist workers.  We have one funded homelessness post (FTC) who’s role is to work with street homeless and they do proactive outreach.  They do provide advice and guidance to team.</w:t>
      </w:r>
    </w:p>
    <w:p w:rsidR="00111D8A" w:rsidRPr="00111D8A" w:rsidRDefault="00111D8A" w:rsidP="00CE1157">
      <w:pPr>
        <w:rPr>
          <w:b/>
          <w:bCs/>
          <w:iCs/>
          <w:sz w:val="24"/>
          <w:szCs w:val="24"/>
        </w:rPr>
      </w:pPr>
      <w:r w:rsidRPr="002E7D30">
        <w:rPr>
          <w:bCs/>
          <w:i/>
          <w:iCs/>
          <w:sz w:val="24"/>
          <w:szCs w:val="24"/>
        </w:rPr>
        <w:t>Harrow</w:t>
      </w:r>
      <w:r w:rsidRPr="00111D8A">
        <w:rPr>
          <w:b/>
          <w:bCs/>
          <w:iCs/>
          <w:sz w:val="24"/>
          <w:szCs w:val="24"/>
        </w:rPr>
        <w:t xml:space="preserve"> - 2 Housing support workers who work across in-patient to Community Adult Hubs (Collaborative Sphere, East Alliance and Health Sense)</w:t>
      </w:r>
    </w:p>
    <w:p w:rsidR="00CE1157" w:rsidRDefault="00111D8A" w:rsidP="00CE1157">
      <w:pPr>
        <w:rPr>
          <w:b/>
          <w:bCs/>
          <w:iCs/>
          <w:sz w:val="24"/>
          <w:szCs w:val="24"/>
        </w:rPr>
      </w:pPr>
      <w:r w:rsidRPr="00111D8A">
        <w:rPr>
          <w:b/>
          <w:bCs/>
          <w:iCs/>
          <w:sz w:val="24"/>
          <w:szCs w:val="24"/>
        </w:rPr>
        <w:t xml:space="preserve">2 support workers </w:t>
      </w:r>
      <w:r w:rsidR="00CE1157" w:rsidRPr="00111D8A">
        <w:rPr>
          <w:b/>
          <w:bCs/>
          <w:iCs/>
          <w:sz w:val="24"/>
          <w:szCs w:val="24"/>
        </w:rPr>
        <w:t>across the</w:t>
      </w:r>
      <w:r w:rsidRPr="00111D8A">
        <w:rPr>
          <w:b/>
          <w:bCs/>
          <w:iCs/>
          <w:sz w:val="24"/>
          <w:szCs w:val="24"/>
        </w:rPr>
        <w:t xml:space="preserve"> 3 Adult Hubs (Collaborative Sphere, East Alliance and Health Sense)</w:t>
      </w:r>
    </w:p>
    <w:p w:rsidR="00111D8A" w:rsidRDefault="00111D8A" w:rsidP="00CE1157">
      <w:pPr>
        <w:rPr>
          <w:b/>
          <w:bCs/>
          <w:iCs/>
          <w:sz w:val="24"/>
          <w:szCs w:val="24"/>
        </w:rPr>
      </w:pPr>
      <w:r w:rsidRPr="00111D8A">
        <w:rPr>
          <w:b/>
          <w:bCs/>
          <w:iCs/>
          <w:sz w:val="24"/>
          <w:szCs w:val="24"/>
        </w:rPr>
        <w:t xml:space="preserve">42 </w:t>
      </w:r>
      <w:r w:rsidR="00CE1157" w:rsidRPr="00111D8A">
        <w:rPr>
          <w:b/>
          <w:bCs/>
          <w:iCs/>
          <w:sz w:val="24"/>
          <w:szCs w:val="24"/>
        </w:rPr>
        <w:t>staff across</w:t>
      </w:r>
      <w:r w:rsidRPr="00111D8A">
        <w:rPr>
          <w:b/>
          <w:bCs/>
          <w:iCs/>
          <w:sz w:val="24"/>
          <w:szCs w:val="24"/>
        </w:rPr>
        <w:t xml:space="preserve"> all 3 Adult Hubs (Collaborative Sphere, East Alliance and Health Sense) </w:t>
      </w:r>
      <w:r w:rsidR="00CE1157" w:rsidRPr="00111D8A">
        <w:rPr>
          <w:b/>
          <w:bCs/>
          <w:iCs/>
          <w:sz w:val="24"/>
          <w:szCs w:val="24"/>
        </w:rPr>
        <w:t>and professions</w:t>
      </w:r>
      <w:r w:rsidRPr="00111D8A">
        <w:rPr>
          <w:b/>
          <w:bCs/>
          <w:iCs/>
          <w:sz w:val="24"/>
          <w:szCs w:val="24"/>
        </w:rPr>
        <w:t xml:space="preserve"> defined as Nurses, Social workers/AMHP, Care Navigators </w:t>
      </w:r>
      <w:r w:rsidR="00CE1157" w:rsidRPr="00111D8A">
        <w:rPr>
          <w:b/>
          <w:bCs/>
          <w:iCs/>
          <w:sz w:val="24"/>
          <w:szCs w:val="24"/>
        </w:rPr>
        <w:t>and placement</w:t>
      </w:r>
      <w:r w:rsidRPr="00111D8A">
        <w:rPr>
          <w:b/>
          <w:bCs/>
          <w:iCs/>
          <w:sz w:val="24"/>
          <w:szCs w:val="24"/>
        </w:rPr>
        <w:t xml:space="preserve"> reviewing officers</w:t>
      </w:r>
    </w:p>
    <w:p w:rsidR="00CE1157" w:rsidRDefault="00CE1157" w:rsidP="00CE1157">
      <w:pPr>
        <w:rPr>
          <w:b/>
          <w:bCs/>
          <w:iCs/>
          <w:sz w:val="24"/>
          <w:szCs w:val="24"/>
        </w:rPr>
      </w:pPr>
    </w:p>
    <w:p w:rsidR="00CE1157" w:rsidRDefault="00CE1157" w:rsidP="00CE1157">
      <w:pPr>
        <w:rPr>
          <w:b/>
          <w:bCs/>
          <w:iCs/>
          <w:sz w:val="24"/>
          <w:szCs w:val="24"/>
        </w:rPr>
      </w:pPr>
      <w:r w:rsidRPr="002E7D30">
        <w:rPr>
          <w:bCs/>
          <w:i/>
          <w:iCs/>
          <w:sz w:val="24"/>
          <w:szCs w:val="24"/>
        </w:rPr>
        <w:t>Hillingdon</w:t>
      </w:r>
      <w:r>
        <w:rPr>
          <w:b/>
          <w:bCs/>
          <w:iCs/>
          <w:sz w:val="24"/>
          <w:szCs w:val="24"/>
        </w:rPr>
        <w:t xml:space="preserve"> - </w:t>
      </w:r>
      <w:r w:rsidRPr="00CE1157">
        <w:rPr>
          <w:b/>
          <w:bCs/>
          <w:iCs/>
          <w:sz w:val="24"/>
          <w:szCs w:val="24"/>
        </w:rPr>
        <w:t xml:space="preserve">CMHT and other community teams have non-specialised housing support available in relation to helping people with accommodation and in finding suitable housing. They undertake these roles as part of their wider role and duties. </w:t>
      </w:r>
    </w:p>
    <w:p w:rsidR="00CF3B24" w:rsidRDefault="00CF3B24" w:rsidP="00CE1157">
      <w:pPr>
        <w:rPr>
          <w:b/>
          <w:bCs/>
          <w:iCs/>
          <w:sz w:val="24"/>
          <w:szCs w:val="24"/>
        </w:rPr>
      </w:pPr>
    </w:p>
    <w:p w:rsidR="00CF3B24" w:rsidRDefault="00CF3B24" w:rsidP="00CF3B24">
      <w:pPr>
        <w:rPr>
          <w:b/>
          <w:bCs/>
          <w:iCs/>
          <w:sz w:val="24"/>
          <w:szCs w:val="24"/>
        </w:rPr>
      </w:pPr>
      <w:r w:rsidRPr="002E7D30">
        <w:rPr>
          <w:bCs/>
          <w:i/>
          <w:iCs/>
          <w:sz w:val="24"/>
          <w:szCs w:val="24"/>
        </w:rPr>
        <w:t>Milton Keynes</w:t>
      </w:r>
      <w:r>
        <w:rPr>
          <w:b/>
          <w:bCs/>
          <w:iCs/>
          <w:sz w:val="24"/>
          <w:szCs w:val="24"/>
        </w:rPr>
        <w:t xml:space="preserve"> - </w:t>
      </w:r>
      <w:r w:rsidRPr="00CF3B24">
        <w:rPr>
          <w:b/>
          <w:bCs/>
          <w:iCs/>
          <w:sz w:val="24"/>
          <w:szCs w:val="24"/>
        </w:rPr>
        <w:t>we have care co-ordinators</w:t>
      </w:r>
      <w:r>
        <w:rPr>
          <w:b/>
          <w:bCs/>
          <w:iCs/>
          <w:sz w:val="24"/>
          <w:szCs w:val="24"/>
        </w:rPr>
        <w:t xml:space="preserve"> who make</w:t>
      </w:r>
      <w:r w:rsidRPr="00CF3B24">
        <w:rPr>
          <w:b/>
          <w:bCs/>
          <w:iCs/>
          <w:sz w:val="24"/>
          <w:szCs w:val="24"/>
        </w:rPr>
        <w:t xml:space="preserve"> a good effort for their patients and there are many third sector or allied services we use to build support for individuals, such as Connections.</w:t>
      </w:r>
    </w:p>
    <w:p w:rsidR="002E7D30" w:rsidRDefault="002E7D30" w:rsidP="00CF3B24">
      <w:pPr>
        <w:rPr>
          <w:b/>
          <w:bCs/>
          <w:iCs/>
          <w:sz w:val="24"/>
          <w:szCs w:val="24"/>
        </w:rPr>
      </w:pPr>
    </w:p>
    <w:p w:rsidR="002E7D30" w:rsidRDefault="002E7D30" w:rsidP="002E7D30">
      <w:pPr>
        <w:rPr>
          <w:b/>
          <w:bCs/>
          <w:iCs/>
          <w:sz w:val="24"/>
          <w:szCs w:val="24"/>
        </w:rPr>
      </w:pPr>
      <w:r w:rsidRPr="002E7D30">
        <w:rPr>
          <w:bCs/>
          <w:i/>
          <w:iCs/>
          <w:sz w:val="24"/>
          <w:szCs w:val="24"/>
        </w:rPr>
        <w:t>Kensington &amp; Chelsea</w:t>
      </w:r>
      <w:r>
        <w:rPr>
          <w:b/>
          <w:bCs/>
          <w:iCs/>
          <w:sz w:val="24"/>
          <w:szCs w:val="24"/>
        </w:rPr>
        <w:t xml:space="preserve"> – </w:t>
      </w:r>
    </w:p>
    <w:p w:rsidR="002E7D30" w:rsidRPr="002E7D30" w:rsidRDefault="002E7D30" w:rsidP="002E7D30">
      <w:pPr>
        <w:rPr>
          <w:b/>
          <w:bCs/>
          <w:iCs/>
          <w:sz w:val="24"/>
          <w:szCs w:val="24"/>
        </w:rPr>
      </w:pPr>
      <w:r w:rsidRPr="002E7D30">
        <w:rPr>
          <w:b/>
          <w:bCs/>
          <w:iCs/>
          <w:sz w:val="24"/>
          <w:szCs w:val="24"/>
        </w:rPr>
        <w:t xml:space="preserve">7 x Homeless Intervention Team (HIT) RBKC </w:t>
      </w:r>
    </w:p>
    <w:p w:rsidR="002E7D30" w:rsidRPr="002E7D30" w:rsidRDefault="002E7D30" w:rsidP="002E7D30">
      <w:pPr>
        <w:rPr>
          <w:b/>
          <w:bCs/>
          <w:iCs/>
          <w:sz w:val="24"/>
          <w:szCs w:val="24"/>
        </w:rPr>
      </w:pPr>
      <w:r w:rsidRPr="002E7D30">
        <w:rPr>
          <w:b/>
          <w:bCs/>
          <w:iCs/>
          <w:sz w:val="24"/>
          <w:szCs w:val="24"/>
        </w:rPr>
        <w:t>1 x Homeless Persons Initiative (HPI) Westminster</w:t>
      </w:r>
    </w:p>
    <w:p w:rsidR="002E7D30" w:rsidRDefault="002E7D30" w:rsidP="002E7D30">
      <w:pPr>
        <w:rPr>
          <w:b/>
          <w:bCs/>
          <w:iCs/>
          <w:sz w:val="24"/>
          <w:szCs w:val="24"/>
        </w:rPr>
      </w:pPr>
      <w:r w:rsidRPr="002E7D30">
        <w:rPr>
          <w:b/>
          <w:bCs/>
          <w:iCs/>
          <w:sz w:val="24"/>
          <w:szCs w:val="24"/>
        </w:rPr>
        <w:t>4 x Social Inclusion Team (SIT) RBKC</w:t>
      </w:r>
    </w:p>
    <w:p w:rsidR="003316D2" w:rsidRDefault="003316D2" w:rsidP="002E7D30">
      <w:pPr>
        <w:rPr>
          <w:b/>
          <w:bCs/>
          <w:iCs/>
          <w:sz w:val="24"/>
          <w:szCs w:val="24"/>
        </w:rPr>
      </w:pPr>
    </w:p>
    <w:p w:rsidR="003316D2" w:rsidRPr="00CF3B24" w:rsidRDefault="003316D2" w:rsidP="002E7D30">
      <w:pPr>
        <w:rPr>
          <w:b/>
          <w:bCs/>
          <w:iCs/>
          <w:sz w:val="24"/>
          <w:szCs w:val="24"/>
        </w:rPr>
      </w:pPr>
      <w:r w:rsidRPr="003316D2">
        <w:rPr>
          <w:bCs/>
          <w:i/>
          <w:iCs/>
          <w:sz w:val="24"/>
          <w:szCs w:val="24"/>
        </w:rPr>
        <w:lastRenderedPageBreak/>
        <w:t>Westminster</w:t>
      </w:r>
      <w:r>
        <w:rPr>
          <w:b/>
          <w:bCs/>
          <w:iCs/>
          <w:sz w:val="24"/>
          <w:szCs w:val="24"/>
        </w:rPr>
        <w:t xml:space="preserve"> </w:t>
      </w:r>
      <w:r w:rsidR="00A66442">
        <w:rPr>
          <w:b/>
          <w:bCs/>
          <w:iCs/>
          <w:sz w:val="24"/>
          <w:szCs w:val="24"/>
        </w:rPr>
        <w:t>–</w:t>
      </w:r>
      <w:r>
        <w:rPr>
          <w:b/>
          <w:bCs/>
          <w:iCs/>
          <w:sz w:val="24"/>
          <w:szCs w:val="24"/>
        </w:rPr>
        <w:t xml:space="preserve"> </w:t>
      </w:r>
    </w:p>
    <w:p w:rsidR="00CF3B24" w:rsidRDefault="00CF3B24" w:rsidP="00CE1157">
      <w:pPr>
        <w:rPr>
          <w:b/>
          <w:bCs/>
          <w:iCs/>
          <w:sz w:val="24"/>
          <w:szCs w:val="24"/>
        </w:rPr>
      </w:pPr>
    </w:p>
    <w:p w:rsidR="00A66442" w:rsidRPr="00A66442" w:rsidRDefault="00A66442" w:rsidP="00A66442">
      <w:pPr>
        <w:rPr>
          <w:b/>
          <w:bCs/>
          <w:iCs/>
          <w:sz w:val="24"/>
          <w:szCs w:val="24"/>
        </w:rPr>
      </w:pPr>
    </w:p>
    <w:tbl>
      <w:tblPr>
        <w:tblpPr w:leftFromText="180" w:rightFromText="180" w:vertAnchor="text"/>
        <w:tblW w:w="0" w:type="auto"/>
        <w:tblCellMar>
          <w:left w:w="0" w:type="dxa"/>
          <w:right w:w="0" w:type="dxa"/>
        </w:tblCellMar>
        <w:tblLook w:val="04A0" w:firstRow="1" w:lastRow="0" w:firstColumn="1" w:lastColumn="0" w:noHBand="0" w:noVBand="1"/>
      </w:tblPr>
      <w:tblGrid>
        <w:gridCol w:w="2190"/>
        <w:gridCol w:w="2617"/>
        <w:gridCol w:w="1660"/>
        <w:gridCol w:w="2145"/>
      </w:tblGrid>
      <w:tr w:rsidR="00A66442" w:rsidRPr="00A66442" w:rsidTr="001D2588">
        <w:tc>
          <w:tcPr>
            <w:tcW w:w="1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Team</w:t>
            </w:r>
          </w:p>
        </w:tc>
        <w:tc>
          <w:tcPr>
            <w:tcW w:w="21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Nurses/Occupational Therapist</w:t>
            </w:r>
          </w:p>
        </w:tc>
        <w:tc>
          <w:tcPr>
            <w:tcW w:w="16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Social Worker</w:t>
            </w:r>
          </w:p>
        </w:tc>
        <w:tc>
          <w:tcPr>
            <w:tcW w:w="21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Support/worker roles</w:t>
            </w:r>
          </w:p>
        </w:tc>
      </w:tr>
      <w:tr w:rsidR="00A66442" w:rsidRPr="00A66442" w:rsidTr="001D2588">
        <w:tc>
          <w:tcPr>
            <w:tcW w:w="1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North hub</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13</w:t>
            </w:r>
          </w:p>
        </w:tc>
        <w:tc>
          <w:tcPr>
            <w:tcW w:w="1660"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11</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4</w:t>
            </w:r>
          </w:p>
        </w:tc>
      </w:tr>
      <w:tr w:rsidR="00A66442" w:rsidRPr="00A66442" w:rsidTr="001D2588">
        <w:tc>
          <w:tcPr>
            <w:tcW w:w="1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South Hub</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16</w:t>
            </w:r>
          </w:p>
        </w:tc>
        <w:tc>
          <w:tcPr>
            <w:tcW w:w="1660"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12</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5</w:t>
            </w:r>
          </w:p>
        </w:tc>
      </w:tr>
      <w:tr w:rsidR="00A66442" w:rsidRPr="00A66442" w:rsidTr="001D2588">
        <w:tc>
          <w:tcPr>
            <w:tcW w:w="1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QPP</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8</w:t>
            </w:r>
          </w:p>
        </w:tc>
        <w:tc>
          <w:tcPr>
            <w:tcW w:w="1660"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5</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2</w:t>
            </w:r>
          </w:p>
        </w:tc>
      </w:tr>
      <w:tr w:rsidR="00A66442" w:rsidRPr="00A66442" w:rsidTr="001D2588">
        <w:tc>
          <w:tcPr>
            <w:tcW w:w="1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JHT</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3</w:t>
            </w:r>
          </w:p>
        </w:tc>
        <w:tc>
          <w:tcPr>
            <w:tcW w:w="1660"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9</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1</w:t>
            </w:r>
          </w:p>
        </w:tc>
      </w:tr>
      <w:tr w:rsidR="00A66442" w:rsidRPr="00A66442" w:rsidTr="001D2588">
        <w:tc>
          <w:tcPr>
            <w:tcW w:w="1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HPI</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1</w:t>
            </w:r>
          </w:p>
        </w:tc>
        <w:tc>
          <w:tcPr>
            <w:tcW w:w="1660"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1</w:t>
            </w:r>
          </w:p>
        </w:tc>
        <w:tc>
          <w:tcPr>
            <w:tcW w:w="2145" w:type="dxa"/>
            <w:tcBorders>
              <w:top w:val="nil"/>
              <w:left w:val="nil"/>
              <w:bottom w:val="single" w:sz="8" w:space="0" w:color="auto"/>
              <w:right w:val="single" w:sz="8" w:space="0" w:color="auto"/>
            </w:tcBorders>
            <w:tcMar>
              <w:top w:w="0" w:type="dxa"/>
              <w:left w:w="108" w:type="dxa"/>
              <w:bottom w:w="0" w:type="dxa"/>
              <w:right w:w="108" w:type="dxa"/>
            </w:tcMar>
          </w:tcPr>
          <w:p w:rsidR="00A66442" w:rsidRPr="00A66442" w:rsidRDefault="00A66442" w:rsidP="00A66442">
            <w:pPr>
              <w:rPr>
                <w:b/>
                <w:bCs/>
                <w:iCs/>
                <w:sz w:val="24"/>
                <w:szCs w:val="24"/>
              </w:rPr>
            </w:pPr>
          </w:p>
        </w:tc>
      </w:tr>
      <w:tr w:rsidR="00A66442" w:rsidRPr="00A66442" w:rsidTr="001D2588">
        <w:tc>
          <w:tcPr>
            <w:tcW w:w="1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proofErr w:type="gramStart"/>
            <w:r w:rsidRPr="00A66442">
              <w:rPr>
                <w:b/>
                <w:bCs/>
                <w:iCs/>
                <w:sz w:val="24"/>
                <w:szCs w:val="24"/>
              </w:rPr>
              <w:t>Other</w:t>
            </w:r>
            <w:proofErr w:type="gramEnd"/>
            <w:r w:rsidRPr="00A66442">
              <w:rPr>
                <w:b/>
                <w:bCs/>
                <w:iCs/>
                <w:sz w:val="24"/>
                <w:szCs w:val="24"/>
              </w:rPr>
              <w:t xml:space="preserve"> roles/ Placement Monitoring/SARP</w:t>
            </w:r>
          </w:p>
        </w:tc>
        <w:tc>
          <w:tcPr>
            <w:tcW w:w="2145" w:type="dxa"/>
            <w:tcBorders>
              <w:top w:val="nil"/>
              <w:left w:val="nil"/>
              <w:bottom w:val="single" w:sz="8" w:space="0" w:color="auto"/>
              <w:right w:val="single" w:sz="8" w:space="0" w:color="auto"/>
            </w:tcBorders>
            <w:tcMar>
              <w:top w:w="0" w:type="dxa"/>
              <w:left w:w="108" w:type="dxa"/>
              <w:bottom w:w="0" w:type="dxa"/>
              <w:right w:w="108" w:type="dxa"/>
            </w:tcMar>
          </w:tcPr>
          <w:p w:rsidR="00A66442" w:rsidRPr="00A66442" w:rsidRDefault="00A66442" w:rsidP="00A66442">
            <w:pPr>
              <w:rPr>
                <w:b/>
                <w:bCs/>
                <w:iCs/>
                <w:sz w:val="24"/>
                <w:szCs w:val="24"/>
              </w:rPr>
            </w:pPr>
          </w:p>
        </w:tc>
        <w:tc>
          <w:tcPr>
            <w:tcW w:w="1660"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2</w:t>
            </w:r>
          </w:p>
        </w:tc>
        <w:tc>
          <w:tcPr>
            <w:tcW w:w="2145" w:type="dxa"/>
            <w:tcBorders>
              <w:top w:val="nil"/>
              <w:left w:val="nil"/>
              <w:bottom w:val="single" w:sz="8" w:space="0" w:color="auto"/>
              <w:right w:val="single" w:sz="8" w:space="0" w:color="auto"/>
            </w:tcBorders>
            <w:tcMar>
              <w:top w:w="0" w:type="dxa"/>
              <w:left w:w="108" w:type="dxa"/>
              <w:bottom w:w="0" w:type="dxa"/>
              <w:right w:w="108" w:type="dxa"/>
            </w:tcMar>
          </w:tcPr>
          <w:p w:rsidR="00A66442" w:rsidRPr="00A66442" w:rsidRDefault="00A66442" w:rsidP="00A66442">
            <w:pPr>
              <w:rPr>
                <w:b/>
                <w:bCs/>
                <w:iCs/>
                <w:sz w:val="24"/>
                <w:szCs w:val="24"/>
              </w:rPr>
            </w:pPr>
          </w:p>
        </w:tc>
      </w:tr>
      <w:tr w:rsidR="00A66442" w:rsidRPr="00A66442" w:rsidTr="001D2588">
        <w:tc>
          <w:tcPr>
            <w:tcW w:w="1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Total</w:t>
            </w:r>
          </w:p>
        </w:tc>
        <w:tc>
          <w:tcPr>
            <w:tcW w:w="2145" w:type="dxa"/>
            <w:tcBorders>
              <w:top w:val="nil"/>
              <w:left w:val="nil"/>
              <w:bottom w:val="single" w:sz="8" w:space="0" w:color="auto"/>
              <w:right w:val="single" w:sz="8" w:space="0" w:color="auto"/>
            </w:tcBorders>
            <w:tcMar>
              <w:top w:w="0" w:type="dxa"/>
              <w:left w:w="108" w:type="dxa"/>
              <w:bottom w:w="0" w:type="dxa"/>
              <w:right w:w="108" w:type="dxa"/>
            </w:tcMar>
            <w:hideMark/>
          </w:tcPr>
          <w:p w:rsidR="00A66442" w:rsidRPr="00A66442" w:rsidRDefault="00A66442" w:rsidP="00A66442">
            <w:pPr>
              <w:rPr>
                <w:b/>
                <w:bCs/>
                <w:iCs/>
                <w:sz w:val="24"/>
                <w:szCs w:val="24"/>
              </w:rPr>
            </w:pPr>
            <w:r w:rsidRPr="00A66442">
              <w:rPr>
                <w:b/>
                <w:bCs/>
                <w:iCs/>
                <w:sz w:val="24"/>
                <w:szCs w:val="24"/>
              </w:rPr>
              <w:t>90 staff</w:t>
            </w:r>
          </w:p>
        </w:tc>
        <w:tc>
          <w:tcPr>
            <w:tcW w:w="1660" w:type="dxa"/>
            <w:tcBorders>
              <w:top w:val="nil"/>
              <w:left w:val="nil"/>
              <w:bottom w:val="single" w:sz="8" w:space="0" w:color="auto"/>
              <w:right w:val="single" w:sz="8" w:space="0" w:color="auto"/>
            </w:tcBorders>
            <w:tcMar>
              <w:top w:w="0" w:type="dxa"/>
              <w:left w:w="108" w:type="dxa"/>
              <w:bottom w:w="0" w:type="dxa"/>
              <w:right w:w="108" w:type="dxa"/>
            </w:tcMar>
          </w:tcPr>
          <w:p w:rsidR="00A66442" w:rsidRPr="00A66442" w:rsidRDefault="00A66442" w:rsidP="00A66442">
            <w:pPr>
              <w:rPr>
                <w:b/>
                <w:bCs/>
                <w:iCs/>
                <w:sz w:val="24"/>
                <w:szCs w:val="24"/>
              </w:rPr>
            </w:pPr>
          </w:p>
        </w:tc>
        <w:tc>
          <w:tcPr>
            <w:tcW w:w="2145" w:type="dxa"/>
            <w:tcBorders>
              <w:top w:val="nil"/>
              <w:left w:val="nil"/>
              <w:bottom w:val="single" w:sz="8" w:space="0" w:color="auto"/>
              <w:right w:val="single" w:sz="8" w:space="0" w:color="auto"/>
            </w:tcBorders>
            <w:tcMar>
              <w:top w:w="0" w:type="dxa"/>
              <w:left w:w="108" w:type="dxa"/>
              <w:bottom w:w="0" w:type="dxa"/>
              <w:right w:w="108" w:type="dxa"/>
            </w:tcMar>
          </w:tcPr>
          <w:p w:rsidR="00A66442" w:rsidRPr="00A66442" w:rsidRDefault="00A66442" w:rsidP="00A66442">
            <w:pPr>
              <w:rPr>
                <w:b/>
                <w:bCs/>
                <w:iCs/>
                <w:sz w:val="24"/>
                <w:szCs w:val="24"/>
              </w:rPr>
            </w:pPr>
          </w:p>
        </w:tc>
      </w:tr>
    </w:tbl>
    <w:p w:rsidR="00A66442" w:rsidRPr="00A66442" w:rsidRDefault="00A66442" w:rsidP="00A66442">
      <w:pPr>
        <w:rPr>
          <w:b/>
          <w:bCs/>
          <w:iCs/>
          <w:sz w:val="24"/>
          <w:szCs w:val="24"/>
        </w:rPr>
      </w:pPr>
    </w:p>
    <w:p w:rsidR="00A66442" w:rsidRPr="00CE1157" w:rsidRDefault="00A66442" w:rsidP="00CE1157">
      <w:pPr>
        <w:rPr>
          <w:b/>
          <w:bCs/>
          <w:iCs/>
          <w:sz w:val="24"/>
          <w:szCs w:val="24"/>
        </w:rPr>
      </w:pPr>
    </w:p>
    <w:p w:rsidR="000D56B5" w:rsidRPr="000D56B5" w:rsidRDefault="000D56B5" w:rsidP="000D56B5">
      <w:pPr>
        <w:rPr>
          <w:sz w:val="24"/>
          <w:szCs w:val="24"/>
        </w:rPr>
      </w:pPr>
      <w:r w:rsidRPr="000D56B5">
        <w:rPr>
          <w:color w:val="000000"/>
          <w:sz w:val="24"/>
          <w:szCs w:val="24"/>
        </w:rPr>
        <w:t>Please contact me if you have any queries about this letter, when contacting please quote the reference number above in any future communications relating to this request.</w:t>
      </w:r>
    </w:p>
    <w:p w:rsidR="000D56B5" w:rsidRPr="000D56B5" w:rsidRDefault="000D56B5" w:rsidP="000D56B5">
      <w:pPr>
        <w:rPr>
          <w:sz w:val="24"/>
          <w:szCs w:val="24"/>
        </w:rPr>
      </w:pPr>
    </w:p>
    <w:p w:rsidR="000D56B5" w:rsidRPr="000D56B5" w:rsidRDefault="000D56B5" w:rsidP="000D56B5">
      <w:pPr>
        <w:autoSpaceDE w:val="0"/>
        <w:autoSpaceDN w:val="0"/>
        <w:adjustRightInd w:val="0"/>
        <w:spacing w:line="253" w:lineRule="atLeast"/>
        <w:rPr>
          <w:color w:val="000000"/>
          <w:sz w:val="24"/>
          <w:szCs w:val="24"/>
          <w:lang w:val="en-US"/>
        </w:rPr>
      </w:pPr>
      <w:r w:rsidRPr="000D56B5">
        <w:rPr>
          <w:color w:val="000000"/>
          <w:sz w:val="24"/>
          <w:szCs w:val="24"/>
          <w:lang w:val="en-US"/>
        </w:rPr>
        <w:t>The information supplied to you continues to be protected by the Copyright, Designs and Patents Act 1988. You are free to use it for your own purposes, including any noncommercial research you are doing. Any other reuse, for example commercial publication, would require the permission of the copyright holder.</w:t>
      </w:r>
    </w:p>
    <w:p w:rsidR="000D56B5" w:rsidRDefault="000D56B5" w:rsidP="000D56B5">
      <w:pPr>
        <w:rPr>
          <w:sz w:val="24"/>
          <w:szCs w:val="24"/>
          <w:lang w:val="en-US"/>
        </w:rPr>
      </w:pPr>
    </w:p>
    <w:p w:rsidR="00573E39" w:rsidRDefault="00D871DF" w:rsidP="00573E39">
      <w:pPr>
        <w:rPr>
          <w:sz w:val="24"/>
          <w:szCs w:val="24"/>
        </w:rPr>
      </w:pPr>
      <w:r>
        <w:rPr>
          <w:sz w:val="24"/>
          <w:szCs w:val="24"/>
        </w:rPr>
        <w:t xml:space="preserve">If you are dissatisfied with the response you have received, you have the right to request a review of our decision or make a complaint about how your request has been handled.  In respect of this, please contact the Trust </w:t>
      </w:r>
      <w:r w:rsidR="00573E39">
        <w:rPr>
          <w:sz w:val="24"/>
          <w:szCs w:val="24"/>
        </w:rPr>
        <w:t xml:space="preserve">Head of Information Governance and Data Protection Officer via email at </w:t>
      </w:r>
      <w:hyperlink r:id="rId15" w:history="1">
        <w:r w:rsidR="00573E39">
          <w:rPr>
            <w:rStyle w:val="Hyperlink"/>
            <w:sz w:val="24"/>
            <w:szCs w:val="24"/>
          </w:rPr>
          <w:t>cnwl.dpo@nhs.net</w:t>
        </w:r>
      </w:hyperlink>
      <w:r w:rsidR="00573E39">
        <w:rPr>
          <w:sz w:val="24"/>
          <w:szCs w:val="24"/>
        </w:rPr>
        <w:t xml:space="preserve">. </w:t>
      </w:r>
    </w:p>
    <w:p w:rsidR="00D871DF" w:rsidRPr="00D871DF" w:rsidRDefault="00D871DF" w:rsidP="000D56B5">
      <w:pPr>
        <w:rPr>
          <w:sz w:val="24"/>
          <w:szCs w:val="24"/>
        </w:rPr>
      </w:pPr>
    </w:p>
    <w:p w:rsidR="000D56B5" w:rsidRPr="000D56B5" w:rsidRDefault="000D56B5" w:rsidP="000D56B5">
      <w:pPr>
        <w:rPr>
          <w:sz w:val="24"/>
          <w:szCs w:val="24"/>
        </w:rPr>
      </w:pPr>
      <w:r w:rsidRPr="000D56B5">
        <w:rPr>
          <w:sz w:val="24"/>
          <w:szCs w:val="24"/>
        </w:rPr>
        <w:t xml:space="preserve">Your request should be made within </w:t>
      </w:r>
      <w:r w:rsidR="00701F3C">
        <w:rPr>
          <w:sz w:val="24"/>
          <w:szCs w:val="24"/>
        </w:rPr>
        <w:t>two</w:t>
      </w:r>
      <w:r w:rsidRPr="000D56B5">
        <w:rPr>
          <w:sz w:val="24"/>
          <w:szCs w:val="24"/>
        </w:rPr>
        <w:t xml:space="preserve"> months of receipt of this letter and we will reply within 20 working days of receipt.  Any such request received after </w:t>
      </w:r>
      <w:r w:rsidR="00701F3C">
        <w:rPr>
          <w:sz w:val="24"/>
          <w:szCs w:val="24"/>
        </w:rPr>
        <w:t>two</w:t>
      </w:r>
      <w:r w:rsidRPr="000D56B5">
        <w:rPr>
          <w:sz w:val="24"/>
          <w:szCs w:val="24"/>
        </w:rPr>
        <w:t xml:space="preserve"> months will only be considered at the discretion of the Trust. </w:t>
      </w:r>
    </w:p>
    <w:p w:rsidR="000D56B5" w:rsidRPr="000D56B5" w:rsidRDefault="000D56B5" w:rsidP="000D56B5">
      <w:pPr>
        <w:rPr>
          <w:sz w:val="24"/>
          <w:szCs w:val="24"/>
        </w:rPr>
      </w:pPr>
    </w:p>
    <w:p w:rsidR="000D56B5" w:rsidRPr="000D56B5" w:rsidRDefault="000D56B5" w:rsidP="000D56B5">
      <w:pPr>
        <w:rPr>
          <w:color w:val="000000"/>
          <w:sz w:val="24"/>
          <w:szCs w:val="24"/>
        </w:rPr>
      </w:pPr>
      <w:r w:rsidRPr="000D56B5">
        <w:rPr>
          <w:color w:val="000000"/>
          <w:sz w:val="24"/>
          <w:szCs w:val="24"/>
        </w:rPr>
        <w:t>If you are still unsatisfied, you may apply directly to the Information Commissioner for a decision. The Information Commissioner is the statutory regulator for the Freedom of Information Act. Generally, the ICO cannot make a decision unless you have exhausted the procedures provided by the Trust. The Information Commissioner can be contacted at: The Information Commissioner’s Office, Wycliffe House, Water Lane, Wilmslow, Cheshire SK9 5AF.</w:t>
      </w:r>
    </w:p>
    <w:p w:rsidR="000D56B5" w:rsidRPr="000D56B5" w:rsidRDefault="000D56B5" w:rsidP="000D56B5">
      <w:pPr>
        <w:rPr>
          <w:sz w:val="24"/>
          <w:szCs w:val="24"/>
        </w:rPr>
      </w:pPr>
    </w:p>
    <w:p w:rsidR="000D56B5" w:rsidRPr="000D56B5" w:rsidRDefault="000D56B5" w:rsidP="000D56B5">
      <w:pPr>
        <w:rPr>
          <w:sz w:val="24"/>
          <w:szCs w:val="24"/>
        </w:rPr>
      </w:pPr>
      <w:r w:rsidRPr="000D56B5">
        <w:rPr>
          <w:sz w:val="24"/>
          <w:szCs w:val="24"/>
        </w:rPr>
        <w:t>Yours sincerely</w:t>
      </w:r>
    </w:p>
    <w:p w:rsidR="000D56B5" w:rsidRPr="000D56B5" w:rsidRDefault="000D56B5" w:rsidP="000D56B5">
      <w:pPr>
        <w:rPr>
          <w:color w:val="008080"/>
          <w:sz w:val="24"/>
          <w:szCs w:val="24"/>
          <w:lang w:val="en-US"/>
        </w:rPr>
      </w:pPr>
    </w:p>
    <w:p w:rsidR="000D56B5" w:rsidRPr="000D56B5" w:rsidRDefault="000D56B5" w:rsidP="000D56B5">
      <w:pPr>
        <w:rPr>
          <w:sz w:val="24"/>
          <w:szCs w:val="24"/>
          <w:lang w:val="en-US"/>
        </w:rPr>
      </w:pPr>
      <w:r w:rsidRPr="000D56B5">
        <w:rPr>
          <w:sz w:val="24"/>
          <w:szCs w:val="24"/>
          <w:lang w:val="en-US"/>
        </w:rPr>
        <w:t>Nigel Sinaga-Heness</w:t>
      </w:r>
    </w:p>
    <w:p w:rsidR="000D56B5" w:rsidRPr="000D56B5" w:rsidRDefault="00161314" w:rsidP="000D56B5">
      <w:pPr>
        <w:rPr>
          <w:sz w:val="24"/>
          <w:szCs w:val="24"/>
        </w:rPr>
      </w:pPr>
      <w:r>
        <w:rPr>
          <w:bCs/>
          <w:sz w:val="24"/>
          <w:szCs w:val="24"/>
          <w:lang w:val="en-US"/>
        </w:rPr>
        <w:t>Senior Information Governance Officer</w:t>
      </w:r>
    </w:p>
    <w:p w:rsidR="00394763" w:rsidRDefault="00531A88">
      <w:hyperlink r:id="rId16" w:history="1">
        <w:r w:rsidR="000D56B5" w:rsidRPr="000D56B5">
          <w:rPr>
            <w:color w:val="0000FF"/>
            <w:sz w:val="24"/>
            <w:szCs w:val="24"/>
            <w:u w:val="single"/>
            <w:lang w:val="en-US"/>
          </w:rPr>
          <w:t>nigel.sinaga-heness@nhs.net</w:t>
        </w:r>
      </w:hyperlink>
      <w:bookmarkStart w:id="1" w:name="_GoBack"/>
      <w:bookmarkEnd w:id="1"/>
    </w:p>
    <w:sectPr w:rsidR="00394763" w:rsidSect="00A07857">
      <w:headerReference w:type="even" r:id="rId17"/>
      <w:headerReference w:type="default" r:id="rId18"/>
      <w:footerReference w:type="default" r:id="rId19"/>
      <w:headerReference w:type="first" r:id="rId20"/>
      <w:footerReference w:type="first" r:id="rId21"/>
      <w:pgSz w:w="11906" w:h="16838"/>
      <w:pgMar w:top="2127" w:right="144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123" w:rsidRDefault="00E67123" w:rsidP="006B1015">
      <w:r>
        <w:separator/>
      </w:r>
    </w:p>
  </w:endnote>
  <w:endnote w:type="continuationSeparator" w:id="0">
    <w:p w:rsidR="00E67123" w:rsidRDefault="00E67123" w:rsidP="006B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23" w:rsidRDefault="00E67123">
    <w:pPr>
      <w:pStyle w:val="Footer"/>
    </w:pPr>
  </w:p>
  <w:p w:rsidR="00E67123" w:rsidRDefault="00E67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23" w:rsidRDefault="00E67123" w:rsidP="00394763">
    <w:pPr>
      <w:jc w:val="center"/>
    </w:pPr>
  </w:p>
  <w:p w:rsidR="00B61D83" w:rsidRPr="00B61D83" w:rsidRDefault="00B61D83" w:rsidP="00B61D83">
    <w:pPr>
      <w:jc w:val="center"/>
    </w:pPr>
    <w:r w:rsidRPr="00B61D83">
      <w:t>Trust Headquarters, 350 Euston Road, Regent’s Place, London, NW1 3AX</w:t>
    </w:r>
  </w:p>
  <w:p w:rsidR="00B61D83" w:rsidRPr="00B61D83" w:rsidRDefault="00B61D83" w:rsidP="00B61D83">
    <w:pPr>
      <w:jc w:val="center"/>
    </w:pPr>
    <w:r w:rsidRPr="00B61D83">
      <w:t xml:space="preserve">Telephone: 020 3214 5700  </w:t>
    </w:r>
    <w:hyperlink r:id="rId1" w:history="1">
      <w:r w:rsidRPr="00B61D83">
        <w:rPr>
          <w:rStyle w:val="Hyperlink"/>
        </w:rPr>
        <w:t>www.cnwl.nhs.uk</w:t>
      </w:r>
    </w:hyperlink>
  </w:p>
  <w:p w:rsidR="00E67123" w:rsidRDefault="00E67123" w:rsidP="00394763">
    <w:pPr>
      <w:jc w:val="center"/>
    </w:pPr>
  </w:p>
  <w:p w:rsidR="00E67123" w:rsidRDefault="00E6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123" w:rsidRDefault="00E67123" w:rsidP="006B1015">
      <w:r>
        <w:separator/>
      </w:r>
    </w:p>
  </w:footnote>
  <w:footnote w:type="continuationSeparator" w:id="0">
    <w:p w:rsidR="00E67123" w:rsidRDefault="00E67123" w:rsidP="006B1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D83" w:rsidRDefault="00531A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5064" o:spid="_x0000_s2061" type="#_x0000_t136" style="position:absolute;margin-left:0;margin-top:0;width:556.7pt;height:79.5pt;rotation:315;z-index:-251654656;mso-position-horizontal:center;mso-position-horizontal-relative:margin;mso-position-vertical:center;mso-position-vertical-relative:margin" o:allowincell="f" fillcolor="#d8d8d8 [2732]" stroked="f">
          <v:textpath style="font-family:&quot;Arial&quot;;font-size:1pt" string="CNWL Respon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23" w:rsidRDefault="00531A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5065" o:spid="_x0000_s2062" type="#_x0000_t136" style="position:absolute;margin-left:0;margin-top:0;width:556.7pt;height:79.5pt;rotation:315;z-index:-251652608;mso-position-horizontal:center;mso-position-horizontal-relative:margin;mso-position-vertical:center;mso-position-vertical-relative:margin" o:allowincell="f" fillcolor="#d8d8d8 [2732]" stroked="f">
          <v:textpath style="font-family:&quot;Arial&quot;;font-size:1pt" string="CNWL Response"/>
          <w10:wrap anchorx="margin" anchory="margin"/>
        </v:shape>
      </w:pict>
    </w:r>
  </w:p>
  <w:p w:rsidR="00E67123" w:rsidRDefault="00E67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23" w:rsidRDefault="00531A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5063" o:spid="_x0000_s2060" type="#_x0000_t136" style="position:absolute;margin-left:0;margin-top:0;width:556.7pt;height:79.5pt;rotation:315;z-index:-251656704;mso-position-horizontal:center;mso-position-horizontal-relative:margin;mso-position-vertical:center;mso-position-vertical-relative:margin" o:allowincell="f" fillcolor="#d8d8d8 [2732]" stroked="f">
          <v:textpath style="font-family:&quot;Arial&quot;;font-size:1pt" string="CNWL Response"/>
          <w10:wrap anchorx="margin"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75pt;margin-top:-37.05pt;width:597.75pt;height:846pt;z-index:-251658752">
          <v:imagedata r:id="rId1" o:title="CORP_A4_WordDoc_Template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8CCE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229C3"/>
    <w:multiLevelType w:val="hybridMultilevel"/>
    <w:tmpl w:val="98EC0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F5B5B"/>
    <w:multiLevelType w:val="hybridMultilevel"/>
    <w:tmpl w:val="7946CF68"/>
    <w:lvl w:ilvl="0" w:tplc="4C6057B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9958D8"/>
    <w:multiLevelType w:val="hybridMultilevel"/>
    <w:tmpl w:val="F830ED60"/>
    <w:lvl w:ilvl="0" w:tplc="085AC73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325C0D"/>
    <w:multiLevelType w:val="hybridMultilevel"/>
    <w:tmpl w:val="F63855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A9C3D36"/>
    <w:multiLevelType w:val="multilevel"/>
    <w:tmpl w:val="130C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F71EAA"/>
    <w:multiLevelType w:val="hybridMultilevel"/>
    <w:tmpl w:val="F2BA66E0"/>
    <w:lvl w:ilvl="0" w:tplc="F60E0224">
      <w:start w:val="1"/>
      <w:numFmt w:val="bullet"/>
      <w:lvlText w:val=""/>
      <w:lvlJc w:val="left"/>
      <w:pPr>
        <w:ind w:left="72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0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B1015"/>
    <w:rsid w:val="00023821"/>
    <w:rsid w:val="000C31AD"/>
    <w:rsid w:val="000D56B5"/>
    <w:rsid w:val="00111D8A"/>
    <w:rsid w:val="00140C25"/>
    <w:rsid w:val="00153413"/>
    <w:rsid w:val="00161314"/>
    <w:rsid w:val="00166FEE"/>
    <w:rsid w:val="001B6936"/>
    <w:rsid w:val="001D23A2"/>
    <w:rsid w:val="001F0FF4"/>
    <w:rsid w:val="002002C5"/>
    <w:rsid w:val="00272BD0"/>
    <w:rsid w:val="002943AB"/>
    <w:rsid w:val="002A16B7"/>
    <w:rsid w:val="002A3CCD"/>
    <w:rsid w:val="002B0807"/>
    <w:rsid w:val="002B3A1C"/>
    <w:rsid w:val="002C37B6"/>
    <w:rsid w:val="002D2CA1"/>
    <w:rsid w:val="002E7D30"/>
    <w:rsid w:val="002F4685"/>
    <w:rsid w:val="002F5682"/>
    <w:rsid w:val="00300BE2"/>
    <w:rsid w:val="003316D2"/>
    <w:rsid w:val="00331F6F"/>
    <w:rsid w:val="00332DD7"/>
    <w:rsid w:val="00333B0F"/>
    <w:rsid w:val="00394763"/>
    <w:rsid w:val="00394775"/>
    <w:rsid w:val="00397A83"/>
    <w:rsid w:val="003B7889"/>
    <w:rsid w:val="003F2976"/>
    <w:rsid w:val="004239E2"/>
    <w:rsid w:val="00464B1A"/>
    <w:rsid w:val="004830B1"/>
    <w:rsid w:val="00521058"/>
    <w:rsid w:val="00527955"/>
    <w:rsid w:val="00531A88"/>
    <w:rsid w:val="00542D40"/>
    <w:rsid w:val="0055562D"/>
    <w:rsid w:val="00557864"/>
    <w:rsid w:val="00571E85"/>
    <w:rsid w:val="00573E39"/>
    <w:rsid w:val="005A2E81"/>
    <w:rsid w:val="005D457B"/>
    <w:rsid w:val="005F48A0"/>
    <w:rsid w:val="006241A2"/>
    <w:rsid w:val="0065325A"/>
    <w:rsid w:val="00671AF6"/>
    <w:rsid w:val="00672549"/>
    <w:rsid w:val="0068441A"/>
    <w:rsid w:val="006B1015"/>
    <w:rsid w:val="006E3C8D"/>
    <w:rsid w:val="006E7477"/>
    <w:rsid w:val="00701F3C"/>
    <w:rsid w:val="0071377B"/>
    <w:rsid w:val="00713EF7"/>
    <w:rsid w:val="00716C33"/>
    <w:rsid w:val="007237EE"/>
    <w:rsid w:val="00782CDF"/>
    <w:rsid w:val="00784398"/>
    <w:rsid w:val="007C2C8A"/>
    <w:rsid w:val="007C76CC"/>
    <w:rsid w:val="007D4473"/>
    <w:rsid w:val="007F1891"/>
    <w:rsid w:val="00831F91"/>
    <w:rsid w:val="00834FDE"/>
    <w:rsid w:val="008A7DCF"/>
    <w:rsid w:val="008C26D5"/>
    <w:rsid w:val="008C42BA"/>
    <w:rsid w:val="008D3C7E"/>
    <w:rsid w:val="008D798F"/>
    <w:rsid w:val="008F4014"/>
    <w:rsid w:val="00951C12"/>
    <w:rsid w:val="00972468"/>
    <w:rsid w:val="009C2230"/>
    <w:rsid w:val="009C518A"/>
    <w:rsid w:val="009F55DA"/>
    <w:rsid w:val="00A07778"/>
    <w:rsid w:val="00A07857"/>
    <w:rsid w:val="00A10C25"/>
    <w:rsid w:val="00A20C21"/>
    <w:rsid w:val="00A255FA"/>
    <w:rsid w:val="00A35EFD"/>
    <w:rsid w:val="00A44FED"/>
    <w:rsid w:val="00A571C3"/>
    <w:rsid w:val="00A66442"/>
    <w:rsid w:val="00A7479D"/>
    <w:rsid w:val="00AA1C46"/>
    <w:rsid w:val="00AC3F4B"/>
    <w:rsid w:val="00AD6E5D"/>
    <w:rsid w:val="00AE4FCE"/>
    <w:rsid w:val="00B61D83"/>
    <w:rsid w:val="00B833AB"/>
    <w:rsid w:val="00B8737D"/>
    <w:rsid w:val="00BA0B47"/>
    <w:rsid w:val="00BA7DDA"/>
    <w:rsid w:val="00BB73F5"/>
    <w:rsid w:val="00BC4C2E"/>
    <w:rsid w:val="00BD5C73"/>
    <w:rsid w:val="00C360F8"/>
    <w:rsid w:val="00C72EF2"/>
    <w:rsid w:val="00C741FC"/>
    <w:rsid w:val="00CB3095"/>
    <w:rsid w:val="00CB5923"/>
    <w:rsid w:val="00CC3AFA"/>
    <w:rsid w:val="00CC4519"/>
    <w:rsid w:val="00CC78DE"/>
    <w:rsid w:val="00CE1157"/>
    <w:rsid w:val="00CF3B24"/>
    <w:rsid w:val="00D0362E"/>
    <w:rsid w:val="00D13938"/>
    <w:rsid w:val="00D438D9"/>
    <w:rsid w:val="00D871DF"/>
    <w:rsid w:val="00DA73EC"/>
    <w:rsid w:val="00DB383A"/>
    <w:rsid w:val="00DC24E0"/>
    <w:rsid w:val="00DE5358"/>
    <w:rsid w:val="00E07B02"/>
    <w:rsid w:val="00E606BC"/>
    <w:rsid w:val="00E67123"/>
    <w:rsid w:val="00E7579D"/>
    <w:rsid w:val="00E77CCE"/>
    <w:rsid w:val="00EB090C"/>
    <w:rsid w:val="00EE45F8"/>
    <w:rsid w:val="00F402A4"/>
    <w:rsid w:val="00F4610F"/>
    <w:rsid w:val="00F54A19"/>
    <w:rsid w:val="00F738CF"/>
    <w:rsid w:val="00F80052"/>
    <w:rsid w:val="00F95260"/>
    <w:rsid w:val="00FC27BB"/>
    <w:rsid w:val="00FC6027"/>
    <w:rsid w:val="00FD0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17F18FDE"/>
  <w15:docId w15:val="{52844F11-BEB8-4E03-948C-3BC8D079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015"/>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
    <w:name w:val="Style6"/>
    <w:uiPriority w:val="1"/>
    <w:rsid w:val="00782CDF"/>
    <w:rPr>
      <w:rFonts w:ascii="Arial" w:hAnsi="Arial"/>
      <w:sz w:val="22"/>
    </w:rPr>
  </w:style>
  <w:style w:type="character" w:customStyle="1" w:styleId="Style7">
    <w:name w:val="Style7"/>
    <w:uiPriority w:val="1"/>
    <w:rsid w:val="00782CDF"/>
    <w:rPr>
      <w:rFonts w:ascii="Arial" w:hAnsi="Arial"/>
      <w:sz w:val="22"/>
    </w:rPr>
  </w:style>
  <w:style w:type="character" w:customStyle="1" w:styleId="One-column-bold">
    <w:name w:val="One-column-bold"/>
    <w:uiPriority w:val="1"/>
    <w:qFormat/>
    <w:rsid w:val="007C2C8A"/>
    <w:rPr>
      <w:rFonts w:ascii="Arial" w:hAnsi="Arial"/>
      <w:b/>
      <w:sz w:val="22"/>
    </w:rPr>
  </w:style>
  <w:style w:type="character" w:customStyle="1" w:styleId="Arial">
    <w:name w:val="Arial"/>
    <w:aliases w:val="11pt,bold"/>
    <w:uiPriority w:val="1"/>
    <w:qFormat/>
    <w:rsid w:val="007C2C8A"/>
    <w:rPr>
      <w:rFonts w:ascii="Arial" w:hAnsi="Arial"/>
      <w:b/>
      <w:sz w:val="22"/>
    </w:rPr>
  </w:style>
  <w:style w:type="paragraph" w:styleId="Header">
    <w:name w:val="header"/>
    <w:basedOn w:val="Normal"/>
    <w:link w:val="HeaderChar"/>
    <w:uiPriority w:val="99"/>
    <w:unhideWhenUsed/>
    <w:rsid w:val="006B1015"/>
    <w:pPr>
      <w:tabs>
        <w:tab w:val="center" w:pos="4513"/>
        <w:tab w:val="right" w:pos="9026"/>
      </w:tabs>
    </w:pPr>
  </w:style>
  <w:style w:type="character" w:customStyle="1" w:styleId="HeaderChar">
    <w:name w:val="Header Char"/>
    <w:basedOn w:val="DefaultParagraphFont"/>
    <w:link w:val="Header"/>
    <w:uiPriority w:val="99"/>
    <w:rsid w:val="006B1015"/>
  </w:style>
  <w:style w:type="paragraph" w:styleId="Footer">
    <w:name w:val="footer"/>
    <w:basedOn w:val="Normal"/>
    <w:link w:val="FooterChar"/>
    <w:uiPriority w:val="99"/>
    <w:unhideWhenUsed/>
    <w:rsid w:val="006B1015"/>
    <w:pPr>
      <w:tabs>
        <w:tab w:val="center" w:pos="4513"/>
        <w:tab w:val="right" w:pos="9026"/>
      </w:tabs>
    </w:pPr>
  </w:style>
  <w:style w:type="character" w:customStyle="1" w:styleId="FooterChar">
    <w:name w:val="Footer Char"/>
    <w:basedOn w:val="DefaultParagraphFont"/>
    <w:link w:val="Footer"/>
    <w:uiPriority w:val="99"/>
    <w:rsid w:val="006B1015"/>
  </w:style>
  <w:style w:type="paragraph" w:styleId="BalloonText">
    <w:name w:val="Balloon Text"/>
    <w:basedOn w:val="Normal"/>
    <w:link w:val="BalloonTextChar"/>
    <w:uiPriority w:val="99"/>
    <w:semiHidden/>
    <w:unhideWhenUsed/>
    <w:rsid w:val="006B1015"/>
    <w:rPr>
      <w:rFonts w:ascii="Tahoma" w:hAnsi="Tahoma" w:cs="Tahoma"/>
      <w:sz w:val="16"/>
      <w:szCs w:val="16"/>
    </w:rPr>
  </w:style>
  <w:style w:type="character" w:customStyle="1" w:styleId="BalloonTextChar">
    <w:name w:val="Balloon Text Char"/>
    <w:link w:val="BalloonText"/>
    <w:uiPriority w:val="99"/>
    <w:semiHidden/>
    <w:rsid w:val="006B1015"/>
    <w:rPr>
      <w:rFonts w:ascii="Tahoma" w:hAnsi="Tahoma" w:cs="Tahoma"/>
      <w:sz w:val="16"/>
      <w:szCs w:val="16"/>
    </w:rPr>
  </w:style>
  <w:style w:type="character" w:styleId="Hyperlink">
    <w:name w:val="Hyperlink"/>
    <w:uiPriority w:val="99"/>
    <w:unhideWhenUsed/>
    <w:rsid w:val="00394763"/>
    <w:rPr>
      <w:color w:val="0000FF"/>
      <w:u w:val="single"/>
    </w:rPr>
  </w:style>
  <w:style w:type="paragraph" w:styleId="ListParagraph">
    <w:name w:val="List Paragraph"/>
    <w:basedOn w:val="Normal"/>
    <w:uiPriority w:val="34"/>
    <w:qFormat/>
    <w:rsid w:val="00CB5923"/>
    <w:pPr>
      <w:spacing w:after="300" w:line="276" w:lineRule="auto"/>
      <w:ind w:left="720"/>
      <w:contextualSpacing/>
    </w:pPr>
    <w:rPr>
      <w:rFonts w:ascii="Calibri" w:eastAsia="Calibri" w:hAnsi="Calibri" w:cs="Times New Roman"/>
      <w:color w:val="17365D"/>
      <w:sz w:val="22"/>
      <w:szCs w:val="22"/>
    </w:rPr>
  </w:style>
  <w:style w:type="character" w:styleId="UnresolvedMention">
    <w:name w:val="Unresolved Mention"/>
    <w:basedOn w:val="DefaultParagraphFont"/>
    <w:uiPriority w:val="99"/>
    <w:semiHidden/>
    <w:unhideWhenUsed/>
    <w:rsid w:val="00FC27BB"/>
    <w:rPr>
      <w:color w:val="605E5C"/>
      <w:shd w:val="clear" w:color="auto" w:fill="E1DFDD"/>
    </w:rPr>
  </w:style>
  <w:style w:type="paragraph" w:customStyle="1" w:styleId="xxmsonormal">
    <w:name w:val="x_x_msonormal"/>
    <w:basedOn w:val="Normal"/>
    <w:rsid w:val="00784398"/>
    <w:pPr>
      <w:spacing w:before="100" w:beforeAutospacing="1" w:after="100" w:afterAutospacing="1"/>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2363">
      <w:bodyDiv w:val="1"/>
      <w:marLeft w:val="0"/>
      <w:marRight w:val="0"/>
      <w:marTop w:val="0"/>
      <w:marBottom w:val="0"/>
      <w:divBdr>
        <w:top w:val="none" w:sz="0" w:space="0" w:color="auto"/>
        <w:left w:val="none" w:sz="0" w:space="0" w:color="auto"/>
        <w:bottom w:val="none" w:sz="0" w:space="0" w:color="auto"/>
        <w:right w:val="none" w:sz="0" w:space="0" w:color="auto"/>
      </w:divBdr>
    </w:div>
    <w:div w:id="77678301">
      <w:bodyDiv w:val="1"/>
      <w:marLeft w:val="0"/>
      <w:marRight w:val="0"/>
      <w:marTop w:val="0"/>
      <w:marBottom w:val="0"/>
      <w:divBdr>
        <w:top w:val="none" w:sz="0" w:space="0" w:color="auto"/>
        <w:left w:val="none" w:sz="0" w:space="0" w:color="auto"/>
        <w:bottom w:val="none" w:sz="0" w:space="0" w:color="auto"/>
        <w:right w:val="none" w:sz="0" w:space="0" w:color="auto"/>
      </w:divBdr>
    </w:div>
    <w:div w:id="155650275">
      <w:bodyDiv w:val="1"/>
      <w:marLeft w:val="0"/>
      <w:marRight w:val="0"/>
      <w:marTop w:val="0"/>
      <w:marBottom w:val="0"/>
      <w:divBdr>
        <w:top w:val="none" w:sz="0" w:space="0" w:color="auto"/>
        <w:left w:val="none" w:sz="0" w:space="0" w:color="auto"/>
        <w:bottom w:val="none" w:sz="0" w:space="0" w:color="auto"/>
        <w:right w:val="none" w:sz="0" w:space="0" w:color="auto"/>
      </w:divBdr>
      <w:divsChild>
        <w:div w:id="1805613762">
          <w:marLeft w:val="0"/>
          <w:marRight w:val="0"/>
          <w:marTop w:val="0"/>
          <w:marBottom w:val="0"/>
          <w:divBdr>
            <w:top w:val="none" w:sz="0" w:space="0" w:color="auto"/>
            <w:left w:val="none" w:sz="0" w:space="0" w:color="auto"/>
            <w:bottom w:val="none" w:sz="0" w:space="0" w:color="auto"/>
            <w:right w:val="none" w:sz="0" w:space="0" w:color="auto"/>
          </w:divBdr>
        </w:div>
        <w:div w:id="300811532">
          <w:marLeft w:val="0"/>
          <w:marRight w:val="0"/>
          <w:marTop w:val="0"/>
          <w:marBottom w:val="0"/>
          <w:divBdr>
            <w:top w:val="none" w:sz="0" w:space="0" w:color="auto"/>
            <w:left w:val="none" w:sz="0" w:space="0" w:color="auto"/>
            <w:bottom w:val="none" w:sz="0" w:space="0" w:color="auto"/>
            <w:right w:val="none" w:sz="0" w:space="0" w:color="auto"/>
          </w:divBdr>
        </w:div>
        <w:div w:id="377121936">
          <w:marLeft w:val="0"/>
          <w:marRight w:val="0"/>
          <w:marTop w:val="0"/>
          <w:marBottom w:val="0"/>
          <w:divBdr>
            <w:top w:val="none" w:sz="0" w:space="0" w:color="auto"/>
            <w:left w:val="none" w:sz="0" w:space="0" w:color="auto"/>
            <w:bottom w:val="none" w:sz="0" w:space="0" w:color="auto"/>
            <w:right w:val="none" w:sz="0" w:space="0" w:color="auto"/>
          </w:divBdr>
        </w:div>
        <w:div w:id="2094429739">
          <w:marLeft w:val="0"/>
          <w:marRight w:val="0"/>
          <w:marTop w:val="0"/>
          <w:marBottom w:val="0"/>
          <w:divBdr>
            <w:top w:val="none" w:sz="0" w:space="0" w:color="auto"/>
            <w:left w:val="none" w:sz="0" w:space="0" w:color="auto"/>
            <w:bottom w:val="none" w:sz="0" w:space="0" w:color="auto"/>
            <w:right w:val="none" w:sz="0" w:space="0" w:color="auto"/>
          </w:divBdr>
        </w:div>
        <w:div w:id="188839600">
          <w:marLeft w:val="0"/>
          <w:marRight w:val="0"/>
          <w:marTop w:val="0"/>
          <w:marBottom w:val="0"/>
          <w:divBdr>
            <w:top w:val="none" w:sz="0" w:space="0" w:color="auto"/>
            <w:left w:val="none" w:sz="0" w:space="0" w:color="auto"/>
            <w:bottom w:val="none" w:sz="0" w:space="0" w:color="auto"/>
            <w:right w:val="none" w:sz="0" w:space="0" w:color="auto"/>
          </w:divBdr>
        </w:div>
        <w:div w:id="1937245840">
          <w:marLeft w:val="0"/>
          <w:marRight w:val="0"/>
          <w:marTop w:val="0"/>
          <w:marBottom w:val="0"/>
          <w:divBdr>
            <w:top w:val="none" w:sz="0" w:space="0" w:color="auto"/>
            <w:left w:val="none" w:sz="0" w:space="0" w:color="auto"/>
            <w:bottom w:val="none" w:sz="0" w:space="0" w:color="auto"/>
            <w:right w:val="none" w:sz="0" w:space="0" w:color="auto"/>
          </w:divBdr>
        </w:div>
        <w:div w:id="1163934390">
          <w:marLeft w:val="0"/>
          <w:marRight w:val="0"/>
          <w:marTop w:val="0"/>
          <w:marBottom w:val="0"/>
          <w:divBdr>
            <w:top w:val="none" w:sz="0" w:space="0" w:color="auto"/>
            <w:left w:val="none" w:sz="0" w:space="0" w:color="auto"/>
            <w:bottom w:val="none" w:sz="0" w:space="0" w:color="auto"/>
            <w:right w:val="none" w:sz="0" w:space="0" w:color="auto"/>
          </w:divBdr>
        </w:div>
        <w:div w:id="1758483096">
          <w:marLeft w:val="0"/>
          <w:marRight w:val="0"/>
          <w:marTop w:val="0"/>
          <w:marBottom w:val="0"/>
          <w:divBdr>
            <w:top w:val="none" w:sz="0" w:space="0" w:color="auto"/>
            <w:left w:val="none" w:sz="0" w:space="0" w:color="auto"/>
            <w:bottom w:val="none" w:sz="0" w:space="0" w:color="auto"/>
            <w:right w:val="none" w:sz="0" w:space="0" w:color="auto"/>
          </w:divBdr>
        </w:div>
        <w:div w:id="529030835">
          <w:marLeft w:val="0"/>
          <w:marRight w:val="0"/>
          <w:marTop w:val="0"/>
          <w:marBottom w:val="0"/>
          <w:divBdr>
            <w:top w:val="none" w:sz="0" w:space="0" w:color="auto"/>
            <w:left w:val="none" w:sz="0" w:space="0" w:color="auto"/>
            <w:bottom w:val="none" w:sz="0" w:space="0" w:color="auto"/>
            <w:right w:val="none" w:sz="0" w:space="0" w:color="auto"/>
          </w:divBdr>
        </w:div>
        <w:div w:id="290484063">
          <w:marLeft w:val="0"/>
          <w:marRight w:val="0"/>
          <w:marTop w:val="0"/>
          <w:marBottom w:val="0"/>
          <w:divBdr>
            <w:top w:val="none" w:sz="0" w:space="0" w:color="auto"/>
            <w:left w:val="none" w:sz="0" w:space="0" w:color="auto"/>
            <w:bottom w:val="none" w:sz="0" w:space="0" w:color="auto"/>
            <w:right w:val="none" w:sz="0" w:space="0" w:color="auto"/>
          </w:divBdr>
        </w:div>
        <w:div w:id="1174998978">
          <w:marLeft w:val="0"/>
          <w:marRight w:val="0"/>
          <w:marTop w:val="0"/>
          <w:marBottom w:val="0"/>
          <w:divBdr>
            <w:top w:val="none" w:sz="0" w:space="0" w:color="auto"/>
            <w:left w:val="none" w:sz="0" w:space="0" w:color="auto"/>
            <w:bottom w:val="none" w:sz="0" w:space="0" w:color="auto"/>
            <w:right w:val="none" w:sz="0" w:space="0" w:color="auto"/>
          </w:divBdr>
        </w:div>
      </w:divsChild>
    </w:div>
    <w:div w:id="411466952">
      <w:bodyDiv w:val="1"/>
      <w:marLeft w:val="0"/>
      <w:marRight w:val="0"/>
      <w:marTop w:val="0"/>
      <w:marBottom w:val="0"/>
      <w:divBdr>
        <w:top w:val="none" w:sz="0" w:space="0" w:color="auto"/>
        <w:left w:val="none" w:sz="0" w:space="0" w:color="auto"/>
        <w:bottom w:val="none" w:sz="0" w:space="0" w:color="auto"/>
        <w:right w:val="none" w:sz="0" w:space="0" w:color="auto"/>
      </w:divBdr>
    </w:div>
    <w:div w:id="418913488">
      <w:bodyDiv w:val="1"/>
      <w:marLeft w:val="0"/>
      <w:marRight w:val="0"/>
      <w:marTop w:val="0"/>
      <w:marBottom w:val="0"/>
      <w:divBdr>
        <w:top w:val="none" w:sz="0" w:space="0" w:color="auto"/>
        <w:left w:val="none" w:sz="0" w:space="0" w:color="auto"/>
        <w:bottom w:val="none" w:sz="0" w:space="0" w:color="auto"/>
        <w:right w:val="none" w:sz="0" w:space="0" w:color="auto"/>
      </w:divBdr>
    </w:div>
    <w:div w:id="515391815">
      <w:bodyDiv w:val="1"/>
      <w:marLeft w:val="0"/>
      <w:marRight w:val="0"/>
      <w:marTop w:val="0"/>
      <w:marBottom w:val="0"/>
      <w:divBdr>
        <w:top w:val="none" w:sz="0" w:space="0" w:color="auto"/>
        <w:left w:val="none" w:sz="0" w:space="0" w:color="auto"/>
        <w:bottom w:val="none" w:sz="0" w:space="0" w:color="auto"/>
        <w:right w:val="none" w:sz="0" w:space="0" w:color="auto"/>
      </w:divBdr>
    </w:div>
    <w:div w:id="589312691">
      <w:bodyDiv w:val="1"/>
      <w:marLeft w:val="0"/>
      <w:marRight w:val="0"/>
      <w:marTop w:val="0"/>
      <w:marBottom w:val="0"/>
      <w:divBdr>
        <w:top w:val="none" w:sz="0" w:space="0" w:color="auto"/>
        <w:left w:val="none" w:sz="0" w:space="0" w:color="auto"/>
        <w:bottom w:val="none" w:sz="0" w:space="0" w:color="auto"/>
        <w:right w:val="none" w:sz="0" w:space="0" w:color="auto"/>
      </w:divBdr>
    </w:div>
    <w:div w:id="640960838">
      <w:bodyDiv w:val="1"/>
      <w:marLeft w:val="0"/>
      <w:marRight w:val="0"/>
      <w:marTop w:val="0"/>
      <w:marBottom w:val="0"/>
      <w:divBdr>
        <w:top w:val="none" w:sz="0" w:space="0" w:color="auto"/>
        <w:left w:val="none" w:sz="0" w:space="0" w:color="auto"/>
        <w:bottom w:val="none" w:sz="0" w:space="0" w:color="auto"/>
        <w:right w:val="none" w:sz="0" w:space="0" w:color="auto"/>
      </w:divBdr>
    </w:div>
    <w:div w:id="641614828">
      <w:bodyDiv w:val="1"/>
      <w:marLeft w:val="0"/>
      <w:marRight w:val="0"/>
      <w:marTop w:val="0"/>
      <w:marBottom w:val="0"/>
      <w:divBdr>
        <w:top w:val="none" w:sz="0" w:space="0" w:color="auto"/>
        <w:left w:val="none" w:sz="0" w:space="0" w:color="auto"/>
        <w:bottom w:val="none" w:sz="0" w:space="0" w:color="auto"/>
        <w:right w:val="none" w:sz="0" w:space="0" w:color="auto"/>
      </w:divBdr>
    </w:div>
    <w:div w:id="761686485">
      <w:bodyDiv w:val="1"/>
      <w:marLeft w:val="0"/>
      <w:marRight w:val="0"/>
      <w:marTop w:val="0"/>
      <w:marBottom w:val="0"/>
      <w:divBdr>
        <w:top w:val="none" w:sz="0" w:space="0" w:color="auto"/>
        <w:left w:val="none" w:sz="0" w:space="0" w:color="auto"/>
        <w:bottom w:val="none" w:sz="0" w:space="0" w:color="auto"/>
        <w:right w:val="none" w:sz="0" w:space="0" w:color="auto"/>
      </w:divBdr>
    </w:div>
    <w:div w:id="774986485">
      <w:bodyDiv w:val="1"/>
      <w:marLeft w:val="0"/>
      <w:marRight w:val="0"/>
      <w:marTop w:val="0"/>
      <w:marBottom w:val="0"/>
      <w:divBdr>
        <w:top w:val="none" w:sz="0" w:space="0" w:color="auto"/>
        <w:left w:val="none" w:sz="0" w:space="0" w:color="auto"/>
        <w:bottom w:val="none" w:sz="0" w:space="0" w:color="auto"/>
        <w:right w:val="none" w:sz="0" w:space="0" w:color="auto"/>
      </w:divBdr>
      <w:divsChild>
        <w:div w:id="2078892389">
          <w:marLeft w:val="0"/>
          <w:marRight w:val="0"/>
          <w:marTop w:val="0"/>
          <w:marBottom w:val="0"/>
          <w:divBdr>
            <w:top w:val="none" w:sz="0" w:space="0" w:color="auto"/>
            <w:left w:val="none" w:sz="0" w:space="0" w:color="auto"/>
            <w:bottom w:val="none" w:sz="0" w:space="0" w:color="auto"/>
            <w:right w:val="none" w:sz="0" w:space="0" w:color="auto"/>
          </w:divBdr>
        </w:div>
        <w:div w:id="116880152">
          <w:marLeft w:val="0"/>
          <w:marRight w:val="0"/>
          <w:marTop w:val="0"/>
          <w:marBottom w:val="0"/>
          <w:divBdr>
            <w:top w:val="none" w:sz="0" w:space="0" w:color="auto"/>
            <w:left w:val="none" w:sz="0" w:space="0" w:color="auto"/>
            <w:bottom w:val="none" w:sz="0" w:space="0" w:color="auto"/>
            <w:right w:val="none" w:sz="0" w:space="0" w:color="auto"/>
          </w:divBdr>
        </w:div>
        <w:div w:id="73012514">
          <w:marLeft w:val="0"/>
          <w:marRight w:val="0"/>
          <w:marTop w:val="0"/>
          <w:marBottom w:val="0"/>
          <w:divBdr>
            <w:top w:val="none" w:sz="0" w:space="0" w:color="auto"/>
            <w:left w:val="none" w:sz="0" w:space="0" w:color="auto"/>
            <w:bottom w:val="none" w:sz="0" w:space="0" w:color="auto"/>
            <w:right w:val="none" w:sz="0" w:space="0" w:color="auto"/>
          </w:divBdr>
        </w:div>
        <w:div w:id="1463843354">
          <w:marLeft w:val="0"/>
          <w:marRight w:val="0"/>
          <w:marTop w:val="0"/>
          <w:marBottom w:val="0"/>
          <w:divBdr>
            <w:top w:val="none" w:sz="0" w:space="0" w:color="auto"/>
            <w:left w:val="none" w:sz="0" w:space="0" w:color="auto"/>
            <w:bottom w:val="none" w:sz="0" w:space="0" w:color="auto"/>
            <w:right w:val="none" w:sz="0" w:space="0" w:color="auto"/>
          </w:divBdr>
        </w:div>
        <w:div w:id="1526669823">
          <w:marLeft w:val="0"/>
          <w:marRight w:val="0"/>
          <w:marTop w:val="0"/>
          <w:marBottom w:val="0"/>
          <w:divBdr>
            <w:top w:val="none" w:sz="0" w:space="0" w:color="auto"/>
            <w:left w:val="none" w:sz="0" w:space="0" w:color="auto"/>
            <w:bottom w:val="none" w:sz="0" w:space="0" w:color="auto"/>
            <w:right w:val="none" w:sz="0" w:space="0" w:color="auto"/>
          </w:divBdr>
        </w:div>
        <w:div w:id="1390300483">
          <w:marLeft w:val="0"/>
          <w:marRight w:val="0"/>
          <w:marTop w:val="0"/>
          <w:marBottom w:val="0"/>
          <w:divBdr>
            <w:top w:val="none" w:sz="0" w:space="0" w:color="auto"/>
            <w:left w:val="none" w:sz="0" w:space="0" w:color="auto"/>
            <w:bottom w:val="none" w:sz="0" w:space="0" w:color="auto"/>
            <w:right w:val="none" w:sz="0" w:space="0" w:color="auto"/>
          </w:divBdr>
        </w:div>
        <w:div w:id="717629791">
          <w:marLeft w:val="0"/>
          <w:marRight w:val="0"/>
          <w:marTop w:val="0"/>
          <w:marBottom w:val="0"/>
          <w:divBdr>
            <w:top w:val="none" w:sz="0" w:space="0" w:color="auto"/>
            <w:left w:val="none" w:sz="0" w:space="0" w:color="auto"/>
            <w:bottom w:val="none" w:sz="0" w:space="0" w:color="auto"/>
            <w:right w:val="none" w:sz="0" w:space="0" w:color="auto"/>
          </w:divBdr>
        </w:div>
      </w:divsChild>
    </w:div>
    <w:div w:id="904030996">
      <w:bodyDiv w:val="1"/>
      <w:marLeft w:val="0"/>
      <w:marRight w:val="0"/>
      <w:marTop w:val="0"/>
      <w:marBottom w:val="0"/>
      <w:divBdr>
        <w:top w:val="none" w:sz="0" w:space="0" w:color="auto"/>
        <w:left w:val="none" w:sz="0" w:space="0" w:color="auto"/>
        <w:bottom w:val="none" w:sz="0" w:space="0" w:color="auto"/>
        <w:right w:val="none" w:sz="0" w:space="0" w:color="auto"/>
      </w:divBdr>
    </w:div>
    <w:div w:id="1244994274">
      <w:bodyDiv w:val="1"/>
      <w:marLeft w:val="0"/>
      <w:marRight w:val="0"/>
      <w:marTop w:val="0"/>
      <w:marBottom w:val="0"/>
      <w:divBdr>
        <w:top w:val="none" w:sz="0" w:space="0" w:color="auto"/>
        <w:left w:val="none" w:sz="0" w:space="0" w:color="auto"/>
        <w:bottom w:val="none" w:sz="0" w:space="0" w:color="auto"/>
        <w:right w:val="none" w:sz="0" w:space="0" w:color="auto"/>
      </w:divBdr>
    </w:div>
    <w:div w:id="1377655371">
      <w:bodyDiv w:val="1"/>
      <w:marLeft w:val="0"/>
      <w:marRight w:val="0"/>
      <w:marTop w:val="0"/>
      <w:marBottom w:val="0"/>
      <w:divBdr>
        <w:top w:val="none" w:sz="0" w:space="0" w:color="auto"/>
        <w:left w:val="none" w:sz="0" w:space="0" w:color="auto"/>
        <w:bottom w:val="none" w:sz="0" w:space="0" w:color="auto"/>
        <w:right w:val="none" w:sz="0" w:space="0" w:color="auto"/>
      </w:divBdr>
    </w:div>
    <w:div w:id="1418671284">
      <w:bodyDiv w:val="1"/>
      <w:marLeft w:val="0"/>
      <w:marRight w:val="0"/>
      <w:marTop w:val="0"/>
      <w:marBottom w:val="0"/>
      <w:divBdr>
        <w:top w:val="none" w:sz="0" w:space="0" w:color="auto"/>
        <w:left w:val="none" w:sz="0" w:space="0" w:color="auto"/>
        <w:bottom w:val="none" w:sz="0" w:space="0" w:color="auto"/>
        <w:right w:val="none" w:sz="0" w:space="0" w:color="auto"/>
      </w:divBdr>
    </w:div>
    <w:div w:id="1655254009">
      <w:bodyDiv w:val="1"/>
      <w:marLeft w:val="0"/>
      <w:marRight w:val="0"/>
      <w:marTop w:val="0"/>
      <w:marBottom w:val="0"/>
      <w:divBdr>
        <w:top w:val="none" w:sz="0" w:space="0" w:color="auto"/>
        <w:left w:val="none" w:sz="0" w:space="0" w:color="auto"/>
        <w:bottom w:val="none" w:sz="0" w:space="0" w:color="auto"/>
        <w:right w:val="none" w:sz="0" w:space="0" w:color="auto"/>
      </w:divBdr>
    </w:div>
    <w:div w:id="1793354113">
      <w:bodyDiv w:val="1"/>
      <w:marLeft w:val="0"/>
      <w:marRight w:val="0"/>
      <w:marTop w:val="0"/>
      <w:marBottom w:val="0"/>
      <w:divBdr>
        <w:top w:val="none" w:sz="0" w:space="0" w:color="auto"/>
        <w:left w:val="none" w:sz="0" w:space="0" w:color="auto"/>
        <w:bottom w:val="none" w:sz="0" w:space="0" w:color="auto"/>
        <w:right w:val="none" w:sz="0" w:space="0" w:color="auto"/>
      </w:divBdr>
    </w:div>
    <w:div w:id="1828785564">
      <w:bodyDiv w:val="1"/>
      <w:marLeft w:val="0"/>
      <w:marRight w:val="0"/>
      <w:marTop w:val="0"/>
      <w:marBottom w:val="0"/>
      <w:divBdr>
        <w:top w:val="none" w:sz="0" w:space="0" w:color="auto"/>
        <w:left w:val="none" w:sz="0" w:space="0" w:color="auto"/>
        <w:bottom w:val="none" w:sz="0" w:space="0" w:color="auto"/>
        <w:right w:val="none" w:sz="0" w:space="0" w:color="auto"/>
      </w:divBdr>
    </w:div>
    <w:div w:id="1934123014">
      <w:bodyDiv w:val="1"/>
      <w:marLeft w:val="0"/>
      <w:marRight w:val="0"/>
      <w:marTop w:val="0"/>
      <w:marBottom w:val="0"/>
      <w:divBdr>
        <w:top w:val="none" w:sz="0" w:space="0" w:color="auto"/>
        <w:left w:val="none" w:sz="0" w:space="0" w:color="auto"/>
        <w:bottom w:val="none" w:sz="0" w:space="0" w:color="auto"/>
        <w:right w:val="none" w:sz="0" w:space="0" w:color="auto"/>
      </w:divBdr>
      <w:divsChild>
        <w:div w:id="391513685">
          <w:marLeft w:val="0"/>
          <w:marRight w:val="0"/>
          <w:marTop w:val="0"/>
          <w:marBottom w:val="0"/>
          <w:divBdr>
            <w:top w:val="none" w:sz="0" w:space="0" w:color="auto"/>
            <w:left w:val="none" w:sz="0" w:space="0" w:color="auto"/>
            <w:bottom w:val="none" w:sz="0" w:space="0" w:color="auto"/>
            <w:right w:val="none" w:sz="0" w:space="0" w:color="auto"/>
          </w:divBdr>
        </w:div>
      </w:divsChild>
    </w:div>
    <w:div w:id="1965110462">
      <w:bodyDiv w:val="1"/>
      <w:marLeft w:val="0"/>
      <w:marRight w:val="0"/>
      <w:marTop w:val="0"/>
      <w:marBottom w:val="0"/>
      <w:divBdr>
        <w:top w:val="none" w:sz="0" w:space="0" w:color="auto"/>
        <w:left w:val="none" w:sz="0" w:space="0" w:color="auto"/>
        <w:bottom w:val="none" w:sz="0" w:space="0" w:color="auto"/>
        <w:right w:val="none" w:sz="0" w:space="0" w:color="auto"/>
      </w:divBdr>
    </w:div>
    <w:div w:id="209153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nigel.sinaga-heness@nhs.net"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mailto:cnwl.dpo@nhs.ne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nwl.nhs.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NWL Document" ma:contentTypeID="0x01010037F649FF41B56D468B58C8B6A432FAF700B0510FB8D7A54646B0DBA09894352EC7" ma:contentTypeVersion="14" ma:contentTypeDescription="" ma:contentTypeScope="" ma:versionID="944c0adbca87d0e0fa670e551dd22faa">
  <xsd:schema xmlns:xsd="http://www.w3.org/2001/XMLSchema" xmlns:xs="http://www.w3.org/2001/XMLSchema" xmlns:p="http://schemas.microsoft.com/office/2006/metadata/properties" xmlns:ns2="d55a2aa7-1f63-4be8-a81a-1181d5d8da85" xmlns:ns3="1fe66f9f-afaa-41ac-9494-6b55b285a732" targetNamespace="http://schemas.microsoft.com/office/2006/metadata/properties" ma:root="true" ma:fieldsID="777ede3e27a57658686db6c3b74c73a3" ns2:_="" ns3:_="">
    <xsd:import namespace="d55a2aa7-1f63-4be8-a81a-1181d5d8da85"/>
    <xsd:import namespace="1fe66f9f-afaa-41ac-9494-6b55b285a732"/>
    <xsd:element name="properties">
      <xsd:complexType>
        <xsd:sequence>
          <xsd:element name="documentManagement">
            <xsd:complexType>
              <xsd:all>
                <xsd:element ref="ns2:Document_x0020_Type" minOccurs="0"/>
                <xsd:element ref="ns2:Document_x0020_description"/>
                <xsd:element ref="ns2:Programmes" minOccurs="0"/>
                <xsd:element ref="ns2:Professions" minOccurs="0"/>
                <xsd:element ref="ns2:Clinical_x0020_Networks" minOccurs="0"/>
                <xsd:element ref="ns2:Staffside" minOccurs="0"/>
                <xsd:element ref="ns2:Review_x0020_date"/>
                <xsd:element ref="ns2:TaxCatchAllLabel" minOccurs="0"/>
                <xsd:element ref="ns2:g46565d3122d4456818985e8048aeb88" minOccurs="0"/>
                <xsd:element ref="ns2:TaxCatchAll" minOccurs="0"/>
                <xsd:element ref="ns2:TaxKeywordTaxHTField" minOccurs="0"/>
                <xsd:element ref="ns2:c15e5c2c07574216bb5a58a25cf1972a" minOccurs="0"/>
                <xsd:element ref="ns3:Document_x0020_own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a2aa7-1f63-4be8-a81a-1181d5d8da85" elementFormDefault="qualified">
    <xsd:import namespace="http://schemas.microsoft.com/office/2006/documentManagement/types"/>
    <xsd:import namespace="http://schemas.microsoft.com/office/infopath/2007/PartnerControls"/>
    <xsd:element name="Document_x0020_Type" ma:index="2" nillable="true" ma:displayName="Document Type" ma:format="Dropdown" ma:internalName="Document_x0020_Type">
      <xsd:simpleType>
        <xsd:restriction base="dms:Choice">
          <xsd:enumeration value="Agenda"/>
          <xsd:enumeration value="Business Intelligence Tool (QRGs)"/>
          <xsd:enumeration value="Business rule"/>
          <xsd:enumeration value="Care process"/>
          <xsd:enumeration value="Form"/>
          <xsd:enumeration value="Formulary"/>
          <xsd:enumeration value="Guidance"/>
          <xsd:enumeration value="Information"/>
          <xsd:enumeration value="Infrastructure Programme new IT rollout QRGs"/>
          <xsd:enumeration value="Jade QRG"/>
          <xsd:enumeration value="Job description"/>
          <xsd:enumeration value="Leaflet"/>
          <xsd:enumeration value="Letter"/>
          <xsd:enumeration value="Local Operating Procedure"/>
          <xsd:enumeration value="Logo"/>
          <xsd:enumeration value="Meds management audit - national"/>
          <xsd:enumeration value="Meds management audit - Trustwide/local"/>
          <xsd:enumeration value="Minutes"/>
          <xsd:enumeration value="New drug review"/>
          <xsd:enumeration value="Newsletter"/>
          <xsd:enumeration value="Patient Group Direction"/>
          <xsd:enumeration value="Patient information leaflet"/>
          <xsd:enumeration value="Plan"/>
          <xsd:enumeration value="Policy - corporate"/>
          <xsd:enumeration value="Policy - clinical"/>
          <xsd:enumeration value="Poster"/>
          <xsd:enumeration value="Presentation"/>
          <xsd:enumeration value="Project management template"/>
          <xsd:enumeration value="Report"/>
          <xsd:enumeration value="RiO QRG"/>
          <xsd:enumeration value="Service description and operations"/>
          <xsd:enumeration value="Standard Operating Procedure"/>
          <xsd:enumeration value="Strategy"/>
          <xsd:enumeration value="SystmOne Cutover Documents - Milton Keynes Mental Health"/>
          <xsd:enumeration value="Toolkit"/>
          <xsd:enumeration value="Written instruction"/>
        </xsd:restriction>
      </xsd:simpleType>
    </xsd:element>
    <xsd:element name="Document_x0020_description" ma:index="3" ma:displayName="Document description" ma:description="Summary description of document." ma:internalName="Document_x0020_description">
      <xsd:simpleType>
        <xsd:restriction base="dms:Note">
          <xsd:maxLength value="255"/>
        </xsd:restriction>
      </xsd:simpleType>
    </xsd:element>
    <xsd:element name="Programmes" ma:index="6" nillable="true" ma:displayName="Campaigns and Programmes" ma:internalName="Programmes">
      <xsd:complexType>
        <xsd:complexContent>
          <xsd:extension base="dms:MultiChoice">
            <xsd:sequence>
              <xsd:element name="Value" maxOccurs="unbounded" minOccurs="0" nillable="true">
                <xsd:simpleType>
                  <xsd:restriction base="dms:Choice">
                    <xsd:enumeration value="Annual and Hidden Gems"/>
                    <xsd:enumeration value="Care Act"/>
                    <xsd:enumeration value="Care Programme Approach"/>
                    <xsd:enumeration value="The Challenge"/>
                    <xsd:enumeration value="Getting It Right First Time"/>
                    <xsd:enumeration value="Going Green for 2015"/>
                    <xsd:enumeration value="Kung-Flu Fighting"/>
                    <xsd:enumeration value="More Time For Care"/>
                    <xsd:enumeration value="Nurse Revalidation"/>
                    <xsd:enumeration value="Occupational Health &amp; Wellbeing Service Pilot"/>
                    <xsd:enumeration value="Smoking Cessation"/>
                  </xsd:restriction>
                </xsd:simpleType>
              </xsd:element>
            </xsd:sequence>
          </xsd:extension>
        </xsd:complexContent>
      </xsd:complexType>
    </xsd:element>
    <xsd:element name="Professions" ma:index="7" nillable="true" ma:displayName="Professions" ma:internalName="Professions">
      <xsd:complexType>
        <xsd:complexContent>
          <xsd:extension base="dms:MultiChoice">
            <xsd:sequence>
              <xsd:element name="Value" maxOccurs="unbounded" minOccurs="0" nillable="true">
                <xsd:simpleType>
                  <xsd:restriction base="dms:Choice">
                    <xsd:enumeration value="Allied Health Professions"/>
                    <xsd:enumeration value="Arts Psychotherapies"/>
                    <xsd:enumeration value="Medical"/>
                    <xsd:enumeration value="Nursing"/>
                    <xsd:enumeration value="Occupational Therapy"/>
                    <xsd:enumeration value="Peer Support"/>
                    <xsd:enumeration value="Pharmacy"/>
                    <xsd:enumeration value="Psychology"/>
                    <xsd:enumeration value="Psychotherapy"/>
                    <xsd:enumeration value="Social Work"/>
                  </xsd:restriction>
                </xsd:simpleType>
              </xsd:element>
            </xsd:sequence>
          </xsd:extension>
        </xsd:complexContent>
      </xsd:complexType>
    </xsd:element>
    <xsd:element name="Clinical_x0020_Networks" ma:index="8" nillable="true" ma:displayName="Clinical Specialties &amp; Practice" ma:internalName="Clinical_x0020_Networks">
      <xsd:complexType>
        <xsd:complexContent>
          <xsd:extension base="dms:MultiChoice">
            <xsd:sequence>
              <xsd:element name="Value" maxOccurs="unbounded" minOccurs="0" nillable="true">
                <xsd:simpleType>
                  <xsd:restriction base="dms:Choice">
                    <xsd:enumeration value="Community health - adults"/>
                    <xsd:enumeration value="Community health- children"/>
                    <xsd:enumeration value="Mental health - acute"/>
                    <xsd:enumeration value="Mental health - older adults"/>
                    <xsd:enumeration value="Mental health - primary care"/>
                    <xsd:enumeration value="Mental health - psychological medicine"/>
                    <xsd:enumeration value="Mental health - urgent care"/>
                  </xsd:restriction>
                </xsd:simpleType>
              </xsd:element>
            </xsd:sequence>
          </xsd:extension>
        </xsd:complexContent>
      </xsd:complexType>
    </xsd:element>
    <xsd:element name="Staffside" ma:index="9" nillable="true" ma:displayName="Staffside" ma:internalName="Staffside">
      <xsd:complexType>
        <xsd:complexContent>
          <xsd:extension base="dms:MultiChoice">
            <xsd:sequence>
              <xsd:element name="Value" maxOccurs="unbounded" minOccurs="0" nillable="true">
                <xsd:simpleType>
                  <xsd:restriction base="dms:Choice">
                    <xsd:enumeration value="Staffside"/>
                  </xsd:restriction>
                </xsd:simpleType>
              </xsd:element>
            </xsd:sequence>
          </xsd:extension>
        </xsd:complexContent>
      </xsd:complexType>
    </xsd:element>
    <xsd:element name="Review_x0020_date" ma:index="10" ma:displayName="Review date" ma:format="DateOnly" ma:indexed="true" ma:internalName="Review_x0020_date">
      <xsd:simpleType>
        <xsd:restriction base="dms:DateTime"/>
      </xsd:simpleType>
    </xsd:element>
    <xsd:element name="TaxCatchAllLabel" ma:index="11" nillable="true" ma:displayName="Taxonomy Catch All Column1" ma:hidden="true" ma:list="{0fb44cf2-5611-48b2-ba74-f7fdeb92b687}" ma:internalName="TaxCatchAllLabel" ma:readOnly="true" ma:showField="CatchAllDataLabel" ma:web="d55a2aa7-1f63-4be8-a81a-1181d5d8da85">
      <xsd:complexType>
        <xsd:complexContent>
          <xsd:extension base="dms:MultiChoiceLookup">
            <xsd:sequence>
              <xsd:element name="Value" type="dms:Lookup" maxOccurs="unbounded" minOccurs="0" nillable="true"/>
            </xsd:sequence>
          </xsd:extension>
        </xsd:complexContent>
      </xsd:complexType>
    </xsd:element>
    <xsd:element name="g46565d3122d4456818985e8048aeb88" ma:index="16" nillable="true" ma:taxonomy="true" ma:internalName="g46565d3122d4456818985e8048aeb88" ma:taxonomyFieldName="Service1" ma:displayName="Service" ma:default="" ma:fieldId="{046565d3-122d-4456-8189-85e8048aeb88}" ma:taxonomyMulti="true" ma:sspId="68b78ba7-c80a-4cf5-885d-38c930f97c7f" ma:termSetId="78037eef-cf8a-487e-a510-f54848274eba"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0fb44cf2-5611-48b2-ba74-f7fdeb92b687}" ma:internalName="TaxCatchAll" ma:showField="CatchAllData" ma:web="d55a2aa7-1f63-4be8-a81a-1181d5d8da85">
      <xsd:complexType>
        <xsd:complexContent>
          <xsd:extension base="dms:MultiChoiceLookup">
            <xsd:sequence>
              <xsd:element name="Value" type="dms:Lookup" maxOccurs="unbounded" minOccurs="0" nillable="true"/>
            </xsd:sequence>
          </xsd:extension>
        </xsd:complexContent>
      </xsd:complexType>
    </xsd:element>
    <xsd:element name="TaxKeywordTaxHTField" ma:index="21"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c15e5c2c07574216bb5a58a25cf1972a" ma:index="22" nillable="true" ma:taxonomy="true" ma:internalName="c15e5c2c07574216bb5a58a25cf1972a" ma:taxonomyFieldName="CNWLDepartment" ma:displayName="CNWLDepartment" ma:default="" ma:fieldId="{c15e5c2c-0757-4216-bb5a-58a25cf1972a}" ma:taxonomyMulti="true" ma:sspId="68b78ba7-c80a-4cf5-885d-38c930f97c7f" ma:termSetId="976a3b27-16a8-4e2b-adc2-c8da86f97e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fe66f9f-afaa-41ac-9494-6b55b285a732" elementFormDefault="qualified">
    <xsd:import namespace="http://schemas.microsoft.com/office/2006/documentManagement/types"/>
    <xsd:import namespace="http://schemas.microsoft.com/office/infopath/2007/PartnerControls"/>
    <xsd:element name="Document_x0020_owner" ma:index="23" ma:displayName="Document owner" ma:list="UserInfo" ma:SearchPeopleOnly="false"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d55a2aa7-1f63-4be8-a81a-1181d5d8da85">Colour letterhead template.</Document_x0020_description>
    <Staffside xmlns="d55a2aa7-1f63-4be8-a81a-1181d5d8da85"/>
    <Clinical_x0020_Networks xmlns="d55a2aa7-1f63-4be8-a81a-1181d5d8da85"/>
    <TaxCatchAll xmlns="d55a2aa7-1f63-4be8-a81a-1181d5d8da85">
      <Value>33</Value>
      <Value>1251</Value>
      <Value>2164</Value>
    </TaxCatchAll>
    <g46565d3122d4456818985e8048aeb88 xmlns="d55a2aa7-1f63-4be8-a81a-1181d5d8da85">
      <Terms xmlns="http://schemas.microsoft.com/office/infopath/2007/PartnerControls"/>
    </g46565d3122d4456818985e8048aeb88>
    <Document_x0020_owner xmlns="1fe66f9f-afaa-41ac-9494-6b55b285a732">
      <UserInfo>
        <DisplayName/>
        <AccountId>36</AccountId>
        <AccountType/>
      </UserInfo>
    </Document_x0020_owner>
    <Document_x0020_Type xmlns="d55a2aa7-1f63-4be8-a81a-1181d5d8da85">Toolkit</Document_x0020_Type>
    <c15e5c2c07574216bb5a58a25cf1972a xmlns="d55a2aa7-1f63-4be8-a81a-1181d5d8da8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d8475214-2b6e-4a09-a4e8-76152dd0ef3b</TermId>
        </TermInfo>
      </Terms>
    </c15e5c2c07574216bb5a58a25cf1972a>
    <Review_x0020_date xmlns="d55a2aa7-1f63-4be8-a81a-1181d5d8da85">2015-11-25T00:00:00+00:00</Review_x0020_date>
    <Programmes xmlns="d55a2aa7-1f63-4be8-a81a-1181d5d8da85"/>
    <Professions xmlns="d55a2aa7-1f63-4be8-a81a-1181d5d8da85"/>
    <TaxKeywordTaxHTField xmlns="d55a2aa7-1f63-4be8-a81a-1181d5d8da85">
      <Terms xmlns="http://schemas.microsoft.com/office/infopath/2007/PartnerControls">
        <TermInfo xmlns="http://schemas.microsoft.com/office/infopath/2007/PartnerControls">
          <TermName xmlns="http://schemas.microsoft.com/office/infopath/2007/PartnerControls">letterhead</TermName>
          <TermId xmlns="http://schemas.microsoft.com/office/infopath/2007/PartnerControls">63bf6cbc-b917-492b-9dc5-7db52dc7acdf</TermId>
        </TermInfo>
        <TermInfo xmlns="http://schemas.microsoft.com/office/infopath/2007/PartnerControls">
          <TermName xmlns="http://schemas.microsoft.com/office/infopath/2007/PartnerControls">Template</TermName>
          <TermId xmlns="http://schemas.microsoft.com/office/infopath/2007/PartnerControls">3b857d4e-b62c-49ef-9bc4-0d4aa0e4e13c</TermId>
        </TermInfo>
      </Terms>
    </TaxKeywordTaxHTField>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694BFE-6B1D-42AB-B97B-FB706391C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a2aa7-1f63-4be8-a81a-1181d5d8da85"/>
    <ds:schemaRef ds:uri="1fe66f9f-afaa-41ac-9494-6b55b285a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6CC55A-DCFA-41CD-AC17-5078F45E0BE8}">
  <ds:schemaRefs>
    <ds:schemaRef ds:uri="http://www.w3.org/XML/1998/namespace"/>
    <ds:schemaRef ds:uri="http://purl.org/dc/terms/"/>
    <ds:schemaRef ds:uri="http://schemas.microsoft.com/office/2006/documentManagement/types"/>
    <ds:schemaRef ds:uri="1fe66f9f-afaa-41ac-9494-6b55b285a732"/>
    <ds:schemaRef ds:uri="http://purl.org/dc/elements/1.1/"/>
    <ds:schemaRef ds:uri="http://purl.org/dc/dcmitype/"/>
    <ds:schemaRef ds:uri="http://schemas.openxmlformats.org/package/2006/metadata/core-properties"/>
    <ds:schemaRef ds:uri="http://schemas.microsoft.com/office/infopath/2007/PartnerControls"/>
    <ds:schemaRef ds:uri="d55a2aa7-1f63-4be8-a81a-1181d5d8da85"/>
    <ds:schemaRef ds:uri="http://schemas.microsoft.com/office/2006/metadata/properties"/>
  </ds:schemaRefs>
</ds:datastoreItem>
</file>

<file path=customXml/itemProps3.xml><?xml version="1.0" encoding="utf-8"?>
<ds:datastoreItem xmlns:ds="http://schemas.openxmlformats.org/officeDocument/2006/customXml" ds:itemID="{BA4E5254-E8CC-4DF3-96CC-9ED1B1200A2C}">
  <ds:schemaRefs>
    <ds:schemaRef ds:uri="http://schemas.microsoft.com/office/2006/metadata/longProperties"/>
  </ds:schemaRefs>
</ds:datastoreItem>
</file>

<file path=customXml/itemProps4.xml><?xml version="1.0" encoding="utf-8"?>
<ds:datastoreItem xmlns:ds="http://schemas.openxmlformats.org/officeDocument/2006/customXml" ds:itemID="{9CED0DD5-0A38-46C2-805A-EAD64450B4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Letterhead template colour</vt:lpstr>
    </vt:vector>
  </TitlesOfParts>
  <Company>CNWL</Company>
  <LinksUpToDate>false</LinksUpToDate>
  <CharactersWithSpaces>8204</CharactersWithSpaces>
  <SharedDoc>false</SharedDoc>
  <HLinks>
    <vt:vector size="12" baseType="variant">
      <vt:variant>
        <vt:i4>3932218</vt:i4>
      </vt:variant>
      <vt:variant>
        <vt:i4>0</vt:i4>
      </vt:variant>
      <vt:variant>
        <vt:i4>0</vt:i4>
      </vt:variant>
      <vt:variant>
        <vt:i4>5</vt:i4>
      </vt:variant>
      <vt:variant>
        <vt:lpwstr>http://www.cnwl.nhs.uk</vt:lpwstr>
      </vt:variant>
      <vt:variant>
        <vt:lpwstr/>
      </vt:variant>
      <vt:variant>
        <vt:i4>720971</vt:i4>
      </vt:variant>
      <vt:variant>
        <vt:i4>-1</vt:i4>
      </vt:variant>
      <vt:variant>
        <vt:i4>2059</vt:i4>
      </vt:variant>
      <vt:variant>
        <vt:i4>1</vt:i4>
      </vt:variant>
      <vt:variant>
        <vt:lpwstr>CORP_A4_WordDoc_Template2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template colour</dc:title>
  <dc:creator>Any</dc:creator>
  <cp:keywords>Template; letterhead</cp:keywords>
  <cp:lastModifiedBy>SINAGA-HENESS, Nigel (CENTRAL AND NORTH WEST LONDON NHS FOUNDATION TRUST)</cp:lastModifiedBy>
  <cp:revision>21</cp:revision>
  <dcterms:created xsi:type="dcterms:W3CDTF">2020-01-03T09:23:00Z</dcterms:created>
  <dcterms:modified xsi:type="dcterms:W3CDTF">2021-04-30T11:43:00Z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2164;#letterhead|63bf6cbc-b917-492b-9dc5-7db52dc7acdf;#1251;#Template|3b857d4e-b62c-49ef-9bc4-0d4aa0e4e13c</vt:lpwstr>
  </property>
  <property fmtid="{D5CDD505-2E9C-101B-9397-08002B2CF9AE}" pid="3" name="display_urn:schemas-microsoft-com:office:office#Document_x0020_owner">
    <vt:lpwstr>Communications Team</vt:lpwstr>
  </property>
  <property fmtid="{D5CDD505-2E9C-101B-9397-08002B2CF9AE}" pid="4" name="CNWLDepartment">
    <vt:lpwstr>33;#Communications|d8475214-2b6e-4a09-a4e8-76152dd0ef3b</vt:lpwstr>
  </property>
  <property fmtid="{D5CDD505-2E9C-101B-9397-08002B2CF9AE}" pid="5" name="Service1">
    <vt:lpwstr/>
  </property>
</Properties>
</file>