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IntArrayWorkerTester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hyperlink r:id="rId18">
        <w:r w:rsidDel="00000000" w:rsidR="00000000" w:rsidRPr="00000000">
          <w:rPr>
            <w:rtl w:val="0"/>
          </w:rPr>
        </w:r>
      </w:hyperlink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getColTotal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testFillPattern1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fillPattern1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testGetTotal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getTotal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testGetTotalNested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getTotalNested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testSetMatrix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test setMatrix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IntArrayWorkerTester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IntArrayWorkerTester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Method Detail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getColTotal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testFillPattern1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testFillPattern1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fillPattern1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testGetTotal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testGetTotal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getTotal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testGetTotalNested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testGetTotalNested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getTotalNested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testSetMatrix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testSetMatrix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test setMatrix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1ksv4uv" w:id="15"/>
            <w:bookmarkEnd w:id="15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44sinio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IntArrayWorkerTester.html#main(java.lang.String[])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IntArrayWorkerTester.html#testFillPattern1()" TargetMode="External"/><Relationship Id="rId44" Type="http://schemas.openxmlformats.org/officeDocument/2006/relationships/hyperlink" Target="http://docs.google.com/Picture.html" TargetMode="External"/><Relationship Id="rId21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docs.google.com/IntArrayWorker.html" TargetMode="External"/><Relationship Id="rId24" Type="http://schemas.openxmlformats.org/officeDocument/2006/relationships/hyperlink" Target="http://docs.google.com/IntArrayWorkerTester.html#testGetTotalNested()" TargetMode="External"/><Relationship Id="rId46" Type="http://schemas.openxmlformats.org/officeDocument/2006/relationships/hyperlink" Target="http://docs.google.com/IntArrayWorkerTester.html" TargetMode="External"/><Relationship Id="rId23" Type="http://schemas.openxmlformats.org/officeDocument/2006/relationships/hyperlink" Target="http://docs.google.com/IntArrayWorkerTester.html#testGetTotal()" TargetMode="External"/><Relationship Id="rId45" Type="http://schemas.openxmlformats.org/officeDocument/2006/relationships/hyperlink" Target="http://docs.google.com/index.html?IntArrayWorkerTest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tArrayWorker.html" TargetMode="External"/><Relationship Id="rId26" Type="http://schemas.openxmlformats.org/officeDocument/2006/relationships/hyperlink" Target="http://java.sun.com/j2se/1.5/docs/api/java/lang/Object.html" TargetMode="External"/><Relationship Id="rId48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IntArrayWorkerTester.html#testSetMatrix(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java.sun.com/j2se/1.5/docs/api/java/lang/Object.html#equals(java.lang.Object)" TargetMode="External"/><Relationship Id="rId27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java.sun.com/j2se/1.5/docs/api/java/lang/Object.html#finalize()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Object.html#hashCode()" TargetMode="External"/><Relationship Id="rId30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index.html?IntArrayWorkerTester.html" TargetMode="External"/><Relationship Id="rId33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Picture.html" TargetMode="External"/><Relationship Id="rId32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java.sun.com/j2se/1.5/docs/api/java/lang/Object.html#wait()" TargetMode="External"/><Relationship Id="rId12" Type="http://schemas.openxmlformats.org/officeDocument/2006/relationships/hyperlink" Target="http://docs.google.com/IntArrayWorkerTester.html" TargetMode="External"/><Relationship Id="rId34" Type="http://schemas.openxmlformats.org/officeDocument/2006/relationships/hyperlink" Target="http://java.sun.com/j2se/1.5/docs/api/java/lang/Object.html#toString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Object.html#wait(long,%20int)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java.sun.com/j2se/1.5/docs/api/java/lang/Object.html" TargetMode="External"/><Relationship Id="rId38" Type="http://schemas.openxmlformats.org/officeDocument/2006/relationships/hyperlink" Target="http://java.sun.com/j2se/1.5/docs/api/java/lang/String.html" TargetMode="External"/><Relationship Id="rId19" Type="http://schemas.openxmlformats.org/officeDocument/2006/relationships/hyperlink" Target="http://docs.google.com/IntArrayWorkerTester.html#IntArrayWorkerTester()" TargetMode="External"/><Relationship Id="rId18" Type="http://schemas.openxmlformats.org/officeDocument/2006/relationships/hyperlink" Target="http://java.sun.com/j2se/1.5/docs/api/java/lang/Object.html" TargetMode="External"/></Relationships>
</file>