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MStitle"/>
        <w:spacing w:before="360" w:after="0"/>
        <w:contextualSpacing/>
        <w:rPr/>
      </w:pPr>
      <w:r>
        <w:rPr>
          <w:b w:val="false"/>
          <w:bCs w:val="false"/>
          <w:i/>
          <w:iCs/>
        </w:rPr>
        <w:t>Supplement of</w:t>
      </w:r>
      <w:r>
        <w:rPr/>
        <w:t xml:space="preserve"> </w:t>
      </w:r>
    </w:p>
    <w:p>
      <w:pPr>
        <w:pStyle w:val="MStitle"/>
        <w:rPr/>
      </w:pPr>
      <w:r>
        <w:rPr/>
      </w:r>
    </w:p>
    <w:p>
      <w:pPr>
        <w:pStyle w:val="MStitle"/>
        <w:rPr/>
      </w:pPr>
      <w:r>
        <w:rPr/>
        <w:t>Global transpiration data from sap flow measurements: the SAPFLUXNET database</w:t>
      </w:r>
    </w:p>
    <w:p>
      <w:pPr>
        <w:pStyle w:val="Authors"/>
        <w:rPr>
          <w:b/>
          <w:b/>
          <w:bCs/>
        </w:rPr>
      </w:pPr>
      <w:r>
        <w:rPr>
          <w:rFonts w:eastAsia="Cambria" w:cs="" w:cstheme="minorBidi" w:eastAsiaTheme="minorHAnsi"/>
          <w:b/>
          <w:bCs/>
          <w:color w:val="auto"/>
          <w:kern w:val="0"/>
          <w:sz w:val="24"/>
          <w:szCs w:val="24"/>
          <w:lang w:val="en-US" w:eastAsia="en-US" w:bidi="ar-SA"/>
        </w:rPr>
        <w:t xml:space="preserve">Rafael Poyatos </w:t>
      </w:r>
      <w:r>
        <w:rPr>
          <w:rFonts w:eastAsia="Cambria" w:cs="" w:cstheme="minorBidi" w:eastAsiaTheme="minorHAnsi"/>
          <w:b/>
          <w:bCs/>
          <w:i/>
          <w:iCs/>
          <w:color w:val="auto"/>
          <w:kern w:val="0"/>
          <w:sz w:val="24"/>
          <w:szCs w:val="24"/>
          <w:lang w:val="en-US" w:eastAsia="en-US" w:bidi="ar-SA"/>
        </w:rPr>
        <w:t>et al.</w:t>
      </w:r>
      <w:r>
        <w:rPr>
          <w:rFonts w:eastAsia="Cambria" w:cs="" w:cstheme="minorBidi" w:eastAsiaTheme="minorHAnsi"/>
          <w:b/>
          <w:bCs/>
          <w:i/>
          <w:iCs/>
          <w:color w:val="auto"/>
          <w:kern w:val="0"/>
          <w:sz w:val="24"/>
          <w:szCs w:val="24"/>
          <w:vertAlign w:val="superscript"/>
          <w:lang w:val="en-US" w:eastAsia="en-US" w:bidi="ar-SA"/>
        </w:rPr>
        <w:t xml:space="preserve"> </w:t>
      </w:r>
    </w:p>
    <w:p>
      <w:pPr>
        <w:pStyle w:val="Affiliation"/>
        <w:rPr/>
      </w:pPr>
      <w:r>
        <w:rPr/>
      </w:r>
    </w:p>
    <w:p>
      <w:pPr>
        <w:pStyle w:val="Correspondence"/>
        <w:rPr/>
      </w:pPr>
      <w:r>
        <w:rPr>
          <w:rFonts w:ascii="Times New Roman" w:hAnsi="Times New Roman"/>
          <w:i/>
        </w:rPr>
        <w:t>Correspondence to</w:t>
      </w:r>
      <w:r>
        <w:rPr>
          <w:rFonts w:ascii="Times New Roman" w:hAnsi="Times New Roman"/>
        </w:rPr>
        <w:t xml:space="preserve">: </w:t>
      </w:r>
      <w:r>
        <w:rPr>
          <w:rFonts w:eastAsia="Cambria" w:cs="" w:ascii="Times New Roman" w:hAnsi="Times New Roman" w:cstheme="minorBidi" w:eastAsiaTheme="minorHAnsi"/>
          <w:color w:val="auto"/>
          <w:kern w:val="0"/>
          <w:sz w:val="24"/>
          <w:szCs w:val="24"/>
          <w:lang w:val="en-US" w:eastAsia="en-US" w:bidi="ar-SA"/>
        </w:rPr>
        <w:t>Rafael Poyatos</w:t>
      </w:r>
      <w:r>
        <w:rPr>
          <w:rFonts w:ascii="Times New Roman" w:hAnsi="Times New Roman"/>
        </w:rPr>
        <w:t xml:space="preserve"> (r.poyatos@creaf.uab.cat)</w:t>
      </w:r>
    </w:p>
    <w:p>
      <w:pPr>
        <w:pStyle w:val="Titular"/>
        <w:rPr>
          <w:rFonts w:ascii="Times New Roman" w:hAnsi="Times New Roman"/>
        </w:rPr>
      </w:pPr>
      <w:r>
        <w:rPr>
          <w:rFonts w:ascii="Times New Roman" w:hAnsi="Times New Roman"/>
        </w:rPr>
      </w:r>
    </w:p>
    <w:p>
      <w:pPr>
        <w:pStyle w:val="Ttulo2"/>
        <w:rPr>
          <w:rFonts w:ascii="Times New Roman" w:hAnsi="Times New Roman"/>
        </w:rPr>
      </w:pPr>
      <w:r>
        <w:rPr>
          <w:rFonts w:ascii="Times New Roman" w:hAnsi="Times New Roman"/>
        </w:rPr>
      </w:r>
      <w:r>
        <w:br w:type="page"/>
      </w:r>
    </w:p>
    <w:p>
      <w:pPr>
        <w:pStyle w:val="Ttulo2"/>
        <w:rPr>
          <w:rFonts w:ascii="Times New Roman" w:hAnsi="Times New Roman"/>
          <w:sz w:val="24"/>
          <w:szCs w:val="24"/>
        </w:rPr>
      </w:pPr>
      <w:bookmarkStart w:id="0" w:name="table-captions"/>
      <w:r>
        <w:rPr>
          <w:rFonts w:ascii="Times New Roman" w:hAnsi="Times New Roman"/>
          <w:sz w:val="24"/>
          <w:szCs w:val="24"/>
        </w:rPr>
        <w:t>Table</w:t>
      </w:r>
      <w:bookmarkEnd w:id="0"/>
      <w:r>
        <w:rPr>
          <w:rFonts w:ascii="Times New Roman" w:hAnsi="Times New Roman"/>
          <w:sz w:val="24"/>
          <w:szCs w:val="24"/>
        </w:rPr>
        <w:t>s</w:t>
      </w:r>
    </w:p>
    <w:p>
      <w:pPr>
        <w:pStyle w:val="Cuerpodetexto"/>
        <w:rPr>
          <w:rFonts w:ascii="Times New Roman" w:hAnsi="Times New Roman"/>
        </w:rPr>
      </w:pPr>
      <w:r>
        <w:rPr>
          <w:rFonts w:ascii="Times New Roman" w:hAnsi="Times New Roman"/>
        </w:rPr>
      </w:r>
    </w:p>
    <w:p>
      <w:pPr>
        <w:pStyle w:val="FirstParagraph"/>
        <w:rPr>
          <w:rFonts w:ascii="Times New Roman" w:hAnsi="Times New Roman"/>
        </w:rPr>
      </w:pPr>
      <w:r>
        <w:rPr>
          <w:rFonts w:ascii="Times New Roman" w:hAnsi="Times New Roman"/>
          <w:b/>
        </w:rPr>
        <w:t>Table S1</w:t>
      </w:r>
      <w:r>
        <w:rPr>
          <w:rFonts w:ascii="Times New Roman" w:hAnsi="Times New Roman"/>
        </w:rPr>
        <w:t xml:space="preserve"> Data checks implemented in the first level of data quality control (QC1).</w:t>
      </w:r>
    </w:p>
    <w:tbl>
      <w:tblPr>
        <w:tblW w:w="9792" w:type="dxa"/>
        <w:jc w:val="center"/>
        <w:tblInd w:w="0" w:type="dxa"/>
        <w:tblCellMar>
          <w:top w:w="0" w:type="dxa"/>
          <w:left w:w="0" w:type="dxa"/>
          <w:bottom w:w="0" w:type="dxa"/>
          <w:right w:w="0" w:type="dxa"/>
        </w:tblCellMar>
        <w:tblLook w:noHBand="0" w:noVBand="1" w:firstColumn="0" w:lastRow="0" w:lastColumn="0" w:firstRow="1"/>
      </w:tblPr>
      <w:tblGrid>
        <w:gridCol w:w="2589"/>
        <w:gridCol w:w="7202"/>
      </w:tblGrid>
      <w:tr>
        <w:trPr>
          <w:tblHeader w:val="true"/>
          <w:cantSplit w:val="true"/>
        </w:trPr>
        <w:tc>
          <w:tcPr>
            <w:tcW w:w="2589" w:type="dxa"/>
            <w:tcBorders>
              <w:top w:val="single" w:sz="16" w:space="0" w:color="000000"/>
              <w:bottom w:val="single" w:sz="16" w:space="0" w:color="000000"/>
            </w:tcBorders>
            <w:shd w:color="auto" w:fill="FFFFFF" w:val="clear"/>
            <w:vAlign w:val="center"/>
          </w:tcPr>
          <w:p>
            <w:pPr>
              <w:pStyle w:val="Normal"/>
              <w:spacing w:lineRule="auto" w:line="240" w:before="40" w:after="40"/>
              <w:ind w:left="100" w:right="100" w:hanging="0"/>
              <w:jc w:val="left"/>
              <w:rPr>
                <w:rFonts w:ascii="Times New Roman" w:hAnsi="Times New Roman"/>
              </w:rPr>
            </w:pPr>
            <w:r>
              <w:rPr>
                <w:rFonts w:eastAsia="Arial" w:cs="Arial" w:ascii="Times New Roman" w:hAnsi="Times New Roman"/>
                <w:b/>
                <w:color w:val="111111"/>
                <w:sz w:val="22"/>
                <w:szCs w:val="22"/>
              </w:rPr>
              <w:t>Check</w:t>
            </w:r>
          </w:p>
        </w:tc>
        <w:tc>
          <w:tcPr>
            <w:tcW w:w="7202" w:type="dxa"/>
            <w:tcBorders>
              <w:top w:val="single" w:sz="16" w:space="0" w:color="000000"/>
              <w:bottom w:val="single" w:sz="16" w:space="0" w:color="000000"/>
            </w:tcBorders>
            <w:shd w:color="auto" w:fill="FFFFFF" w:val="clear"/>
            <w:vAlign w:val="center"/>
          </w:tcPr>
          <w:p>
            <w:pPr>
              <w:pStyle w:val="Normal"/>
              <w:spacing w:lineRule="auto" w:line="240" w:before="40" w:after="40"/>
              <w:ind w:left="100" w:right="100" w:hanging="0"/>
              <w:jc w:val="left"/>
              <w:rPr>
                <w:rFonts w:ascii="Times New Roman" w:hAnsi="Times New Roman"/>
              </w:rPr>
            </w:pPr>
            <w:r>
              <w:rPr>
                <w:rFonts w:eastAsia="Arial" w:cs="Arial" w:ascii="Times New Roman" w:hAnsi="Times New Roman"/>
                <w:b/>
                <w:color w:val="111111"/>
                <w:sz w:val="22"/>
                <w:szCs w:val="22"/>
              </w:rPr>
              <w:t>Description</w:t>
            </w:r>
          </w:p>
        </w:tc>
      </w:tr>
      <w:tr>
        <w:trPr>
          <w:cantSplit w:val="true"/>
        </w:trPr>
        <w:tc>
          <w:tcPr>
            <w:tcW w:w="2589" w:type="dxa"/>
            <w:tcBorders/>
            <w:shd w:color="auto" w:fill="FFFFFF" w:val="clear"/>
            <w:vAlign w:val="center"/>
          </w:tcPr>
          <w:p>
            <w:pPr>
              <w:pStyle w:val="Normal"/>
              <w:spacing w:lineRule="auto" w:line="240" w:before="40" w:after="40"/>
              <w:ind w:left="100" w:right="100" w:hanging="0"/>
              <w:jc w:val="right"/>
              <w:rPr>
                <w:rFonts w:ascii="Times New Roman" w:hAnsi="Times New Roman"/>
              </w:rPr>
            </w:pPr>
            <w:r>
              <w:rPr>
                <w:rFonts w:eastAsia="Arial" w:cs="Arial" w:ascii="Times New Roman" w:hAnsi="Times New Roman"/>
                <w:color w:val="111111"/>
                <w:sz w:val="20"/>
                <w:szCs w:val="20"/>
              </w:rPr>
              <w:t>Metadata variables</w:t>
            </w:r>
          </w:p>
        </w:tc>
        <w:tc>
          <w:tcPr>
            <w:tcW w:w="7202" w:type="dxa"/>
            <w:tcBorders/>
            <w:shd w:color="auto" w:fill="FFFFFF" w:val="clear"/>
            <w:vAlign w:val="center"/>
          </w:tcPr>
          <w:p>
            <w:pPr>
              <w:pStyle w:val="Normal"/>
              <w:spacing w:lineRule="auto" w:line="240" w:before="40" w:after="40"/>
              <w:ind w:left="100" w:right="100" w:hanging="0"/>
              <w:jc w:val="right"/>
              <w:rPr>
                <w:rFonts w:ascii="Times New Roman" w:hAnsi="Times New Roman"/>
              </w:rPr>
            </w:pPr>
            <w:r>
              <w:rPr>
                <w:rFonts w:eastAsia="Arial" w:cs="Arial" w:ascii="Times New Roman" w:hAnsi="Times New Roman"/>
                <w:color w:val="111111"/>
                <w:sz w:val="20"/>
                <w:szCs w:val="20"/>
              </w:rPr>
              <w:t>All metadata variables are checked for presence and expected class (numeric, character, logical…).</w:t>
            </w:r>
          </w:p>
        </w:tc>
      </w:tr>
      <w:tr>
        <w:trPr>
          <w:cantSplit w:val="true"/>
        </w:trPr>
        <w:tc>
          <w:tcPr>
            <w:tcW w:w="2589" w:type="dxa"/>
            <w:tcBorders/>
            <w:shd w:color="auto" w:fill="FFFFFF" w:val="clear"/>
            <w:vAlign w:val="center"/>
          </w:tcPr>
          <w:p>
            <w:pPr>
              <w:pStyle w:val="Normal"/>
              <w:spacing w:lineRule="auto" w:line="240" w:before="40" w:after="40"/>
              <w:ind w:left="100" w:right="100" w:hanging="0"/>
              <w:jc w:val="right"/>
              <w:rPr>
                <w:rFonts w:ascii="Times New Roman" w:hAnsi="Times New Roman"/>
              </w:rPr>
            </w:pPr>
            <w:r>
              <w:rPr>
                <w:rFonts w:eastAsia="Arial" w:cs="Arial" w:ascii="Times New Roman" w:hAnsi="Times New Roman"/>
                <w:color w:val="111111"/>
                <w:sz w:val="20"/>
                <w:szCs w:val="20"/>
              </w:rPr>
              <w:t>Character variables values</w:t>
            </w:r>
          </w:p>
        </w:tc>
        <w:tc>
          <w:tcPr>
            <w:tcW w:w="7202" w:type="dxa"/>
            <w:tcBorders/>
            <w:shd w:color="auto" w:fill="FFFFFF" w:val="clear"/>
            <w:vAlign w:val="center"/>
          </w:tcPr>
          <w:p>
            <w:pPr>
              <w:pStyle w:val="Normal"/>
              <w:spacing w:lineRule="auto" w:line="240" w:before="40" w:after="40"/>
              <w:ind w:left="100" w:right="100" w:hanging="0"/>
              <w:jc w:val="right"/>
              <w:rPr>
                <w:rFonts w:ascii="Times New Roman" w:hAnsi="Times New Roman"/>
              </w:rPr>
            </w:pPr>
            <w:r>
              <w:rPr>
                <w:rFonts w:eastAsia="Arial" w:cs="Arial" w:ascii="Times New Roman" w:hAnsi="Times New Roman"/>
                <w:color w:val="111111"/>
                <w:sz w:val="20"/>
                <w:szCs w:val="20"/>
              </w:rPr>
              <w:t xml:space="preserve">All metadata character variables are checked against the possible values (factor levels) for that variable, raising a warning if some value is </w:t>
            </w:r>
            <w:r>
              <w:rPr>
                <w:rFonts w:eastAsia="Arial" w:cs="Arial" w:ascii="Times New Roman" w:hAnsi="Times New Roman"/>
                <w:color w:val="111111"/>
                <w:kern w:val="0"/>
                <w:sz w:val="20"/>
                <w:szCs w:val="20"/>
                <w:lang w:val="en-US" w:eastAsia="en-US" w:bidi="ar-SA"/>
              </w:rPr>
              <w:t>un</w:t>
            </w:r>
            <w:r>
              <w:rPr>
                <w:rFonts w:eastAsia="Arial" w:cs="Arial" w:ascii="Times New Roman" w:hAnsi="Times New Roman"/>
                <w:color w:val="111111"/>
                <w:sz w:val="20"/>
                <w:szCs w:val="20"/>
              </w:rPr>
              <w:t>expected.</w:t>
            </w:r>
          </w:p>
        </w:tc>
      </w:tr>
      <w:tr>
        <w:trPr>
          <w:cantSplit w:val="true"/>
        </w:trPr>
        <w:tc>
          <w:tcPr>
            <w:tcW w:w="2589" w:type="dxa"/>
            <w:tcBorders/>
            <w:shd w:color="auto" w:fill="FFFFFF" w:val="clear"/>
            <w:vAlign w:val="center"/>
          </w:tcPr>
          <w:p>
            <w:pPr>
              <w:pStyle w:val="Normal"/>
              <w:spacing w:lineRule="auto" w:line="240" w:before="40" w:after="40"/>
              <w:ind w:left="100" w:right="100" w:hanging="0"/>
              <w:jc w:val="right"/>
              <w:rPr>
                <w:rFonts w:ascii="Times New Roman" w:hAnsi="Times New Roman"/>
              </w:rPr>
            </w:pPr>
            <w:r>
              <w:rPr>
                <w:rFonts w:eastAsia="Arial" w:cs="Arial" w:ascii="Times New Roman" w:hAnsi="Times New Roman"/>
                <w:color w:val="111111"/>
                <w:sz w:val="20"/>
                <w:szCs w:val="20"/>
              </w:rPr>
              <w:t>E-mail check</w:t>
            </w:r>
          </w:p>
        </w:tc>
        <w:tc>
          <w:tcPr>
            <w:tcW w:w="7202" w:type="dxa"/>
            <w:tcBorders/>
            <w:shd w:color="auto" w:fill="FFFFFF" w:val="clear"/>
            <w:vAlign w:val="center"/>
          </w:tcPr>
          <w:p>
            <w:pPr>
              <w:pStyle w:val="Normal"/>
              <w:spacing w:lineRule="auto" w:line="240" w:before="40" w:after="40"/>
              <w:ind w:left="100" w:right="100" w:hanging="0"/>
              <w:jc w:val="right"/>
              <w:rPr>
                <w:rFonts w:ascii="Times New Roman" w:hAnsi="Times New Roman"/>
              </w:rPr>
            </w:pPr>
            <w:r>
              <w:rPr>
                <w:rFonts w:eastAsia="Arial" w:cs="Arial" w:ascii="Times New Roman" w:hAnsi="Times New Roman"/>
                <w:color w:val="111111"/>
                <w:sz w:val="20"/>
                <w:szCs w:val="20"/>
              </w:rPr>
              <w:t>E-mail provided by contributors is checked for validity</w:t>
            </w:r>
          </w:p>
        </w:tc>
      </w:tr>
      <w:tr>
        <w:trPr>
          <w:cantSplit w:val="true"/>
        </w:trPr>
        <w:tc>
          <w:tcPr>
            <w:tcW w:w="2589" w:type="dxa"/>
            <w:tcBorders/>
            <w:shd w:color="auto" w:fill="FFFFFF" w:val="clear"/>
            <w:vAlign w:val="center"/>
          </w:tcPr>
          <w:p>
            <w:pPr>
              <w:pStyle w:val="Normal"/>
              <w:spacing w:lineRule="auto" w:line="240" w:before="40" w:after="40"/>
              <w:ind w:left="100" w:right="100" w:hanging="0"/>
              <w:jc w:val="right"/>
              <w:rPr>
                <w:rFonts w:ascii="Times New Roman" w:hAnsi="Times New Roman"/>
              </w:rPr>
            </w:pPr>
            <w:r>
              <w:rPr>
                <w:rFonts w:eastAsia="Arial" w:cs="Arial" w:ascii="Times New Roman" w:hAnsi="Times New Roman"/>
                <w:color w:val="111111"/>
                <w:sz w:val="20"/>
                <w:szCs w:val="20"/>
              </w:rPr>
              <w:t>Coordinates and biome</w:t>
            </w:r>
          </w:p>
        </w:tc>
        <w:tc>
          <w:tcPr>
            <w:tcW w:w="7202" w:type="dxa"/>
            <w:tcBorders/>
            <w:shd w:color="auto" w:fill="FFFFFF" w:val="clear"/>
            <w:vAlign w:val="center"/>
          </w:tcPr>
          <w:p>
            <w:pPr>
              <w:pStyle w:val="Normal"/>
              <w:spacing w:lineRule="auto" w:line="240" w:before="40" w:after="40"/>
              <w:ind w:left="100" w:right="100" w:hanging="0"/>
              <w:jc w:val="right"/>
              <w:rPr>
                <w:rFonts w:ascii="Times New Roman" w:hAnsi="Times New Roman"/>
              </w:rPr>
            </w:pPr>
            <w:r>
              <w:rPr>
                <w:rFonts w:eastAsia="Arial" w:cs="Arial" w:ascii="Times New Roman" w:hAnsi="Times New Roman"/>
                <w:color w:val="111111"/>
                <w:sz w:val="20"/>
                <w:szCs w:val="20"/>
              </w:rPr>
              <w:t xml:space="preserve">Site coordinates are checked for correctness (are they inside the specified country?) and fixed if needed and possible. </w:t>
            </w:r>
            <w:r>
              <w:rPr>
                <w:rFonts w:eastAsia="Arial" w:cs="Arial" w:ascii="Times New Roman" w:hAnsi="Times New Roman"/>
                <w:color w:val="111111"/>
                <w:kern w:val="0"/>
                <w:sz w:val="20"/>
                <w:szCs w:val="20"/>
                <w:lang w:val="en-US" w:eastAsia="en-US" w:bidi="ar-SA"/>
              </w:rPr>
              <w:t xml:space="preserve">Annual temperature and precipitation </w:t>
            </w:r>
            <w:r>
              <w:rPr>
                <w:rFonts w:eastAsia="Arial" w:cs="Arial" w:ascii="Times New Roman" w:hAnsi="Times New Roman"/>
                <w:color w:val="111111"/>
                <w:sz w:val="20"/>
                <w:szCs w:val="20"/>
              </w:rPr>
              <w:t xml:space="preserve">are obtained from </w:t>
            </w:r>
            <w:r>
              <w:rPr>
                <w:rFonts w:eastAsia="Arial" w:cs="Arial" w:ascii="Times New Roman" w:hAnsi="Times New Roman"/>
                <w:color w:val="111111"/>
                <w:kern w:val="0"/>
                <w:sz w:val="20"/>
                <w:szCs w:val="20"/>
                <w:lang w:val="en-US" w:eastAsia="en-US" w:bidi="ar-SA"/>
              </w:rPr>
              <w:t>these coordinates</w:t>
            </w:r>
            <w:r>
              <w:rPr>
                <w:rFonts w:eastAsia="Arial" w:cs="Arial" w:ascii="Times New Roman" w:hAnsi="Times New Roman"/>
                <w:color w:val="111111"/>
                <w:sz w:val="20"/>
                <w:szCs w:val="20"/>
              </w:rPr>
              <w:t xml:space="preserve"> and biome is estimated from these values.</w:t>
            </w:r>
          </w:p>
        </w:tc>
      </w:tr>
      <w:tr>
        <w:trPr>
          <w:cantSplit w:val="true"/>
        </w:trPr>
        <w:tc>
          <w:tcPr>
            <w:tcW w:w="2589" w:type="dxa"/>
            <w:tcBorders/>
            <w:shd w:color="auto" w:fill="FFFFFF" w:val="clear"/>
            <w:vAlign w:val="center"/>
          </w:tcPr>
          <w:p>
            <w:pPr>
              <w:pStyle w:val="Normal"/>
              <w:spacing w:lineRule="auto" w:line="240" w:before="40" w:after="40"/>
              <w:ind w:left="100" w:right="100" w:hanging="0"/>
              <w:jc w:val="right"/>
              <w:rPr>
                <w:rFonts w:ascii="Times New Roman" w:hAnsi="Times New Roman"/>
              </w:rPr>
            </w:pPr>
            <w:r>
              <w:rPr>
                <w:rFonts w:eastAsia="Arial" w:cs="Arial" w:ascii="Times New Roman" w:hAnsi="Times New Roman"/>
                <w:color w:val="111111"/>
                <w:sz w:val="20"/>
                <w:szCs w:val="20"/>
              </w:rPr>
              <w:t>Soil texture</w:t>
            </w:r>
          </w:p>
        </w:tc>
        <w:tc>
          <w:tcPr>
            <w:tcW w:w="7202" w:type="dxa"/>
            <w:tcBorders/>
            <w:shd w:color="auto" w:fill="FFFFFF" w:val="clear"/>
            <w:vAlign w:val="center"/>
          </w:tcPr>
          <w:p>
            <w:pPr>
              <w:pStyle w:val="Normal"/>
              <w:spacing w:lineRule="auto" w:line="240" w:before="40" w:after="40"/>
              <w:ind w:left="100" w:right="100" w:hanging="0"/>
              <w:jc w:val="right"/>
              <w:rPr>
                <w:rFonts w:ascii="Times New Roman" w:hAnsi="Times New Roman"/>
              </w:rPr>
            </w:pPr>
            <w:r>
              <w:rPr>
                <w:rFonts w:eastAsia="Arial" w:cs="Arial" w:ascii="Times New Roman" w:hAnsi="Times New Roman"/>
                <w:color w:val="111111"/>
                <w:sz w:val="20"/>
                <w:szCs w:val="20"/>
              </w:rPr>
              <w:t>Percentages of soil textures are used to calculate the USDA classification category.</w:t>
            </w:r>
          </w:p>
        </w:tc>
      </w:tr>
      <w:tr>
        <w:trPr>
          <w:cantSplit w:val="true"/>
        </w:trPr>
        <w:tc>
          <w:tcPr>
            <w:tcW w:w="2589" w:type="dxa"/>
            <w:tcBorders/>
            <w:shd w:color="auto" w:fill="FFFFFF" w:val="clear"/>
            <w:vAlign w:val="center"/>
          </w:tcPr>
          <w:p>
            <w:pPr>
              <w:pStyle w:val="Normal"/>
              <w:spacing w:lineRule="auto" w:line="240" w:before="40" w:after="40"/>
              <w:ind w:left="100" w:right="100" w:hanging="0"/>
              <w:jc w:val="right"/>
              <w:rPr>
                <w:rFonts w:ascii="Times New Roman" w:hAnsi="Times New Roman"/>
              </w:rPr>
            </w:pPr>
            <w:r>
              <w:rPr>
                <w:rFonts w:eastAsia="Arial" w:cs="Arial" w:ascii="Times New Roman" w:hAnsi="Times New Roman"/>
                <w:color w:val="111111"/>
                <w:sz w:val="20"/>
                <w:szCs w:val="20"/>
              </w:rPr>
              <w:t>Species names</w:t>
            </w:r>
          </w:p>
        </w:tc>
        <w:tc>
          <w:tcPr>
            <w:tcW w:w="7202" w:type="dxa"/>
            <w:tcBorders/>
            <w:shd w:color="auto" w:fill="FFFFFF" w:val="clear"/>
            <w:vAlign w:val="center"/>
          </w:tcPr>
          <w:p>
            <w:pPr>
              <w:pStyle w:val="Normal"/>
              <w:spacing w:lineRule="auto" w:line="240" w:before="40" w:after="40"/>
              <w:ind w:left="100" w:right="100" w:hanging="0"/>
              <w:jc w:val="right"/>
              <w:rPr>
                <w:rFonts w:ascii="Times New Roman" w:hAnsi="Times New Roman"/>
              </w:rPr>
            </w:pPr>
            <w:r>
              <w:rPr>
                <w:rFonts w:eastAsia="Arial" w:cs="Arial" w:ascii="Times New Roman" w:hAnsi="Times New Roman"/>
                <w:color w:val="111111"/>
                <w:sz w:val="20"/>
                <w:szCs w:val="20"/>
              </w:rPr>
              <w:t>Species names in plant and species metadata are checked for spelling errors and the concordance between both metadata variables is also checked</w:t>
            </w:r>
          </w:p>
        </w:tc>
      </w:tr>
      <w:tr>
        <w:trPr>
          <w:cantSplit w:val="true"/>
        </w:trPr>
        <w:tc>
          <w:tcPr>
            <w:tcW w:w="2589" w:type="dxa"/>
            <w:tcBorders/>
            <w:shd w:color="auto" w:fill="FFFFFF" w:val="clear"/>
            <w:vAlign w:val="center"/>
          </w:tcPr>
          <w:p>
            <w:pPr>
              <w:pStyle w:val="Normal"/>
              <w:spacing w:lineRule="auto" w:line="240" w:before="40" w:after="40"/>
              <w:ind w:left="100" w:right="100" w:hanging="0"/>
              <w:jc w:val="right"/>
              <w:rPr>
                <w:rFonts w:ascii="Times New Roman" w:hAnsi="Times New Roman"/>
              </w:rPr>
            </w:pPr>
            <w:r>
              <w:rPr>
                <w:rFonts w:eastAsia="Arial" w:cs="Arial" w:ascii="Times New Roman" w:hAnsi="Times New Roman"/>
                <w:color w:val="111111"/>
                <w:sz w:val="20"/>
                <w:szCs w:val="20"/>
              </w:rPr>
              <w:t>Plant treatments</w:t>
            </w:r>
          </w:p>
        </w:tc>
        <w:tc>
          <w:tcPr>
            <w:tcW w:w="7202" w:type="dxa"/>
            <w:tcBorders/>
            <w:shd w:color="auto" w:fill="FFFFFF" w:val="clear"/>
            <w:vAlign w:val="center"/>
          </w:tcPr>
          <w:p>
            <w:pPr>
              <w:pStyle w:val="Normal"/>
              <w:spacing w:lineRule="auto" w:line="240" w:before="40" w:after="40"/>
              <w:ind w:left="100" w:right="100" w:hanging="0"/>
              <w:jc w:val="right"/>
              <w:rPr>
                <w:rFonts w:ascii="Times New Roman" w:hAnsi="Times New Roman"/>
              </w:rPr>
            </w:pPr>
            <w:r>
              <w:rPr>
                <w:rFonts w:eastAsia="Arial" w:cs="Arial" w:ascii="Times New Roman" w:hAnsi="Times New Roman"/>
                <w:color w:val="111111"/>
                <w:sz w:val="20"/>
                <w:szCs w:val="20"/>
              </w:rPr>
              <w:t>Check for uniformity in the treatment declared by plant.</w:t>
            </w:r>
          </w:p>
        </w:tc>
      </w:tr>
      <w:tr>
        <w:trPr>
          <w:cantSplit w:val="true"/>
        </w:trPr>
        <w:tc>
          <w:tcPr>
            <w:tcW w:w="2589" w:type="dxa"/>
            <w:tcBorders/>
            <w:shd w:color="auto" w:fill="FFFFFF" w:val="clear"/>
            <w:vAlign w:val="center"/>
          </w:tcPr>
          <w:p>
            <w:pPr>
              <w:pStyle w:val="Normal"/>
              <w:spacing w:lineRule="auto" w:line="240" w:before="40" w:after="40"/>
              <w:ind w:left="100" w:right="100" w:hanging="0"/>
              <w:jc w:val="right"/>
              <w:rPr>
                <w:rFonts w:ascii="Times New Roman" w:hAnsi="Times New Roman"/>
              </w:rPr>
            </w:pPr>
            <w:r>
              <w:rPr>
                <w:rFonts w:eastAsia="Arial" w:cs="Arial" w:ascii="Times New Roman" w:hAnsi="Times New Roman"/>
                <w:color w:val="111111"/>
                <w:sz w:val="20"/>
                <w:szCs w:val="20"/>
              </w:rPr>
              <w:t>Environmental variables presence</w:t>
            </w:r>
          </w:p>
        </w:tc>
        <w:tc>
          <w:tcPr>
            <w:tcW w:w="7202" w:type="dxa"/>
            <w:tcBorders/>
            <w:shd w:color="auto" w:fill="FFFFFF" w:val="clear"/>
            <w:vAlign w:val="center"/>
          </w:tcPr>
          <w:p>
            <w:pPr>
              <w:pStyle w:val="Normal"/>
              <w:spacing w:lineRule="auto" w:line="240" w:before="40" w:after="40"/>
              <w:ind w:left="100" w:right="100" w:hanging="0"/>
              <w:jc w:val="right"/>
              <w:rPr>
                <w:rFonts w:ascii="Times New Roman" w:hAnsi="Times New Roman"/>
              </w:rPr>
            </w:pPr>
            <w:r>
              <w:rPr>
                <w:rFonts w:eastAsia="Arial" w:cs="Arial" w:ascii="Times New Roman" w:hAnsi="Times New Roman"/>
                <w:color w:val="111111"/>
                <w:sz w:val="20"/>
                <w:szCs w:val="20"/>
              </w:rPr>
              <w:t>Check for concordance between the declared variables in the environmental metadata and the environmental data.</w:t>
            </w:r>
          </w:p>
        </w:tc>
      </w:tr>
      <w:tr>
        <w:trPr>
          <w:cantSplit w:val="true"/>
        </w:trPr>
        <w:tc>
          <w:tcPr>
            <w:tcW w:w="2589" w:type="dxa"/>
            <w:tcBorders/>
            <w:shd w:color="auto" w:fill="FFFFFF" w:val="clear"/>
            <w:vAlign w:val="center"/>
          </w:tcPr>
          <w:p>
            <w:pPr>
              <w:pStyle w:val="Normal"/>
              <w:spacing w:lineRule="auto" w:line="240" w:before="40" w:after="40"/>
              <w:ind w:left="100" w:right="100" w:hanging="0"/>
              <w:jc w:val="right"/>
              <w:rPr>
                <w:rFonts w:ascii="Times New Roman" w:hAnsi="Times New Roman"/>
              </w:rPr>
            </w:pPr>
            <w:r>
              <w:rPr>
                <w:rFonts w:eastAsia="Arial" w:cs="Arial" w:ascii="Times New Roman" w:hAnsi="Times New Roman"/>
                <w:color w:val="111111"/>
                <w:sz w:val="20"/>
                <w:szCs w:val="20"/>
              </w:rPr>
              <w:t>Timestamp</w:t>
            </w:r>
          </w:p>
        </w:tc>
        <w:tc>
          <w:tcPr>
            <w:tcW w:w="7202" w:type="dxa"/>
            <w:tcBorders/>
            <w:shd w:color="auto" w:fill="FFFFFF" w:val="clear"/>
            <w:vAlign w:val="center"/>
          </w:tcPr>
          <w:p>
            <w:pPr>
              <w:pStyle w:val="Normal"/>
              <w:spacing w:lineRule="auto" w:line="240" w:before="40" w:after="40"/>
              <w:ind w:left="100" w:right="100" w:hanging="0"/>
              <w:jc w:val="right"/>
              <w:rPr>
                <w:rFonts w:ascii="Times New Roman" w:hAnsi="Times New Roman"/>
              </w:rPr>
            </w:pPr>
            <w:r>
              <w:rPr>
                <w:rFonts w:eastAsia="Arial" w:cs="Arial" w:ascii="Times New Roman" w:hAnsi="Times New Roman"/>
                <w:color w:val="111111"/>
                <w:sz w:val="20"/>
                <w:szCs w:val="20"/>
              </w:rPr>
              <w:t>Format, NA presence (there is data, but there is no timestamp), concordance and continuity are checked.</w:t>
            </w:r>
          </w:p>
        </w:tc>
      </w:tr>
      <w:tr>
        <w:trPr>
          <w:cantSplit w:val="true"/>
        </w:trPr>
        <w:tc>
          <w:tcPr>
            <w:tcW w:w="2589" w:type="dxa"/>
            <w:tcBorders/>
            <w:shd w:color="auto" w:fill="FFFFFF" w:val="clear"/>
            <w:vAlign w:val="center"/>
          </w:tcPr>
          <w:p>
            <w:pPr>
              <w:pStyle w:val="Normal"/>
              <w:spacing w:lineRule="auto" w:line="240" w:before="40" w:after="40"/>
              <w:ind w:left="100" w:right="100" w:hanging="0"/>
              <w:jc w:val="right"/>
              <w:rPr>
                <w:rFonts w:ascii="Times New Roman" w:hAnsi="Times New Roman"/>
              </w:rPr>
            </w:pPr>
            <w:r>
              <w:rPr>
                <w:rFonts w:eastAsia="Arial" w:cs="Arial" w:ascii="Times New Roman" w:hAnsi="Times New Roman"/>
                <w:color w:val="111111"/>
                <w:sz w:val="20"/>
                <w:szCs w:val="20"/>
              </w:rPr>
              <w:t>Gap presence:</w:t>
            </w:r>
          </w:p>
        </w:tc>
        <w:tc>
          <w:tcPr>
            <w:tcW w:w="7202" w:type="dxa"/>
            <w:tcBorders/>
            <w:shd w:color="auto" w:fill="FFFFFF" w:val="clear"/>
            <w:vAlign w:val="center"/>
          </w:tcPr>
          <w:p>
            <w:pPr>
              <w:pStyle w:val="Normal"/>
              <w:spacing w:lineRule="auto" w:line="240" w:before="40" w:after="40"/>
              <w:ind w:left="100" w:right="100" w:hanging="0"/>
              <w:jc w:val="right"/>
              <w:rPr>
                <w:rFonts w:ascii="Times New Roman" w:hAnsi="Times New Roman"/>
              </w:rPr>
            </w:pPr>
            <w:r>
              <w:rPr>
                <w:rFonts w:eastAsia="Arial" w:cs="Arial" w:ascii="Times New Roman" w:hAnsi="Times New Roman"/>
                <w:color w:val="111111"/>
                <w:sz w:val="20"/>
                <w:szCs w:val="20"/>
              </w:rPr>
              <w:t>Data gaps (There is TIMESTAMP but there is no data) are summarised and visualized.</w:t>
            </w:r>
          </w:p>
        </w:tc>
      </w:tr>
      <w:tr>
        <w:trPr>
          <w:cantSplit w:val="true"/>
        </w:trPr>
        <w:tc>
          <w:tcPr>
            <w:tcW w:w="2589" w:type="dxa"/>
            <w:tcBorders>
              <w:bottom w:val="single" w:sz="16" w:space="0" w:color="000000"/>
            </w:tcBorders>
            <w:shd w:color="auto" w:fill="FFFFFF" w:val="clear"/>
            <w:vAlign w:val="center"/>
          </w:tcPr>
          <w:p>
            <w:pPr>
              <w:pStyle w:val="Normal"/>
              <w:spacing w:lineRule="auto" w:line="240" w:before="40" w:after="40"/>
              <w:ind w:left="100" w:right="100" w:hanging="0"/>
              <w:jc w:val="right"/>
              <w:rPr>
                <w:rFonts w:ascii="Times New Roman" w:hAnsi="Times New Roman"/>
              </w:rPr>
            </w:pPr>
            <w:r>
              <w:rPr>
                <w:rFonts w:eastAsia="Arial" w:cs="Arial" w:ascii="Times New Roman" w:hAnsi="Times New Roman"/>
                <w:color w:val="111111"/>
                <w:sz w:val="20"/>
                <w:szCs w:val="20"/>
              </w:rPr>
              <w:t>Soil water content</w:t>
            </w:r>
          </w:p>
        </w:tc>
        <w:tc>
          <w:tcPr>
            <w:tcW w:w="7202" w:type="dxa"/>
            <w:tcBorders>
              <w:bottom w:val="single" w:sz="16" w:space="0" w:color="000000"/>
            </w:tcBorders>
            <w:shd w:color="auto" w:fill="FFFFFF" w:val="clear"/>
            <w:vAlign w:val="center"/>
          </w:tcPr>
          <w:p>
            <w:pPr>
              <w:pStyle w:val="Normal"/>
              <w:spacing w:lineRule="auto" w:line="240" w:before="40" w:after="40"/>
              <w:ind w:left="100" w:right="100" w:hanging="0"/>
              <w:jc w:val="right"/>
              <w:rPr>
                <w:rFonts w:ascii="Times New Roman" w:hAnsi="Times New Roman"/>
              </w:rPr>
            </w:pPr>
            <w:r>
              <w:rPr>
                <w:rFonts w:eastAsia="Arial" w:cs="Arial" w:ascii="Times New Roman" w:hAnsi="Times New Roman"/>
                <w:color w:val="111111"/>
                <w:sz w:val="20"/>
                <w:szCs w:val="20"/>
              </w:rPr>
              <w:t xml:space="preserve">Check for percentage </w:t>
            </w:r>
            <w:r>
              <w:rPr>
                <w:rFonts w:eastAsia="Arial" w:cs="Arial" w:ascii="Times New Roman" w:hAnsi="Times New Roman"/>
                <w:color w:val="111111"/>
                <w:kern w:val="0"/>
                <w:sz w:val="20"/>
                <w:szCs w:val="20"/>
                <w:lang w:val="en-US" w:eastAsia="en-US" w:bidi="ar-SA"/>
              </w:rPr>
              <w:t xml:space="preserve">soil water content </w:t>
            </w:r>
            <w:r>
              <w:rPr>
                <w:rFonts w:eastAsia="Arial" w:cs="Arial" w:ascii="Times New Roman" w:hAnsi="Times New Roman"/>
                <w:color w:val="111111"/>
                <w:sz w:val="20"/>
                <w:szCs w:val="20"/>
              </w:rPr>
              <w:t>values and transform them to cm</w:t>
            </w:r>
            <w:r>
              <w:rPr>
                <w:rFonts w:eastAsia="Arial" w:cs="Arial" w:ascii="Times New Roman" w:hAnsi="Times New Roman"/>
                <w:color w:val="111111"/>
                <w:sz w:val="20"/>
                <w:szCs w:val="20"/>
                <w:vertAlign w:val="superscript"/>
              </w:rPr>
              <w:t>3</w:t>
            </w:r>
            <w:r>
              <w:rPr>
                <w:rFonts w:eastAsia="Arial" w:cs="Arial" w:ascii="Times New Roman" w:hAnsi="Times New Roman"/>
                <w:color w:val="111111"/>
                <w:sz w:val="20"/>
                <w:szCs w:val="20"/>
              </w:rPr>
              <w:t>/cm</w:t>
            </w:r>
            <w:r>
              <w:rPr>
                <w:rFonts w:eastAsia="Arial" w:cs="Arial" w:ascii="Times New Roman" w:hAnsi="Times New Roman"/>
                <w:color w:val="111111"/>
                <w:sz w:val="20"/>
                <w:szCs w:val="20"/>
                <w:vertAlign w:val="superscript"/>
              </w:rPr>
              <w:t>3</w:t>
            </w:r>
          </w:p>
        </w:tc>
      </w:tr>
    </w:tbl>
    <w:p>
      <w:pPr>
        <w:pStyle w:val="Normal"/>
        <w:rPr>
          <w:b/>
          <w:b/>
        </w:rPr>
      </w:pPr>
      <w:r>
        <w:rPr>
          <w:b/>
        </w:rPr>
      </w:r>
    </w:p>
    <w:p>
      <w:pPr>
        <w:pStyle w:val="Cuerpodetexto"/>
        <w:rPr>
          <w:b/>
          <w:b/>
        </w:rPr>
      </w:pPr>
      <w:r>
        <w:rPr>
          <w:b/>
        </w:rPr>
      </w:r>
    </w:p>
    <w:p>
      <w:pPr>
        <w:pStyle w:val="Cuerpodetexto"/>
        <w:rPr>
          <w:b/>
          <w:b/>
        </w:rPr>
      </w:pPr>
      <w:r>
        <w:rPr>
          <w:b/>
        </w:rPr>
      </w:r>
      <w:r>
        <w:br w:type="page"/>
      </w:r>
    </w:p>
    <w:p>
      <w:pPr>
        <w:pStyle w:val="Cuerpodetexto"/>
        <w:rPr>
          <w:rFonts w:ascii="Times New Roman" w:hAnsi="Times New Roman"/>
        </w:rPr>
      </w:pPr>
      <w:r>
        <w:rPr>
          <w:rFonts w:ascii="Times New Roman" w:hAnsi="Times New Roman"/>
          <w:b/>
        </w:rPr>
        <w:t>Table S2.</w:t>
      </w:r>
      <w:r>
        <w:rPr>
          <w:rFonts w:ascii="Times New Roman" w:hAnsi="Times New Roman"/>
        </w:rPr>
        <w:t xml:space="preserve"> Data checks implemented in the second level of data quality control (QC2).</w:t>
      </w:r>
    </w:p>
    <w:tbl>
      <w:tblPr>
        <w:tblW w:w="9792" w:type="dxa"/>
        <w:jc w:val="center"/>
        <w:tblInd w:w="0" w:type="dxa"/>
        <w:tblCellMar>
          <w:top w:w="0" w:type="dxa"/>
          <w:left w:w="0" w:type="dxa"/>
          <w:bottom w:w="0" w:type="dxa"/>
          <w:right w:w="0" w:type="dxa"/>
        </w:tblCellMar>
        <w:tblLook w:noHBand="0" w:noVBand="1" w:firstColumn="0" w:lastRow="0" w:lastColumn="0" w:firstRow="1"/>
      </w:tblPr>
      <w:tblGrid>
        <w:gridCol w:w="2589"/>
        <w:gridCol w:w="7202"/>
      </w:tblGrid>
      <w:tr>
        <w:trPr>
          <w:tblHeader w:val="true"/>
          <w:cantSplit w:val="true"/>
        </w:trPr>
        <w:tc>
          <w:tcPr>
            <w:tcW w:w="2589" w:type="dxa"/>
            <w:tcBorders>
              <w:top w:val="single" w:sz="16" w:space="0" w:color="000000"/>
              <w:bottom w:val="single" w:sz="16" w:space="0" w:color="000000"/>
            </w:tcBorders>
            <w:shd w:color="auto" w:fill="FFFFFF" w:val="clear"/>
            <w:vAlign w:val="center"/>
          </w:tcPr>
          <w:p>
            <w:pPr>
              <w:pStyle w:val="Normal"/>
              <w:spacing w:before="40" w:after="40"/>
              <w:ind w:left="100" w:right="100" w:hanging="0"/>
              <w:jc w:val="left"/>
              <w:rPr>
                <w:rFonts w:ascii="Times New Roman" w:hAnsi="Times New Roman"/>
              </w:rPr>
            </w:pPr>
            <w:r>
              <w:rPr>
                <w:rFonts w:eastAsia="Arial" w:cs="Arial" w:ascii="Times New Roman" w:hAnsi="Times New Roman"/>
                <w:b/>
                <w:color w:val="111111"/>
                <w:sz w:val="22"/>
                <w:szCs w:val="22"/>
              </w:rPr>
              <w:t>Data check</w:t>
            </w:r>
          </w:p>
        </w:tc>
        <w:tc>
          <w:tcPr>
            <w:tcW w:w="7202" w:type="dxa"/>
            <w:tcBorders>
              <w:top w:val="single" w:sz="16" w:space="0" w:color="000000"/>
              <w:bottom w:val="single" w:sz="16" w:space="0" w:color="000000"/>
            </w:tcBorders>
            <w:shd w:color="auto" w:fill="FFFFFF" w:val="clear"/>
            <w:vAlign w:val="center"/>
          </w:tcPr>
          <w:p>
            <w:pPr>
              <w:pStyle w:val="Normal"/>
              <w:spacing w:before="40" w:after="40"/>
              <w:ind w:left="100" w:right="100" w:hanging="0"/>
              <w:jc w:val="left"/>
              <w:rPr>
                <w:rFonts w:ascii="Times New Roman" w:hAnsi="Times New Roman"/>
              </w:rPr>
            </w:pPr>
            <w:r>
              <w:rPr>
                <w:rFonts w:eastAsia="Arial" w:cs="Arial" w:ascii="Times New Roman" w:hAnsi="Times New Roman"/>
                <w:b/>
                <w:color w:val="111111"/>
                <w:sz w:val="22"/>
                <w:szCs w:val="22"/>
              </w:rPr>
              <w:t>Description</w:t>
            </w:r>
          </w:p>
        </w:tc>
      </w:tr>
      <w:tr>
        <w:trPr>
          <w:cantSplit w:val="true"/>
        </w:trPr>
        <w:tc>
          <w:tcPr>
            <w:tcW w:w="2589" w:type="dxa"/>
            <w:tcBorders/>
            <w:shd w:color="auto" w:fill="FFFFFF" w:val="clear"/>
            <w:vAlign w:val="center"/>
          </w:tcPr>
          <w:p>
            <w:pPr>
              <w:pStyle w:val="Normal"/>
              <w:spacing w:before="40" w:after="40"/>
              <w:ind w:left="100" w:right="100" w:hanging="0"/>
              <w:jc w:val="left"/>
              <w:rPr>
                <w:rFonts w:ascii="Times New Roman" w:hAnsi="Times New Roman"/>
              </w:rPr>
            </w:pPr>
            <w:r>
              <w:rPr>
                <w:rFonts w:eastAsia="Arial" w:cs="Arial" w:ascii="Times New Roman" w:hAnsi="Times New Roman"/>
                <w:color w:val="111111"/>
                <w:sz w:val="20"/>
                <w:szCs w:val="20"/>
              </w:rPr>
              <w:t>Sap flow units harmonisation</w:t>
            </w:r>
          </w:p>
        </w:tc>
        <w:tc>
          <w:tcPr>
            <w:tcW w:w="7202" w:type="dxa"/>
            <w:tcBorders/>
            <w:shd w:color="auto" w:fill="FFFFFF" w:val="clear"/>
            <w:vAlign w:val="center"/>
          </w:tcPr>
          <w:p>
            <w:pPr>
              <w:pStyle w:val="Normal"/>
              <w:spacing w:before="40" w:after="40"/>
              <w:ind w:left="100" w:right="100" w:hanging="0"/>
              <w:jc w:val="left"/>
              <w:rPr>
                <w:rFonts w:ascii="Times New Roman" w:hAnsi="Times New Roman"/>
              </w:rPr>
            </w:pPr>
            <w:r>
              <w:rPr>
                <w:rFonts w:eastAsia="Arial" w:cs="Arial" w:ascii="Times New Roman" w:hAnsi="Times New Roman"/>
                <w:color w:val="111111"/>
                <w:sz w:val="20"/>
                <w:szCs w:val="20"/>
              </w:rPr>
              <w:t>Sap flow expressed in cm</w:t>
            </w:r>
            <w:r>
              <w:rPr>
                <w:rFonts w:eastAsia="Arial" w:cs="Arial" w:ascii="Times New Roman" w:hAnsi="Times New Roman"/>
                <w:color w:val="111111"/>
                <w:sz w:val="20"/>
                <w:szCs w:val="20"/>
                <w:vertAlign w:val="superscript"/>
              </w:rPr>
              <w:t xml:space="preserve">3 </w:t>
            </w:r>
            <w:r>
              <w:rPr>
                <w:rFonts w:eastAsia="Arial" w:cs="Arial" w:ascii="Times New Roman" w:hAnsi="Times New Roman"/>
                <w:color w:val="111111"/>
                <w:sz w:val="20"/>
                <w:szCs w:val="20"/>
              </w:rPr>
              <w:t>h</w:t>
            </w:r>
            <w:r>
              <w:rPr>
                <w:rFonts w:eastAsia="Arial" w:cs="Arial" w:ascii="Times New Roman" w:hAnsi="Times New Roman"/>
                <w:color w:val="111111"/>
                <w:sz w:val="20"/>
                <w:szCs w:val="20"/>
                <w:vertAlign w:val="superscript"/>
              </w:rPr>
              <w:t>-1</w:t>
            </w:r>
            <w:r>
              <w:rPr>
                <w:rFonts w:eastAsia="Arial" w:cs="Arial" w:ascii="Times New Roman" w:hAnsi="Times New Roman"/>
                <w:color w:val="111111"/>
                <w:sz w:val="20"/>
                <w:szCs w:val="20"/>
              </w:rPr>
              <w:t>, sap flow per unit leaf/sapwood area in cm</w:t>
            </w:r>
            <w:r>
              <w:rPr>
                <w:rFonts w:eastAsia="Arial" w:cs="Arial" w:ascii="Times New Roman" w:hAnsi="Times New Roman"/>
                <w:color w:val="111111"/>
                <w:sz w:val="20"/>
                <w:szCs w:val="20"/>
                <w:vertAlign w:val="superscript"/>
              </w:rPr>
              <w:t>3</w:t>
            </w:r>
            <w:r>
              <w:rPr>
                <w:rFonts w:eastAsia="Arial" w:cs="Arial" w:ascii="Times New Roman" w:hAnsi="Times New Roman"/>
                <w:color w:val="111111"/>
                <w:sz w:val="20"/>
                <w:szCs w:val="20"/>
              </w:rPr>
              <w:t xml:space="preserve"> cm</w:t>
            </w:r>
            <w:r>
              <w:rPr>
                <w:rFonts w:eastAsia="Arial" w:cs="Arial" w:ascii="Times New Roman" w:hAnsi="Times New Roman"/>
                <w:color w:val="111111"/>
                <w:sz w:val="20"/>
                <w:szCs w:val="20"/>
                <w:vertAlign w:val="superscript"/>
              </w:rPr>
              <w:t>-2</w:t>
            </w:r>
            <w:r>
              <w:rPr>
                <w:rFonts w:eastAsia="Arial" w:cs="Arial" w:ascii="Times New Roman" w:hAnsi="Times New Roman"/>
                <w:color w:val="111111"/>
                <w:sz w:val="20"/>
                <w:szCs w:val="20"/>
              </w:rPr>
              <w:t xml:space="preserve"> h</w:t>
            </w:r>
            <w:r>
              <w:rPr>
                <w:rFonts w:eastAsia="Arial" w:cs="Arial" w:ascii="Times New Roman" w:hAnsi="Times New Roman"/>
                <w:color w:val="111111"/>
                <w:sz w:val="20"/>
                <w:szCs w:val="20"/>
                <w:vertAlign w:val="superscript"/>
              </w:rPr>
              <w:t>-1</w:t>
            </w:r>
          </w:p>
        </w:tc>
      </w:tr>
      <w:tr>
        <w:trPr>
          <w:cantSplit w:val="true"/>
        </w:trPr>
        <w:tc>
          <w:tcPr>
            <w:tcW w:w="2589" w:type="dxa"/>
            <w:tcBorders/>
            <w:shd w:color="auto" w:fill="FFFFFF" w:val="clear"/>
            <w:vAlign w:val="center"/>
          </w:tcPr>
          <w:p>
            <w:pPr>
              <w:pStyle w:val="Normal"/>
              <w:spacing w:before="40" w:after="40"/>
              <w:ind w:left="100" w:right="100" w:hanging="0"/>
              <w:jc w:val="left"/>
              <w:rPr>
                <w:rFonts w:ascii="Times New Roman" w:hAnsi="Times New Roman"/>
              </w:rPr>
            </w:pPr>
            <w:r>
              <w:rPr>
                <w:rFonts w:eastAsia="Arial" w:cs="Arial" w:ascii="Times New Roman" w:hAnsi="Times New Roman"/>
                <w:color w:val="111111"/>
                <w:sz w:val="20"/>
                <w:szCs w:val="20"/>
              </w:rPr>
              <w:t>Out of range detection</w:t>
            </w:r>
          </w:p>
        </w:tc>
        <w:tc>
          <w:tcPr>
            <w:tcW w:w="7202" w:type="dxa"/>
            <w:tcBorders/>
            <w:shd w:color="auto" w:fill="FFFFFF" w:val="clear"/>
            <w:vAlign w:val="center"/>
          </w:tcPr>
          <w:p>
            <w:pPr>
              <w:pStyle w:val="Normal"/>
              <w:spacing w:before="40" w:after="40"/>
              <w:ind w:left="100" w:right="100" w:hanging="0"/>
              <w:jc w:val="left"/>
              <w:rPr>
                <w:rFonts w:ascii="Times New Roman" w:hAnsi="Times New Roman"/>
              </w:rPr>
            </w:pPr>
            <w:r>
              <w:rPr>
                <w:rFonts w:eastAsia="Arial" w:cs="Arial" w:ascii="Times New Roman" w:hAnsi="Times New Roman"/>
                <w:color w:val="111111"/>
                <w:sz w:val="20"/>
                <w:szCs w:val="20"/>
              </w:rPr>
              <w:t>Out of range values are flagged automatically, examined in a visual app and removed if confirmed</w:t>
            </w:r>
          </w:p>
        </w:tc>
      </w:tr>
      <w:tr>
        <w:trPr>
          <w:cantSplit w:val="true"/>
        </w:trPr>
        <w:tc>
          <w:tcPr>
            <w:tcW w:w="2589" w:type="dxa"/>
            <w:tcBorders/>
            <w:shd w:color="auto" w:fill="FFFFFF" w:val="clear"/>
            <w:vAlign w:val="center"/>
          </w:tcPr>
          <w:p>
            <w:pPr>
              <w:pStyle w:val="Normal"/>
              <w:spacing w:before="40" w:after="40"/>
              <w:ind w:left="100" w:right="100" w:hanging="0"/>
              <w:jc w:val="left"/>
              <w:rPr>
                <w:rFonts w:ascii="Times New Roman" w:hAnsi="Times New Roman"/>
              </w:rPr>
            </w:pPr>
            <w:r>
              <w:rPr>
                <w:rFonts w:eastAsia="Arial" w:cs="Arial" w:ascii="Times New Roman" w:hAnsi="Times New Roman"/>
                <w:color w:val="111111"/>
                <w:sz w:val="20"/>
                <w:szCs w:val="20"/>
              </w:rPr>
              <w:t>Outlier detection</w:t>
            </w:r>
          </w:p>
        </w:tc>
        <w:tc>
          <w:tcPr>
            <w:tcW w:w="7202" w:type="dxa"/>
            <w:tcBorders/>
            <w:shd w:color="auto" w:fill="FFFFFF" w:val="clear"/>
            <w:vAlign w:val="center"/>
          </w:tcPr>
          <w:p>
            <w:pPr>
              <w:pStyle w:val="Normal"/>
              <w:spacing w:before="40" w:after="40"/>
              <w:ind w:left="100" w:right="100" w:hanging="0"/>
              <w:jc w:val="left"/>
              <w:rPr>
                <w:rFonts w:ascii="Times New Roman" w:hAnsi="Times New Roman"/>
              </w:rPr>
            </w:pPr>
            <w:r>
              <w:rPr>
                <w:rFonts w:eastAsia="Arial" w:cs="Arial" w:ascii="Times New Roman" w:hAnsi="Times New Roman"/>
                <w:color w:val="111111"/>
                <w:sz w:val="20"/>
                <w:szCs w:val="20"/>
              </w:rPr>
              <w:t>Outliers are flagged automatically, examined in a visual app and removed if confirmed</w:t>
            </w:r>
          </w:p>
        </w:tc>
      </w:tr>
      <w:tr>
        <w:trPr>
          <w:cantSplit w:val="true"/>
        </w:trPr>
        <w:tc>
          <w:tcPr>
            <w:tcW w:w="2589" w:type="dxa"/>
            <w:tcBorders/>
            <w:shd w:color="auto" w:fill="FFFFFF" w:val="clear"/>
            <w:vAlign w:val="center"/>
          </w:tcPr>
          <w:p>
            <w:pPr>
              <w:pStyle w:val="Normal"/>
              <w:spacing w:before="40" w:after="40"/>
              <w:ind w:left="100" w:right="100" w:hanging="0"/>
              <w:jc w:val="left"/>
              <w:rPr>
                <w:rFonts w:ascii="Times New Roman" w:hAnsi="Times New Roman"/>
              </w:rPr>
            </w:pPr>
            <w:r>
              <w:rPr>
                <w:rFonts w:eastAsia="Arial" w:cs="Arial" w:ascii="Times New Roman" w:hAnsi="Times New Roman"/>
                <w:color w:val="111111"/>
                <w:sz w:val="20"/>
                <w:szCs w:val="20"/>
              </w:rPr>
              <w:t>Radiation transformations</w:t>
            </w:r>
          </w:p>
        </w:tc>
        <w:tc>
          <w:tcPr>
            <w:tcW w:w="7202" w:type="dxa"/>
            <w:tcBorders/>
            <w:shd w:color="auto" w:fill="FFFFFF" w:val="clear"/>
            <w:vAlign w:val="center"/>
          </w:tcPr>
          <w:p>
            <w:pPr>
              <w:pStyle w:val="Normal"/>
              <w:spacing w:before="40" w:after="40"/>
              <w:ind w:left="100" w:right="100" w:hanging="0"/>
              <w:jc w:val="left"/>
              <w:rPr>
                <w:rFonts w:ascii="Times New Roman" w:hAnsi="Times New Roman"/>
              </w:rPr>
            </w:pPr>
            <w:r>
              <w:rPr>
                <w:rFonts w:eastAsia="Arial" w:cs="Arial" w:ascii="Times New Roman" w:hAnsi="Times New Roman"/>
                <w:color w:val="111111"/>
                <w:sz w:val="20"/>
                <w:szCs w:val="20"/>
              </w:rPr>
              <w:t xml:space="preserve">Interconversion between </w:t>
            </w:r>
            <w:r>
              <w:rPr>
                <w:rFonts w:eastAsia="Arial" w:cs="Arial" w:ascii="Times New Roman" w:hAnsi="Times New Roman"/>
                <w:color w:val="111111"/>
                <w:kern w:val="0"/>
                <w:sz w:val="20"/>
                <w:szCs w:val="20"/>
                <w:lang w:val="en-US" w:eastAsia="en-US" w:bidi="ar-SA"/>
              </w:rPr>
              <w:t>shortwave</w:t>
            </w:r>
            <w:r>
              <w:rPr>
                <w:rFonts w:eastAsia="Arial" w:cs="Arial" w:ascii="Times New Roman" w:hAnsi="Times New Roman"/>
                <w:color w:val="111111"/>
                <w:sz w:val="20"/>
                <w:szCs w:val="20"/>
              </w:rPr>
              <w:t xml:space="preserve"> radiation (sw_in) and photosynthetically active radiation (ppfd_in)</w:t>
            </w:r>
          </w:p>
        </w:tc>
      </w:tr>
      <w:tr>
        <w:trPr>
          <w:cantSplit w:val="true"/>
        </w:trPr>
        <w:tc>
          <w:tcPr>
            <w:tcW w:w="2589" w:type="dxa"/>
            <w:tcBorders/>
            <w:shd w:color="auto" w:fill="FFFFFF" w:val="clear"/>
            <w:vAlign w:val="center"/>
          </w:tcPr>
          <w:p>
            <w:pPr>
              <w:pStyle w:val="Normal"/>
              <w:spacing w:before="40" w:after="40"/>
              <w:ind w:left="100" w:right="100" w:hanging="0"/>
              <w:jc w:val="left"/>
              <w:rPr>
                <w:rFonts w:ascii="Times New Roman" w:hAnsi="Times New Roman"/>
              </w:rPr>
            </w:pPr>
            <w:r>
              <w:rPr>
                <w:rFonts w:eastAsia="Arial" w:cs="Arial" w:ascii="Times New Roman" w:hAnsi="Times New Roman"/>
                <w:color w:val="111111"/>
                <w:sz w:val="20"/>
                <w:szCs w:val="20"/>
              </w:rPr>
              <w:t>VPD and relative humidity</w:t>
            </w:r>
          </w:p>
        </w:tc>
        <w:tc>
          <w:tcPr>
            <w:tcW w:w="7202" w:type="dxa"/>
            <w:tcBorders/>
            <w:shd w:color="auto" w:fill="FFFFFF" w:val="clear"/>
            <w:vAlign w:val="center"/>
          </w:tcPr>
          <w:p>
            <w:pPr>
              <w:pStyle w:val="Normal"/>
              <w:spacing w:before="40" w:after="40"/>
              <w:ind w:left="100" w:right="100" w:hanging="0"/>
              <w:jc w:val="left"/>
              <w:rPr>
                <w:rFonts w:ascii="Times New Roman" w:hAnsi="Times New Roman"/>
              </w:rPr>
            </w:pPr>
            <w:r>
              <w:rPr>
                <w:rFonts w:eastAsia="Arial" w:cs="Arial" w:ascii="Times New Roman" w:hAnsi="Times New Roman"/>
                <w:color w:val="111111"/>
                <w:sz w:val="20"/>
                <w:szCs w:val="20"/>
              </w:rPr>
              <w:t>Interconversion between VPD and relative humidity</w:t>
            </w:r>
          </w:p>
        </w:tc>
      </w:tr>
      <w:tr>
        <w:trPr>
          <w:cantSplit w:val="true"/>
        </w:trPr>
        <w:tc>
          <w:tcPr>
            <w:tcW w:w="2589" w:type="dxa"/>
            <w:tcBorders/>
            <w:shd w:color="auto" w:fill="FFFFFF" w:val="clear"/>
            <w:vAlign w:val="center"/>
          </w:tcPr>
          <w:p>
            <w:pPr>
              <w:pStyle w:val="Normal"/>
              <w:spacing w:before="40" w:after="40"/>
              <w:ind w:left="100" w:right="100" w:hanging="0"/>
              <w:jc w:val="left"/>
              <w:rPr>
                <w:rFonts w:ascii="Times New Roman" w:hAnsi="Times New Roman"/>
              </w:rPr>
            </w:pPr>
            <w:r>
              <w:rPr>
                <w:rFonts w:eastAsia="Arial" w:cs="Arial" w:ascii="Times New Roman" w:hAnsi="Times New Roman"/>
                <w:color w:val="111111"/>
                <w:sz w:val="20"/>
                <w:szCs w:val="20"/>
              </w:rPr>
              <w:t>Extraterrestrial radiation and solar timestamp</w:t>
            </w:r>
          </w:p>
        </w:tc>
        <w:tc>
          <w:tcPr>
            <w:tcW w:w="7202" w:type="dxa"/>
            <w:tcBorders/>
            <w:shd w:color="auto" w:fill="FFFFFF" w:val="clear"/>
            <w:vAlign w:val="center"/>
          </w:tcPr>
          <w:p>
            <w:pPr>
              <w:pStyle w:val="Normal"/>
              <w:spacing w:before="40" w:after="40"/>
              <w:ind w:left="100" w:right="100" w:hanging="0"/>
              <w:jc w:val="left"/>
              <w:rPr>
                <w:rFonts w:ascii="Times New Roman" w:hAnsi="Times New Roman"/>
              </w:rPr>
            </w:pPr>
            <w:r>
              <w:rPr>
                <w:rFonts w:eastAsia="Arial" w:cs="Arial" w:ascii="Times New Roman" w:hAnsi="Times New Roman"/>
                <w:color w:val="111111"/>
                <w:sz w:val="20"/>
                <w:szCs w:val="20"/>
              </w:rPr>
              <w:t>Calculation of extraterrestrial radiation and solar timestamp from timestamp and geographical data</w:t>
            </w:r>
          </w:p>
        </w:tc>
      </w:tr>
      <w:tr>
        <w:trPr>
          <w:cantSplit w:val="true"/>
        </w:trPr>
        <w:tc>
          <w:tcPr>
            <w:tcW w:w="2589" w:type="dxa"/>
            <w:tcBorders>
              <w:bottom w:val="single" w:sz="16" w:space="0" w:color="000000"/>
            </w:tcBorders>
            <w:shd w:color="auto" w:fill="FFFFFF" w:val="clear"/>
            <w:vAlign w:val="center"/>
          </w:tcPr>
          <w:p>
            <w:pPr>
              <w:pStyle w:val="Normal"/>
              <w:spacing w:before="40" w:after="40"/>
              <w:ind w:left="100" w:right="100" w:hanging="0"/>
              <w:jc w:val="left"/>
              <w:rPr>
                <w:rFonts w:ascii="Times New Roman" w:hAnsi="Times New Roman"/>
              </w:rPr>
            </w:pPr>
            <w:r>
              <w:rPr>
                <w:rFonts w:eastAsia="Arial" w:cs="Arial" w:ascii="Times New Roman" w:hAnsi="Times New Roman"/>
                <w:color w:val="111111"/>
                <w:sz w:val="20"/>
                <w:szCs w:val="20"/>
              </w:rPr>
              <w:t>Sap flow interconversions</w:t>
            </w:r>
          </w:p>
        </w:tc>
        <w:tc>
          <w:tcPr>
            <w:tcW w:w="7202" w:type="dxa"/>
            <w:tcBorders>
              <w:bottom w:val="single" w:sz="16" w:space="0" w:color="000000"/>
            </w:tcBorders>
            <w:shd w:color="auto" w:fill="FFFFFF" w:val="clear"/>
            <w:vAlign w:val="center"/>
          </w:tcPr>
          <w:p>
            <w:pPr>
              <w:pStyle w:val="Normal"/>
              <w:spacing w:before="40" w:after="40"/>
              <w:ind w:left="100" w:right="100" w:hanging="0"/>
              <w:jc w:val="left"/>
              <w:rPr>
                <w:rFonts w:ascii="Times New Roman" w:hAnsi="Times New Roman"/>
              </w:rPr>
            </w:pPr>
            <w:r>
              <w:rPr>
                <w:rFonts w:eastAsia="Arial" w:cs="Arial" w:ascii="Times New Roman" w:hAnsi="Times New Roman"/>
                <w:color w:val="111111"/>
                <w:sz w:val="20"/>
                <w:szCs w:val="20"/>
              </w:rPr>
              <w:t>When sapwood or leaf areas were available, interconversions were applied between the different expression levels for sap flow (per plant, per sapwood area or per leaf area)</w:t>
            </w:r>
          </w:p>
        </w:tc>
      </w:tr>
    </w:tbl>
    <w:p>
      <w:pPr>
        <w:pStyle w:val="Normal"/>
        <w:rPr>
          <w:rFonts w:ascii="Times New Roman" w:hAnsi="Times New Roman"/>
        </w:rPr>
      </w:pPr>
      <w:r>
        <w:rPr>
          <w:rFonts w:ascii="Times New Roman" w:hAnsi="Times New Roman"/>
        </w:rPr>
      </w:r>
    </w:p>
    <w:p>
      <w:pPr>
        <w:pStyle w:val="Cuerpodetexto"/>
        <w:rPr>
          <w:b/>
          <w:b/>
        </w:rPr>
      </w:pPr>
      <w:r>
        <w:rPr>
          <w:b/>
        </w:rPr>
      </w:r>
    </w:p>
    <w:p>
      <w:pPr>
        <w:pStyle w:val="Cuerpodetexto"/>
        <w:rPr>
          <w:b/>
          <w:b/>
        </w:rPr>
      </w:pPr>
      <w:r>
        <w:rPr>
          <w:b/>
        </w:rPr>
      </w:r>
    </w:p>
    <w:p>
      <w:pPr>
        <w:pStyle w:val="Cuerpodetexto"/>
        <w:rPr>
          <w:b/>
          <w:b/>
        </w:rPr>
      </w:pPr>
      <w:r>
        <w:rPr>
          <w:b/>
        </w:rPr>
      </w:r>
      <w:r>
        <w:br w:type="page"/>
      </w:r>
    </w:p>
    <w:p>
      <w:pPr>
        <w:pStyle w:val="Cuerpodetexto"/>
        <w:rPr>
          <w:rFonts w:ascii="Times New Roman" w:hAnsi="Times New Roman"/>
        </w:rPr>
      </w:pPr>
      <w:r>
        <w:rPr>
          <w:rFonts w:ascii="Times New Roman" w:hAnsi="Times New Roman"/>
          <w:b/>
        </w:rPr>
        <w:t>Table S3.</w:t>
      </w:r>
      <w:r>
        <w:rPr>
          <w:rFonts w:ascii="Times New Roman" w:hAnsi="Times New Roman"/>
        </w:rPr>
        <w:t xml:space="preserve"> Datasets in the SAPFLUXNET database identified by numeric code, dataset code and site name. Number of species per dataset, geographic coordinates and elevation are also shown. Negative coordinate values are shown for Southern and Western Hemispheres.</w:t>
      </w:r>
    </w:p>
    <w:tbl>
      <w:tblPr>
        <w:tblW w:w="10080" w:type="dxa"/>
        <w:jc w:val="center"/>
        <w:tblInd w:w="0" w:type="dxa"/>
        <w:tblCellMar>
          <w:top w:w="0" w:type="dxa"/>
          <w:left w:w="0" w:type="dxa"/>
          <w:bottom w:w="0" w:type="dxa"/>
          <w:right w:w="0" w:type="dxa"/>
        </w:tblCellMar>
        <w:tblLook w:noHBand="0" w:noVBand="1" w:firstColumn="0" w:lastRow="0" w:lastColumn="0" w:firstRow="1"/>
      </w:tblPr>
      <w:tblGrid>
        <w:gridCol w:w="573"/>
        <w:gridCol w:w="2451"/>
        <w:gridCol w:w="3599"/>
        <w:gridCol w:w="865"/>
        <w:gridCol w:w="866"/>
        <w:gridCol w:w="865"/>
        <w:gridCol w:w="860"/>
      </w:tblGrid>
      <w:tr>
        <w:trPr>
          <w:tblHeader w:val="true"/>
          <w:trHeight w:val="456" w:hRule="atLeast"/>
          <w:cantSplit w:val="true"/>
        </w:trPr>
        <w:tc>
          <w:tcPr>
            <w:tcW w:w="573" w:type="dxa"/>
            <w:tcBorders>
              <w:top w:val="single" w:sz="16" w:space="0" w:color="000000"/>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b/>
                <w:color w:val="111111"/>
                <w:sz w:val="22"/>
                <w:szCs w:val="22"/>
              </w:rPr>
              <w:t>#</w:t>
            </w:r>
          </w:p>
        </w:tc>
        <w:tc>
          <w:tcPr>
            <w:tcW w:w="2451" w:type="dxa"/>
            <w:tcBorders>
              <w:top w:val="single" w:sz="16" w:space="0" w:color="000000"/>
              <w:bottom w:val="single" w:sz="16" w:space="0" w:color="000000"/>
            </w:tcBorders>
            <w:shd w:color="auto" w:fill="FFFFFF" w:val="clear"/>
            <w:vAlign w:val="center"/>
          </w:tcPr>
          <w:p>
            <w:pPr>
              <w:pStyle w:val="Normal"/>
              <w:spacing w:before="0" w:after="0"/>
              <w:ind w:left="100" w:right="100" w:hanging="0"/>
              <w:jc w:val="left"/>
              <w:rPr/>
            </w:pPr>
            <w:r>
              <w:rPr>
                <w:rFonts w:eastAsia="Arial" w:cs="Arial" w:ascii="Times New Roman" w:hAnsi="Times New Roman"/>
                <w:b/>
                <w:color w:val="111111"/>
                <w:sz w:val="22"/>
                <w:szCs w:val="22"/>
              </w:rPr>
              <w:t>Dataset code</w:t>
            </w:r>
          </w:p>
        </w:tc>
        <w:tc>
          <w:tcPr>
            <w:tcW w:w="3599" w:type="dxa"/>
            <w:tcBorders>
              <w:top w:val="single" w:sz="16" w:space="0" w:color="000000"/>
              <w:bottom w:val="single" w:sz="16" w:space="0" w:color="000000"/>
            </w:tcBorders>
            <w:shd w:color="auto" w:fill="FFFFFF" w:val="clear"/>
            <w:vAlign w:val="center"/>
          </w:tcPr>
          <w:p>
            <w:pPr>
              <w:pStyle w:val="Normal"/>
              <w:spacing w:before="0" w:after="0"/>
              <w:ind w:left="100" w:right="100" w:hanging="0"/>
              <w:jc w:val="left"/>
              <w:rPr/>
            </w:pPr>
            <w:r>
              <w:rPr>
                <w:rFonts w:eastAsia="Arial" w:cs="Arial" w:ascii="Times New Roman" w:hAnsi="Times New Roman"/>
                <w:b/>
                <w:color w:val="111111"/>
                <w:sz w:val="22"/>
                <w:szCs w:val="22"/>
              </w:rPr>
              <w:t>Site name</w:t>
            </w:r>
          </w:p>
        </w:tc>
        <w:tc>
          <w:tcPr>
            <w:tcW w:w="865" w:type="dxa"/>
            <w:tcBorders>
              <w:top w:val="single" w:sz="16" w:space="0" w:color="000000"/>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b/>
                <w:color w:val="111111"/>
                <w:sz w:val="22"/>
                <w:szCs w:val="22"/>
              </w:rPr>
              <w:t>Lat.</w:t>
            </w:r>
          </w:p>
        </w:tc>
        <w:tc>
          <w:tcPr>
            <w:tcW w:w="866" w:type="dxa"/>
            <w:tcBorders>
              <w:top w:val="single" w:sz="16" w:space="0" w:color="000000"/>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b/>
                <w:color w:val="111111"/>
                <w:sz w:val="22"/>
                <w:szCs w:val="22"/>
              </w:rPr>
              <w:t>Long.</w:t>
            </w:r>
          </w:p>
        </w:tc>
        <w:tc>
          <w:tcPr>
            <w:tcW w:w="865" w:type="dxa"/>
            <w:tcBorders>
              <w:top w:val="single" w:sz="16" w:space="0" w:color="000000"/>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b/>
                <w:color w:val="111111"/>
                <w:sz w:val="22"/>
                <w:szCs w:val="22"/>
              </w:rPr>
              <w:t>Elev.</w:t>
              <w:br/>
              <w:t xml:space="preserve"> (m)</w:t>
            </w:r>
          </w:p>
        </w:tc>
        <w:tc>
          <w:tcPr>
            <w:tcW w:w="860" w:type="dxa"/>
            <w:tcBorders>
              <w:top w:val="single" w:sz="16" w:space="0" w:color="000000"/>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b/>
                <w:color w:val="111111"/>
                <w:sz w:val="22"/>
                <w:szCs w:val="22"/>
              </w:rPr>
              <w:t>N spp.</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ARG_MAZ</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Mazaruca_Patagonia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-51.58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-72.29</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550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ARG_TRE</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Tres Marias</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-51.32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-72.18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460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AUS_BRI_BRI</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Britannia Creek</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-37.87</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145.85</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707</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AUS_CAN_ST1_EUC</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Cann River</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-37.58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149.17</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AUS_CAN_ST2_MIX</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Cann River</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-37.58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149.17</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AUS_CAN_ST3_ACA</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Cann River</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-37.58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149.17</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AUS_CAR_THI_00F</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Carrajung</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-38.38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146.68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610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AUS_CAR_THI_0P0</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Carrajung</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-38.38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146.68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610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AUS_CAR_THI_0PF</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Carrajung</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-38.38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146.68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610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AUS_CAR_THI_CON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Carrajung</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-38.38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146.68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610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AUS_CAR_THI_T00</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Carrajung</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-38.38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146.68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610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AUS_CAR_THI_T0F</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Carrajung</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-38.38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146.68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610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AUS_CAR_THI_TP0</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Carrajung</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-38.38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146.68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610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AUS_CAR_THI_TPF</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Carrajung</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-38.38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146.68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610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AUS_ELL_HB_HIG</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Ella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-36.78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146.58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705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AUS_ELL_MB_MOD</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Ella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-36.78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146.58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693</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AUS_ELL_UNB</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Ella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-36.78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146.58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737</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AUS_KAR</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Karijini NP</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-22.62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118.22</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710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AUS_MAR_HSD_HIG</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Maroondah</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-37.64</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145.58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468</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20</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AUS_MAR_HSW_HIG</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Maroondah</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-37.65</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145.57</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297</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21</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AUS_MAR_MSD_MOD</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Maroondah</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-37.64</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145.58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467</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22</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AUS_MAR_MSW_MOD</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Maroondah</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-37.65</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145.57</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261</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23</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AUS_MAR_UBD</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Maroondah</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-37.69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145.56</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303</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24</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AUS_MAR_UBW</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Maroondah</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-37.89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145.57</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336</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25</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AUS_RIC_EUC_ELE</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Richmond NSW EucFACE</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-33.62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150.74</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23</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26</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AUS_WOM</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WombatStateForest</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-37.42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144.09</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705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27</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AUT_PAT_FOR</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Patscherkofel</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47.21</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11.45</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1950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28</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AUT_PAT_KRU</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Patscherkofel</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47.21</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11.45</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2180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29</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AUT_PAT_TRE</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Patscherkofel</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47.21</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11.45</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2110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30</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AUT_TSC</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Tschirgant south</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47.23</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10.84</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750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31</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BRA_CAM</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Campos do Jordão</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-22.69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-45.52</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2000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32</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BRA_CAX_CON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Caxiuana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-51.43</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33</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BRA_SAN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Santa Virgínia (PESM)</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-23.28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-45.18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1000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34</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CAN_TUR_P39_POS</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TUR</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42.71</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-80.36</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184</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35</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CAN_TUR_P39_PRE</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TUR</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42.71</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-80.36</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184</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36</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CAN_TUR_P74</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TUR</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42.71</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-80.35</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184</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CHE_DAV_SEE</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Davos</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46.82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9.86</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1650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38</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CHE_LOT_NOR</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Lotschental</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46.39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7.76</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1300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39</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CHE_PFY_CON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Pfynwald</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46.30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7.60</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615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40</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CHE_PFY_IRR</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Pfynwald</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46.30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7.60</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615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41</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CHN_ARG_GWD</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Arghan</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40.75</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89.99</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830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42</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CHN_ARG_GWS</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Arghan</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41.38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89.94</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830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43</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CHN_HOR_AFF</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Horqin</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42.72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122.37</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226</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44</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CHN_YIN_ST1</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 xml:space="preserve">Yingbazar </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42.45</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85.72</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900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45</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CHN_YIN_ST2_DRO</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 xml:space="preserve">Yingbazar </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42.11</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85.13</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930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46</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CHN_YIN_ST3_DRO</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 xml:space="preserve">Yingbazar </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42.29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85.99</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930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47</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CHN_YUN_YUN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Yunxiao</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23.92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117.42</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48</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COL_MAC_SAF_RAD</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Macagual Universidad de la Amazonia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-75.36</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360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CRI_TAM_TOW</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TAMU Soltis Center</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10.39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-84.63</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600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50</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CZE_BIK</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Bik</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49.49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18.53</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875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51</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CZE_BIL_BIL</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Bilovice</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49.25</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16.69</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320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52</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CZE_KRT_KRT</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Krtiny</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49.32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16.75</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480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53</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CZE_LAN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Lanžhot</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48.68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16.95</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54</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CZE_LIZ_LES</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Liz</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49.07</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13.68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858</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55</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CZE_RAJ_RAJ</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Rajec</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49.44</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16.70</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600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56</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CZE_SOB_SOB</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Sobesice</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49.25</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16.69</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320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57</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CZE_STI</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Stitna nad Vlari</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49.04</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17.97</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550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58</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CZE_UTE_BEE</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Utechov</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49.28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16.65</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420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59</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CZE_UTE_BNA</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Utechov</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49.28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16.65</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390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60</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CZE_UTE_BPO</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Utechov</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49.28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16.65</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61</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CZE_UTE_SPR</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Utechov</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49.28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16.65</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360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62</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DEU_HIN_OAK</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Hinnensee</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53.33</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13.19</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63</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DEU_HIN_TER</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Hinnensee</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53.33</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13.19</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64</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DEU_MER_BEE_NON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Merzalben</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49.27</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7.81</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550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65</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DEU_MER_BEE_THI</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Merzalben</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49.27</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7.81</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550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66</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DEU_MER_DOU_NON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Merzalben</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49.27</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7.81</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550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67</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DEU_MER_DOU_THI</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Merzalben</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49.27</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7.81</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550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68</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DEU_MER_MIX_NON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Merzalben</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49.27</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7.81</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550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69</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DEU_MER_MIX_THI</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Merzalben</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49.27</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7.81</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550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70</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DEU_STE_2P3</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Stechlin</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53.10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13.00</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78</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71</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DEU_STE_4P5</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Stechlin</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53.10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13.00</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78</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72</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ESP_ALT_ARM</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Alto Tajo</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40.78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-2.33</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1079</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73</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ESP_ALT_HUE</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Alto Tajo</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40.79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-2.29</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907</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74</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ESP_ALT_TRI</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Alto Tajo</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40.80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-2.23</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981</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75</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ESP_CAN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Can Balasc</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41.43</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2.07</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270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76</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ESP_GUA_VAL</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Guadarrama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40.90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-4.03</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1140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77</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ESP_LAH_COM</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LaHarina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37.74</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-3.38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78</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ESP_LAS</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Las Canadas, Teide natinal park tenerife</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28.31</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-16.57</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2070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79</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ESP_MAJ_MAI</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Majadas del Tietar</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39.94</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-5.77</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260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80</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ESP_MAJ_NOR_LM1</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Majadas del Tietar</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39.94</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-5.77</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260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81</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ESP_MON_SIE_NAT</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Montejo</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41.12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-3.50</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1400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82</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ESP_RIN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Rinconada experimental catchment</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40.60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-6.02</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1200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83</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ESP_RON_PIL</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Ronda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36.69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-5.02</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1734</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84</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ESP_SAN_A_45I</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Sanabria orchard</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37.25</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-5.80</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85</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ESP_SAN_A2_45I</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Sanabria orchard</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37.25</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-5.80</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86</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ESP_SAN_B_100</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Sanabria orchard</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37.25</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-5.80</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87</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ESP_SAN_B2_100</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Sanabria orchard</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37.25</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-5.80</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88</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ESP_TIL_MIX</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Tillar</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41.33</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1.01</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1018</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89</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ESP_TIL_OAK</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Tillar</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41.33</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1.01</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1011</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90</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ESP_TIL_PIN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Tillar</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41.33</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1.01</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1065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91</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ESP_VAL_BAR</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Vallcebre</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42.20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1.82</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1102</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92</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ESP_VAL_SOR</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Vallcebre</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42.20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1.81</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1257</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93</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ESP_YUN_C1</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Yunquera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36.72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-4.97</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1220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94</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ESP_YUN_C2</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Yunquera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36.72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-4.97</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1180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95</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ESP_YUN_T1_THI</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Yunquera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36.72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-4.97</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1190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96</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ESP_YUN_T3_THI</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Yunquera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36.72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-4.97</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1185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97</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FIN_HYY_SME</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Hyytiala Forest Field Station</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61.85</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24.29</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98</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FIN_PET</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Petsikko</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69.49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27.23</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251</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99</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FRA_FON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Fontainebleau-Barbeau</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48.48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2.78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100</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FRA_HES_HE1_NON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Hesse</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48.67</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7.06</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300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101</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FRA_HES_HE2_NON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Hesse</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48.67</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7.06</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300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102</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FRA_PUE</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Puechabon</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43.74</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3.60</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270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103</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GBR_ABE_PLO</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Aberfeldy</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56.62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-3.80</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340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104</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GBR_DEV_CON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Devilla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56.03</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-3.72</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105</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GBR_DEV_DRO</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Devilla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56.03</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-3.72</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106</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GBR_GUI_ST1</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Guisachan</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57.27</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-4.82</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300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107</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GBR_GUI_ST2</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Guisachan</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57.27</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-4.82</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300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108</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GBR_GUI_ST3</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Guisachan</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57.27</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-4.82</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300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109</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GUF_GUY_GUY</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Guyaflux</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5.28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-52.92</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110</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GUF_GUY_ST2</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Guyaflux</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5.28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-52.91</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111</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GUF_NOU_PET</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Nouragues station</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4.08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-52.68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112</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HUN_SIK</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Sikfokut</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47.93</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20.44</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330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113</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IDN_JAM_OIL</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Jambi</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-2.07</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102.79</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71</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114</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IDN_JAM_RUB</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Jambi</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-2.10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102.78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115</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IDN_PON_STE</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Pono</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120.06</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1050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116</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ISR_YAT_YAT</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Yatir</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31.34</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35.05</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650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117</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ITA_FEI_S17</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Feichtwald-Matsch</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46.69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10.61</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1715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118</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ITA_KAE_S20</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Kaelbergangl-Matsch</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46.70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10.61</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1990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119</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ITA_MAT_S21</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Matscher Alm-Matsch</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46.74</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10.69</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2100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120</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ITA_MUN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Muntatschinig-Matsch</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46.68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10.58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1160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121</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ITA_REN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Renon</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46.59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11.43</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1794</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122</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ITA_RUN_N20</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Runer Koepfl-Matsch</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46.70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10.64</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2030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123</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ITA_TOR</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Torgnon</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45.82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7.56</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2100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124</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JPN_EBE_HYB</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Ebetsu</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43.08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141.52</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125</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JPN_EBE_SUG</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Ebetsu</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43.08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141.52</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126</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KOR_TAE_TC1_LOW</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Taehwa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37.30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127.32</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127</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KOR_TAE_TC2_MED</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Taehwa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37.30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127.32</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128</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KOR_TAE_TC3_EXT</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Taehwa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37.30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127.32</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129</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MDG_SEM_TAL</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Semi-mature forest</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-18.93</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48.71</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950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130</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MDG_YOU_SHO</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Young secondary forest</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-18.95</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48.40</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990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131</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MEX_COR_YP</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Cortadura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19.49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-97.04</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2180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132</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MEX_VER_BSJ</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VERACRUZ_BSJ</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19.51</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-96.98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1440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133</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MEX_VER_BSM</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VERACRUZ_BSM</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19.53</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-96.99</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1524</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134</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NLD_LOO</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Loobos</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52.17</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5.74</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135</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NLD_SPE_DOU</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Speulderbos</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52.25</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5.69</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136</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NZL_HUA_HUA</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Huapai</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-36.80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174.49</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137</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PRT_LEZ_ARN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LEZIRIAS</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38.83</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-8.82</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138</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PRT_MIT</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MITRA II</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38.54</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-8.00</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235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139</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PRT_PIN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Pinheiro da Cruz</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38.25</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-8.76</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140</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RUS_CHE_LOW</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Cherskii</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68.74</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161.50</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141</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RUS_CHE_Y4</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CHE</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68.74</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161.41</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142</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RUS_FYO</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Fyodorovskoye</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56.46</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32.92</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260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143</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RUS_POG_VAR</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Pogorelsky Bor</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56.36</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92.95</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243</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144</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SEN_SOU_IRR</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Souilène</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16.34</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-15.43</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145</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SEN_SOU_POS</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Souilène</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16.34</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-15.43</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146</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SEN_SOU_PRE</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Souilène</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16.34</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-15.43</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147</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SWE_NOR_ST1_AF1</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Norunda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60.09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17.48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148</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SWE_NOR_ST1_AF2</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Norunda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60.09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17.48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149</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SWE_NOR_ST1_BEF</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Norunda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60.09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17.48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150</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SWE_NOR_ST2</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Norunda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60.09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17.48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151</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SWE_NOR_ST3</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Norunda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60.09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17.48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152</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SWE_NOR_ST4_AFT</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Norunda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60.08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17.48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153</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SWE_NOR_ST4_BEF</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Norunda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60.08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17.48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154</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SWE_NOR_ST5_REF</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Norunda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60.08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17.48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155</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SWE_SKO_MIN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Skogaryd</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58.36</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12.15</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76</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156</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SWE_SKY_38Y</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Skyttorp</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60.13</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17.84</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157</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SWE_SKY_68Y</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Skyttorp</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60.10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17.83</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158</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SWE_SVA_MIX_NON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Svartberget</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64.26</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19.77</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267</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159</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THA_KHU</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Khu-Muang</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15.27</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103.08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160</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USA_BNZ_BLA</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BNZSPRC1</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64.70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-148.32</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161</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USA_CHE_ASP</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ChEAS</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45.94</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-90.27</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477</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162</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USA_CHE_MAP</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ChEAS</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45.95</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-90.26</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1565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163</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USA_DUK_HAR</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Duke Blackwood Hardwood</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36.98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-79.09</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163</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164</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USA_HIL_HF1_POS</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Hill Demonstration Forest</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36.22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-78.86</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174</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165</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USA_HIL_HF1_PRE</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Hill Demonstration Forest</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36.22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-78.86</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174</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166</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USA_HIL_HF2</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Hill Demonstration Forest</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36.22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-78.86</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174</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167</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USA_HUY_LIN_NON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Huyck Preserve  Lincoln Pond</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42.53</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-74.16</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NA</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168</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USA_INM</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INMMSF</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39.32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-86.41</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286</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169</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USA_MOR_SF</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Morgan-Monroe State Forest</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39.32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-86.41</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275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170</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USA_NWH</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NWhiteRiver</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34.58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-91.26</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48</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171</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USA_ORN_ST1_AMB</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ORNL-FACE</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35.90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-84.33</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227</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172</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USA_ORN_ST2_AMB</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ORNL-FACE</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35.90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-84.33</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227</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173</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USA_ORN_ST3_ELE</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ORNL-FACE</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35.90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-84.33</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227</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174</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USA_ORN_ST4_ELE</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ORNL-FACE</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35.90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-84.33</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227</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175</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USA_PAR_FER</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Parker Tract</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35.80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-76.67</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176</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USA_PER_PER</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Perry</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30.21</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-83.87</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576"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177</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USA_PJS_P04_AMB</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PJSEV -Rainfall Manipulation Experiment - Sevilleta NWR, USA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34.39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-106.53</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1911</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576"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178</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USA_PJS_P08_AMB</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PJSEV -Rainfall Manipulation Experiment - Sevilleta NWR, USA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34.39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-106.53</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1911</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576"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179</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USA_PJS_P12_AMB</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PJSEV -Rainfall Manipulation Experiment - Sevilleta NWR, USA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34.39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-106.53</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1911</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180</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USA_SIL_OAK_1PR</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Silas Little Experimental Forest premortality</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39.92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-74.60</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33</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181</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USA_SIL_OAK_2PR</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Silas Little Experimental Forest premortality</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39.92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-74.60</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33</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182</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USA_SIL_OAK_POS</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Silas Little Experimental Forest premortality</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39.92</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-74.60</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33</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183</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USA_SMI_SCB</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Smithsonian Conservation Biology Insitute</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38.89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-78.15</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273</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184</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USA_SMI_SER</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Smithsonian Environmental Research Center</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38.89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-76.56</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185</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USA_SWH</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SWhiteRiver</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34.11</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-91.13</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44</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186</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USA_SYL_HL1</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Sylvania Wilderness</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46.24</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-89.35</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500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187</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USA_SYL_HL2</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Sylvania Wilderness</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46.24</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-89.35</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500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188</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USA_TNB</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TNBSF</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36.47</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-84.70</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454</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189</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USA_TNO</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TNOAK</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35.97</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-84.28</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340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190</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USA_TNP</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TNPINE</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35.96</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-84.29</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342</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191</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USA_TNY</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TNYPOP</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35.69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-83.50</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850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192</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USA_UMB_CON</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UMBS</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45.56</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-84.71</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236</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193</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USA_UMB_GIR</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UMB</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45.56</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-84.70</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239</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194</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USA_WIL_WC1</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Willow Creek</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45.81</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-90.09</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520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195</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USA_WIL_WC2</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Willow Creek</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45.81</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-90.09</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520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196</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USA_WVF</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WVFEF</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39.06</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-79.69</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844</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197</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UZB_YAN_DIS</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Yangibazar</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41.65</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60.62</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101</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198</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ZAF_FRA_FRA</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Franshoek South Africa</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-33.88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19.06</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190</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199</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ZAF_NOO_E3_IRR</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Nooitgedacht farm</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-33.20</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19.34</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1089</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200</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ZAF_RAD</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Radyn EGVV</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-34.08</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19.11</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409</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201</w:t>
            </w:r>
          </w:p>
        </w:tc>
        <w:tc>
          <w:tcPr>
            <w:tcW w:w="24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ZAF_SOU_SOU</w:t>
            </w:r>
          </w:p>
        </w:tc>
        <w:tc>
          <w:tcPr>
            <w:tcW w:w="359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Southfield EGVV</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-34.09</w:t>
            </w:r>
          </w:p>
        </w:tc>
        <w:tc>
          <w:tcPr>
            <w:tcW w:w="866"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19.09</w:t>
            </w:r>
          </w:p>
        </w:tc>
        <w:tc>
          <w:tcPr>
            <w:tcW w:w="865"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389</w:t>
            </w:r>
          </w:p>
        </w:tc>
        <w:tc>
          <w:tcPr>
            <w:tcW w:w="86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573" w:type="dxa"/>
            <w:tcBorders>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202</w:t>
            </w:r>
          </w:p>
        </w:tc>
        <w:tc>
          <w:tcPr>
            <w:tcW w:w="2451" w:type="dxa"/>
            <w:tcBorders>
              <w:bottom w:val="single" w:sz="16" w:space="0" w:color="000000"/>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ZAF_WEL_SOR</w:t>
            </w:r>
          </w:p>
        </w:tc>
        <w:tc>
          <w:tcPr>
            <w:tcW w:w="3599" w:type="dxa"/>
            <w:tcBorders>
              <w:bottom w:val="single" w:sz="16" w:space="0" w:color="000000"/>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Wellington Western Cape</w:t>
            </w:r>
          </w:p>
        </w:tc>
        <w:tc>
          <w:tcPr>
            <w:tcW w:w="865" w:type="dxa"/>
            <w:tcBorders>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-33.48</w:t>
            </w:r>
          </w:p>
        </w:tc>
        <w:tc>
          <w:tcPr>
            <w:tcW w:w="866" w:type="dxa"/>
            <w:tcBorders>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18.96</w:t>
            </w:r>
          </w:p>
        </w:tc>
        <w:tc>
          <w:tcPr>
            <w:tcW w:w="865" w:type="dxa"/>
            <w:tcBorders>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81</w:t>
            </w:r>
          </w:p>
        </w:tc>
        <w:tc>
          <w:tcPr>
            <w:tcW w:w="860" w:type="dxa"/>
            <w:tcBorders>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bl>
    <w:p>
      <w:pPr>
        <w:pStyle w:val="Normal"/>
        <w:rPr>
          <w:rFonts w:ascii="Times New Roman" w:hAnsi="Times New Roman"/>
        </w:rPr>
      </w:pPr>
      <w:r>
        <w:rPr>
          <w:rFonts w:ascii="Times New Roman" w:hAnsi="Times New Roman"/>
        </w:rPr>
      </w:r>
    </w:p>
    <w:p>
      <w:pPr>
        <w:pStyle w:val="Cuerpodetexto"/>
        <w:rPr>
          <w:b/>
          <w:b/>
        </w:rPr>
      </w:pPr>
      <w:r>
        <w:rPr>
          <w:b/>
        </w:rPr>
      </w:r>
      <w:r>
        <w:br w:type="page"/>
      </w:r>
    </w:p>
    <w:p>
      <w:pPr>
        <w:pStyle w:val="Cuerpodetexto"/>
        <w:rPr>
          <w:rFonts w:ascii="Times New Roman" w:hAnsi="Times New Roman"/>
        </w:rPr>
      </w:pPr>
      <w:r>
        <w:rPr>
          <w:rFonts w:ascii="Times New Roman" w:hAnsi="Times New Roman"/>
          <w:b/>
        </w:rPr>
        <w:t>Table S4.</w:t>
      </w:r>
      <w:r>
        <w:rPr>
          <w:rFonts w:ascii="Times New Roman" w:hAnsi="Times New Roman"/>
        </w:rPr>
        <w:t xml:space="preserve"> Number of plants and number of datasets for each species present in the SAPFLUXNET database.</w:t>
      </w:r>
    </w:p>
    <w:tbl>
      <w:tblPr>
        <w:tblW w:w="10368" w:type="dxa"/>
        <w:jc w:val="center"/>
        <w:tblInd w:w="0" w:type="dxa"/>
        <w:tblCellMar>
          <w:top w:w="0" w:type="dxa"/>
          <w:left w:w="0" w:type="dxa"/>
          <w:bottom w:w="0" w:type="dxa"/>
          <w:right w:w="0" w:type="dxa"/>
        </w:tblCellMar>
        <w:tblLook w:noHBand="0" w:noVBand="1" w:firstColumn="0" w:lastRow="0" w:lastColumn="0" w:firstRow="1"/>
      </w:tblPr>
      <w:tblGrid>
        <w:gridCol w:w="1872"/>
        <w:gridCol w:w="864"/>
        <w:gridCol w:w="719"/>
        <w:gridCol w:w="1873"/>
        <w:gridCol w:w="863"/>
        <w:gridCol w:w="721"/>
        <w:gridCol w:w="1871"/>
        <w:gridCol w:w="867"/>
        <w:gridCol w:w="717"/>
      </w:tblGrid>
      <w:tr>
        <w:trPr>
          <w:tblHeader w:val="true"/>
          <w:cantSplit w:val="true"/>
        </w:trPr>
        <w:tc>
          <w:tcPr>
            <w:tcW w:w="1872" w:type="dxa"/>
            <w:tcBorders>
              <w:top w:val="single" w:sz="16" w:space="0" w:color="000000"/>
              <w:bottom w:val="single" w:sz="16" w:space="0" w:color="000000"/>
            </w:tcBorders>
            <w:shd w:color="auto" w:fill="FFFFFF" w:val="clear"/>
            <w:vAlign w:val="center"/>
          </w:tcPr>
          <w:p>
            <w:pPr>
              <w:pStyle w:val="Normal"/>
              <w:spacing w:before="0" w:after="0"/>
              <w:ind w:left="100" w:right="100" w:hanging="0"/>
              <w:jc w:val="left"/>
              <w:rPr/>
            </w:pPr>
            <w:r>
              <w:rPr>
                <w:rFonts w:eastAsia="Arial" w:cs="Arial" w:ascii="Times New Roman" w:hAnsi="Times New Roman"/>
                <w:b/>
                <w:color w:val="111111"/>
                <w:sz w:val="22"/>
                <w:szCs w:val="22"/>
              </w:rPr>
              <w:t>Species</w:t>
            </w:r>
          </w:p>
        </w:tc>
        <w:tc>
          <w:tcPr>
            <w:tcW w:w="864" w:type="dxa"/>
            <w:tcBorders>
              <w:top w:val="single" w:sz="16" w:space="0" w:color="000000"/>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b/>
                <w:color w:val="111111"/>
                <w:sz w:val="22"/>
                <w:szCs w:val="22"/>
              </w:rPr>
              <w:t>N plant</w:t>
            </w:r>
          </w:p>
        </w:tc>
        <w:tc>
          <w:tcPr>
            <w:tcW w:w="719" w:type="dxa"/>
            <w:tcBorders>
              <w:top w:val="single" w:sz="16" w:space="0" w:color="000000"/>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b/>
                <w:color w:val="111111"/>
                <w:sz w:val="22"/>
                <w:szCs w:val="22"/>
              </w:rPr>
              <w:t>N data</w:t>
            </w:r>
          </w:p>
        </w:tc>
        <w:tc>
          <w:tcPr>
            <w:tcW w:w="1873" w:type="dxa"/>
            <w:tcBorders>
              <w:top w:val="single" w:sz="16" w:space="0" w:color="000000"/>
              <w:bottom w:val="single" w:sz="16" w:space="0" w:color="000000"/>
            </w:tcBorders>
            <w:shd w:color="auto" w:fill="FFFFFF" w:val="clear"/>
            <w:vAlign w:val="center"/>
          </w:tcPr>
          <w:p>
            <w:pPr>
              <w:pStyle w:val="Normal"/>
              <w:spacing w:before="0" w:after="0"/>
              <w:ind w:left="100" w:right="100" w:hanging="0"/>
              <w:jc w:val="left"/>
              <w:rPr/>
            </w:pPr>
            <w:r>
              <w:rPr>
                <w:rFonts w:eastAsia="Arial" w:cs="Arial" w:ascii="Times New Roman" w:hAnsi="Times New Roman"/>
                <w:b/>
                <w:color w:val="111111"/>
                <w:sz w:val="22"/>
                <w:szCs w:val="22"/>
              </w:rPr>
              <w:t>Species</w:t>
            </w:r>
          </w:p>
        </w:tc>
        <w:tc>
          <w:tcPr>
            <w:tcW w:w="863" w:type="dxa"/>
            <w:tcBorders>
              <w:top w:val="single" w:sz="16" w:space="0" w:color="000000"/>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b/>
                <w:color w:val="111111"/>
                <w:sz w:val="22"/>
                <w:szCs w:val="22"/>
              </w:rPr>
              <w:t>N plant</w:t>
            </w:r>
          </w:p>
        </w:tc>
        <w:tc>
          <w:tcPr>
            <w:tcW w:w="721" w:type="dxa"/>
            <w:tcBorders>
              <w:top w:val="single" w:sz="16" w:space="0" w:color="000000"/>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b/>
                <w:color w:val="111111"/>
                <w:sz w:val="22"/>
                <w:szCs w:val="22"/>
              </w:rPr>
              <w:t>N data</w:t>
            </w:r>
          </w:p>
        </w:tc>
        <w:tc>
          <w:tcPr>
            <w:tcW w:w="1871" w:type="dxa"/>
            <w:tcBorders>
              <w:top w:val="single" w:sz="16" w:space="0" w:color="000000"/>
              <w:bottom w:val="single" w:sz="16" w:space="0" w:color="000000"/>
            </w:tcBorders>
            <w:shd w:color="auto" w:fill="FFFFFF" w:val="clear"/>
            <w:vAlign w:val="center"/>
          </w:tcPr>
          <w:p>
            <w:pPr>
              <w:pStyle w:val="Normal"/>
              <w:spacing w:before="0" w:after="0"/>
              <w:ind w:left="100" w:right="100" w:hanging="0"/>
              <w:jc w:val="left"/>
              <w:rPr/>
            </w:pPr>
            <w:r>
              <w:rPr>
                <w:rFonts w:eastAsia="Arial" w:cs="Arial" w:ascii="Times New Roman" w:hAnsi="Times New Roman"/>
                <w:b/>
                <w:color w:val="111111"/>
                <w:sz w:val="22"/>
                <w:szCs w:val="22"/>
              </w:rPr>
              <w:t>Species</w:t>
            </w:r>
          </w:p>
        </w:tc>
        <w:tc>
          <w:tcPr>
            <w:tcW w:w="867" w:type="dxa"/>
            <w:tcBorders>
              <w:top w:val="single" w:sz="16" w:space="0" w:color="000000"/>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b/>
                <w:color w:val="111111"/>
                <w:sz w:val="22"/>
                <w:szCs w:val="22"/>
              </w:rPr>
              <w:t>N plant</w:t>
            </w:r>
          </w:p>
        </w:tc>
        <w:tc>
          <w:tcPr>
            <w:tcW w:w="717" w:type="dxa"/>
            <w:tcBorders>
              <w:top w:val="single" w:sz="16" w:space="0" w:color="000000"/>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b/>
                <w:color w:val="111111"/>
                <w:sz w:val="22"/>
                <w:szCs w:val="22"/>
              </w:rPr>
              <w:t>N data</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Pinus sylvestris</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290</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28</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Acacia tortilis</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Prunus serotina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Picea abies</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178</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Quercus spp.</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Populus canescens</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Acer saccharum</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162</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Kandelia obovata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Eucalyptus camaldulensis</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Fagus sylvatica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116</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Carpinus betulus</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Qualea rosea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Pinus taeda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107</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Castanopsis acuminatissima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Licania alba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Populus tremuloides</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104</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Pinus patula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Eucalyptus dives</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Pinus koraiensis</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96</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Eucalyptus radiata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Licania octandra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Eucalyptus nitens</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89</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Betula pubescens subsp. czerepanovii</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Swartzia racemosa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Pinus strobus</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75</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Avicennia marina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Manilkara bidentata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Liquidambar styraciflua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69</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Quercus robur</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Licania membranacea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Quercus ilex</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62</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Fraxinus excelsior</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Eschweilera grandiflora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Acer rubrum</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62</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Cryptocarya laevigata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Pouteria viridis</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Liriodendron tulipifera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51</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Myrtaceae fam.</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Ampelocera macrocarpa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Fagus grandifolia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48</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Palaquium luzoniense</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Otoba novogranatensis</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Pinus resinosa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43</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Platea excelsa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Mortoniodendron anisophyllum</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Eucalyptus globulus</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35</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Pouteria firma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Meliosma idiopoda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Larix decidua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34</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Agathis australis</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Taxus baccata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Abies pinsapo</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34</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Ostrya virginiana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Sloanea sp</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Acacia mearnsii</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33</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Picea mariana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Betula sp.</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Quercus pyrenaica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32</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Nothofagus pumilio</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Picea glauca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Quercus rubra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32</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Nothofagus cunninghamii</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Fraxinus americana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Quercus petraea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31</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Eucalyptus cypellocarpa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Carya cordiformis</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Pseudotsuga menziesii</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29</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Eucalyptus rubida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Quercus prinus</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Pinus halepensis</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27</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Drimys brasiliensis</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Elaeagnus angustifolia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Quercus velutina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24</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Alchornea triplinervia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Qualea tricolor</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Tsuga canadensis</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24</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Santiria apiculata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Lecythis poiteaui</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Larix cajanderi</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23</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Quercus michauxii</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Quercus cerris</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Betula papyrifera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21</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Quercus phellos</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Pleuranthodendron lindenii</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Quercus montana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21</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Pinus rigida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Inga sp.</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Quercus pubescens</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Tilia americana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Cupania macrophylla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Abies balsamea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Nothofagus antarctica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Genipa americana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Quercus alba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19</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Eucalyptus baxteri</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Brosimum alicastrum</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Pinus cembra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Coprosma quadrifida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Pouteria sp.</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Populus euphratica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Eschweilera coriacea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Macrolobium costaricense</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Olea europaea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Arbutus unedo</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Eschweilera sp.</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Quercus rotundifolia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Psiadia altissima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Aspidosperma desmanthum</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Hevea brasiliensis</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Quercus suber</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Trophis mexicana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Betula alleghaniensis</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Betula pubescens</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Betula pendula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Pinus nigra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Fraxinus pennsylvanica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Iryanthera sagotiana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Picea sitchensis</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Pouteria anomala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Vantanea sp</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Pinus edulis</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Protium tenuifolium</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Recordoxylon speciosum</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576"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Juniperus monosperma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Hieronyma alchorneoides</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Larix kaempferi x Larix gmelinii</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Eucalyptus victrix</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Mollinedia schottiana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Cryptomeria japonica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Eucalyptus obliqua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Rustia formosa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Eugenia spp.</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Quercus lyrata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Theobroma cacao</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Ocotea samosa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Celtis laevigata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Carapa guianensis</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Leptolaena sp.</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Quercus coccinea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Gymnanthes riparia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Abrahamia ditimena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Populus grandidentata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Ilex aquifolium</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Brachylaena ramiflora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Malus domestica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Vouacapoua americana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Cryptocarya sp.</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Eucalyptus tereticornis</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Oxandra asbeckii</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Saurauia pedunculata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Quercus faginea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Goupia glabra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Turpinia insignis</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Pinus canariensis</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Vernonia arborea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Sassafras albidum</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Elaeis guineensis</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Platanus mexicana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Ulmus americana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Acacia longifolia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Clethra macrophylla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Carya glabra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Pinus pinaster</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Larix sibirica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Quercus falcata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Thuja occidentalis</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Larix gmelinii</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Cornus florida</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Carya tomentosa</w:t>
            </w:r>
          </w:p>
        </w:tc>
        <w:tc>
          <w:tcPr>
            <w:tcW w:w="864"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w:t>
            </w:r>
          </w:p>
        </w:tc>
        <w:tc>
          <w:tcPr>
            <w:tcW w:w="719"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Pinus sibirica</w:t>
            </w:r>
          </w:p>
        </w:tc>
        <w:tc>
          <w:tcPr>
            <w:tcW w:w="86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21"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Licania rodriguesii</w:t>
            </w:r>
          </w:p>
        </w:tc>
        <w:tc>
          <w:tcPr>
            <w:tcW w:w="86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r>
        <w:trPr>
          <w:trHeight w:val="288" w:hRule="atLeast"/>
          <w:cantSplit w:val="true"/>
        </w:trPr>
        <w:tc>
          <w:tcPr>
            <w:tcW w:w="1872" w:type="dxa"/>
            <w:tcBorders>
              <w:bottom w:val="single" w:sz="16" w:space="0" w:color="000000"/>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Dicorynia guianensis</w:t>
            </w:r>
          </w:p>
        </w:tc>
        <w:tc>
          <w:tcPr>
            <w:tcW w:w="864" w:type="dxa"/>
            <w:tcBorders>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w:t>
            </w:r>
          </w:p>
        </w:tc>
        <w:tc>
          <w:tcPr>
            <w:tcW w:w="719" w:type="dxa"/>
            <w:tcBorders>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1873" w:type="dxa"/>
            <w:tcBorders>
              <w:bottom w:val="single" w:sz="16" w:space="0" w:color="000000"/>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Pinus virginiana</w:t>
            </w:r>
          </w:p>
        </w:tc>
        <w:tc>
          <w:tcPr>
            <w:tcW w:w="863" w:type="dxa"/>
            <w:tcBorders>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721" w:type="dxa"/>
            <w:tcBorders>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1871" w:type="dxa"/>
            <w:tcBorders>
              <w:bottom w:val="single" w:sz="16" w:space="0" w:color="000000"/>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Sextonia rubra</w:t>
            </w:r>
          </w:p>
        </w:tc>
        <w:tc>
          <w:tcPr>
            <w:tcW w:w="867" w:type="dxa"/>
            <w:tcBorders>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c>
          <w:tcPr>
            <w:tcW w:w="717" w:type="dxa"/>
            <w:tcBorders>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w:t>
            </w:r>
          </w:p>
        </w:tc>
      </w:tr>
    </w:tbl>
    <w:p>
      <w:pPr>
        <w:pStyle w:val="Normal"/>
        <w:rPr>
          <w:b/>
          <w:b/>
        </w:rPr>
      </w:pPr>
      <w:r>
        <w:rPr>
          <w:b/>
        </w:rPr>
      </w:r>
      <w:r>
        <w:br w:type="page"/>
      </w:r>
    </w:p>
    <w:p>
      <w:pPr>
        <w:pStyle w:val="Cuerpodetexto"/>
        <w:rPr>
          <w:rFonts w:ascii="Times New Roman" w:hAnsi="Times New Roman"/>
        </w:rPr>
      </w:pPr>
      <w:r>
        <w:rPr>
          <w:rFonts w:ascii="Times New Roman" w:hAnsi="Times New Roman"/>
          <w:b/>
        </w:rPr>
        <w:t>Table S5.</w:t>
      </w:r>
      <w:r>
        <w:rPr>
          <w:rFonts w:ascii="Times New Roman" w:hAnsi="Times New Roman"/>
        </w:rPr>
        <w:t xml:space="preserve"> Number of plants per genus present in the SAPFLUXNET database.</w:t>
      </w:r>
    </w:p>
    <w:tbl>
      <w:tblPr>
        <w:tblW w:w="8840" w:type="dxa"/>
        <w:jc w:val="center"/>
        <w:tblInd w:w="0" w:type="dxa"/>
        <w:tblCellMar>
          <w:top w:w="0" w:type="dxa"/>
          <w:left w:w="0" w:type="dxa"/>
          <w:bottom w:w="0" w:type="dxa"/>
          <w:right w:w="0" w:type="dxa"/>
        </w:tblCellMar>
        <w:tblLook w:noHBand="0" w:noVBand="1" w:firstColumn="0" w:lastRow="0" w:lastColumn="0" w:firstRow="1"/>
      </w:tblPr>
      <w:tblGrid>
        <w:gridCol w:w="1551"/>
        <w:gridCol w:w="1000"/>
        <w:gridCol w:w="1783"/>
        <w:gridCol w:w="1183"/>
        <w:gridCol w:w="2139"/>
        <w:gridCol w:w="1183"/>
      </w:tblGrid>
      <w:tr>
        <w:trPr>
          <w:tblHeader w:val="true"/>
          <w:trHeight w:val="312" w:hRule="atLeast"/>
          <w:cantSplit w:val="true"/>
        </w:trPr>
        <w:tc>
          <w:tcPr>
            <w:tcW w:w="1551" w:type="dxa"/>
            <w:tcBorders>
              <w:top w:val="single" w:sz="16" w:space="0" w:color="000000"/>
              <w:bottom w:val="single" w:sz="16" w:space="0" w:color="000000"/>
            </w:tcBorders>
            <w:shd w:color="auto" w:fill="FFFFFF" w:val="clear"/>
            <w:vAlign w:val="center"/>
          </w:tcPr>
          <w:p>
            <w:pPr>
              <w:pStyle w:val="Normal"/>
              <w:spacing w:before="0" w:after="0"/>
              <w:ind w:left="100" w:right="100" w:hanging="0"/>
              <w:jc w:val="left"/>
              <w:rPr/>
            </w:pPr>
            <w:r>
              <w:rPr>
                <w:rFonts w:eastAsia="Arial" w:cs="Arial" w:ascii="Times New Roman" w:hAnsi="Times New Roman"/>
                <w:b/>
                <w:color w:val="111111"/>
                <w:sz w:val="22"/>
                <w:szCs w:val="22"/>
              </w:rPr>
              <w:t>Genus</w:t>
            </w:r>
          </w:p>
        </w:tc>
        <w:tc>
          <w:tcPr>
            <w:tcW w:w="1000" w:type="dxa"/>
            <w:tcBorders>
              <w:top w:val="single" w:sz="16" w:space="0" w:color="000000"/>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b/>
                <w:color w:val="111111"/>
                <w:sz w:val="22"/>
                <w:szCs w:val="22"/>
              </w:rPr>
              <w:t>N plants</w:t>
            </w:r>
          </w:p>
        </w:tc>
        <w:tc>
          <w:tcPr>
            <w:tcW w:w="1783" w:type="dxa"/>
            <w:tcBorders>
              <w:top w:val="single" w:sz="16" w:space="0" w:color="000000"/>
              <w:bottom w:val="single" w:sz="16" w:space="0" w:color="000000"/>
            </w:tcBorders>
            <w:shd w:color="auto" w:fill="FFFFFF" w:val="clear"/>
            <w:vAlign w:val="center"/>
          </w:tcPr>
          <w:p>
            <w:pPr>
              <w:pStyle w:val="Normal"/>
              <w:spacing w:before="0" w:after="0"/>
              <w:ind w:left="100" w:right="100" w:hanging="0"/>
              <w:jc w:val="left"/>
              <w:rPr/>
            </w:pPr>
            <w:r>
              <w:rPr>
                <w:rFonts w:eastAsia="Arial" w:cs="Arial" w:ascii="Times New Roman" w:hAnsi="Times New Roman"/>
                <w:b/>
                <w:color w:val="111111"/>
                <w:sz w:val="22"/>
                <w:szCs w:val="22"/>
              </w:rPr>
              <w:t>Genus</w:t>
            </w:r>
          </w:p>
        </w:tc>
        <w:tc>
          <w:tcPr>
            <w:tcW w:w="1183" w:type="dxa"/>
            <w:tcBorders>
              <w:top w:val="single" w:sz="16" w:space="0" w:color="000000"/>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b/>
                <w:color w:val="111111"/>
                <w:sz w:val="22"/>
                <w:szCs w:val="22"/>
              </w:rPr>
              <w:t>N plants</w:t>
            </w:r>
          </w:p>
        </w:tc>
        <w:tc>
          <w:tcPr>
            <w:tcW w:w="2139" w:type="dxa"/>
            <w:tcBorders>
              <w:top w:val="single" w:sz="16" w:space="0" w:color="000000"/>
              <w:bottom w:val="single" w:sz="16" w:space="0" w:color="000000"/>
            </w:tcBorders>
            <w:shd w:color="auto" w:fill="FFFFFF" w:val="clear"/>
            <w:vAlign w:val="center"/>
          </w:tcPr>
          <w:p>
            <w:pPr>
              <w:pStyle w:val="Normal"/>
              <w:spacing w:before="0" w:after="0"/>
              <w:ind w:left="100" w:right="100" w:hanging="0"/>
              <w:jc w:val="left"/>
              <w:rPr/>
            </w:pPr>
            <w:r>
              <w:rPr>
                <w:rFonts w:eastAsia="Arial" w:cs="Arial" w:ascii="Times New Roman" w:hAnsi="Times New Roman"/>
                <w:b/>
                <w:color w:val="111111"/>
                <w:sz w:val="22"/>
                <w:szCs w:val="22"/>
              </w:rPr>
              <w:t>Genus</w:t>
            </w:r>
          </w:p>
        </w:tc>
        <w:tc>
          <w:tcPr>
            <w:tcW w:w="1183" w:type="dxa"/>
            <w:tcBorders>
              <w:top w:val="single" w:sz="16" w:space="0" w:color="000000"/>
              <w:bottom w:val="single" w:sz="16" w:space="0" w:color="000000"/>
            </w:tcBorders>
            <w:shd w:color="auto" w:fill="FFFFFF" w:val="clear"/>
            <w:vAlign w:val="center"/>
          </w:tcPr>
          <w:p>
            <w:pPr>
              <w:pStyle w:val="Normal"/>
              <w:spacing w:before="0" w:after="0"/>
              <w:ind w:left="100" w:right="100" w:hanging="0"/>
              <w:jc w:val="left"/>
              <w:rPr/>
            </w:pPr>
            <w:r>
              <w:rPr>
                <w:rFonts w:eastAsia="Arial" w:cs="Arial" w:ascii="Times New Roman" w:hAnsi="Times New Roman"/>
                <w:b/>
                <w:color w:val="111111"/>
                <w:sz w:val="22"/>
                <w:szCs w:val="22"/>
              </w:rPr>
              <w:t>N plants</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Pinus</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725</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Cryptocarya</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Ampelocera</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2</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Quercus</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326</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Avicennia</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Otoba</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2</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Acer</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224</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Myrtaceae fam.</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Mortoniodendron</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2</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Picea</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201</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Palaquium</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Meliosma</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2</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Eucalyptus</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188</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Platea</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Taxus</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2</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Fagus</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164</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Agathis</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Sloanea</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2</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Populus</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135</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Ostrya</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Elaeagnus</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2</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Liquidambar</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69</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Drimys</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Lecythis</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2</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Larix</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64</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Alchornea</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Pleuranthodendron</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Abies</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53</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Santiria</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Inga</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Acacia</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52</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Tilia</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Cupania</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Betula</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51</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Qualea</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Genipa</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Liriodendron</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51</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Coprosma</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Brosimum</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Pseudotsuga</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29</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Arbutus</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Macrolobium</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Tsuga</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24</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Psiadia</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4</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Aspidosperma</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Olea</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Protium</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Trophis</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Hevea</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16</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Hieronyma</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Iryanthera</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Juniperus</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15</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Mollinedia</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Vantanea</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Nothofagus</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14</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Rustia</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Recordoxylon</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Carya</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Theobroma</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Cryptomeria</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Celtis</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13</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Carapa</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Eugenia</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Pouteria</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Gymnanthes</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Ocotea</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Fraxinus</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12</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Ilex</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Leptolaena</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Malus</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11</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Vouacapoua</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Abrahamia</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Elaeis</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Oxandra</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Brachylaena</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Thuja</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10</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Goupia</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Saurauia</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Dicorynia</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9</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Vernonia</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Turpinia</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Licania</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Platanus</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Sassafras</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Kandelia</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Clethra</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Ulmus</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Carpinus</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Prunus</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3</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Cornus</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Castanopsis</w:t>
            </w:r>
          </w:p>
        </w:tc>
        <w:tc>
          <w:tcPr>
            <w:tcW w:w="1000"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8</w:t>
            </w:r>
          </w:p>
        </w:tc>
        <w:tc>
          <w:tcPr>
            <w:tcW w:w="17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Swartzia</w:t>
            </w:r>
          </w:p>
        </w:tc>
        <w:tc>
          <w:tcPr>
            <w:tcW w:w="1183" w:type="dxa"/>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2139" w:type="dxa"/>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Sextonia</w:t>
            </w:r>
          </w:p>
        </w:tc>
        <w:tc>
          <w:tcPr>
            <w:tcW w:w="1183" w:type="dxa"/>
            <w:tcBorders/>
            <w:shd w:color="auto" w:fill="FFFFFF" w:val="clear"/>
            <w:vAlign w:val="center"/>
          </w:tcPr>
          <w:p>
            <w:pPr>
              <w:pStyle w:val="Normal"/>
              <w:spacing w:before="0" w:after="0"/>
              <w:ind w:left="100" w:right="100" w:hanging="0"/>
              <w:jc w:val="left"/>
              <w:rPr/>
            </w:pPr>
            <w:r>
              <w:rPr>
                <w:rFonts w:eastAsia="Arial" w:cs="Arial" w:ascii="Times New Roman" w:hAnsi="Times New Roman"/>
                <w:color w:val="111111"/>
                <w:sz w:val="20"/>
                <w:szCs w:val="20"/>
              </w:rPr>
              <w:t>1</w:t>
            </w:r>
          </w:p>
        </w:tc>
      </w:tr>
      <w:tr>
        <w:trPr>
          <w:trHeight w:val="288" w:hRule="atLeast"/>
          <w:cantSplit w:val="true"/>
        </w:trPr>
        <w:tc>
          <w:tcPr>
            <w:tcW w:w="1551" w:type="dxa"/>
            <w:tcBorders>
              <w:bottom w:val="single" w:sz="16" w:space="0" w:color="000000"/>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Eschweilera</w:t>
            </w:r>
          </w:p>
        </w:tc>
        <w:tc>
          <w:tcPr>
            <w:tcW w:w="1000" w:type="dxa"/>
            <w:tcBorders>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7</w:t>
            </w:r>
          </w:p>
        </w:tc>
        <w:tc>
          <w:tcPr>
            <w:tcW w:w="1783" w:type="dxa"/>
            <w:tcBorders>
              <w:bottom w:val="single" w:sz="16" w:space="0" w:color="000000"/>
            </w:tcBorders>
            <w:shd w:color="auto" w:fill="FFFFFF" w:val="clear"/>
            <w:vAlign w:val="center"/>
          </w:tcPr>
          <w:p>
            <w:pPr>
              <w:pStyle w:val="Normal"/>
              <w:spacing w:before="0" w:after="0"/>
              <w:ind w:left="100" w:right="100" w:hanging="0"/>
              <w:jc w:val="left"/>
              <w:rPr/>
            </w:pPr>
            <w:r>
              <w:rPr>
                <w:rFonts w:eastAsia="Arial" w:cs="Arial" w:ascii="Times New Roman" w:hAnsi="Times New Roman"/>
                <w:i/>
                <w:color w:val="111111"/>
                <w:sz w:val="20"/>
                <w:szCs w:val="20"/>
              </w:rPr>
              <w:t>Manilkara</w:t>
            </w:r>
          </w:p>
        </w:tc>
        <w:tc>
          <w:tcPr>
            <w:tcW w:w="1183" w:type="dxa"/>
            <w:tcBorders>
              <w:bottom w:val="single" w:sz="16" w:space="0" w:color="000000"/>
            </w:tcBorders>
            <w:shd w:color="auto" w:fill="FFFFFF" w:val="clear"/>
            <w:vAlign w:val="center"/>
          </w:tcPr>
          <w:p>
            <w:pPr>
              <w:pStyle w:val="Normal"/>
              <w:spacing w:before="0" w:after="0"/>
              <w:ind w:left="100" w:right="100" w:hanging="0"/>
              <w:jc w:val="right"/>
              <w:rPr/>
            </w:pPr>
            <w:r>
              <w:rPr>
                <w:rFonts w:eastAsia="Arial" w:cs="Arial" w:ascii="Times New Roman" w:hAnsi="Times New Roman"/>
                <w:color w:val="111111"/>
                <w:sz w:val="20"/>
                <w:szCs w:val="20"/>
              </w:rPr>
              <w:t>2</w:t>
            </w:r>
          </w:p>
        </w:tc>
        <w:tc>
          <w:tcPr>
            <w:tcW w:w="2139" w:type="dxa"/>
            <w:tcBorders>
              <w:bottom w:val="single" w:sz="16" w:space="0" w:color="000000"/>
            </w:tcBorders>
            <w:shd w:color="auto" w:fill="FFFFFF" w:val="clear"/>
            <w:vAlign w:val="center"/>
          </w:tcPr>
          <w:p>
            <w:pPr>
              <w:pStyle w:val="Normal"/>
              <w:spacing w:before="0" w:after="0"/>
              <w:ind w:left="100" w:right="100" w:hanging="0"/>
              <w:jc w:val="left"/>
              <w:rPr>
                <w:rFonts w:ascii="Times New Roman" w:hAnsi="Times New Roman"/>
              </w:rPr>
            </w:pPr>
            <w:r>
              <w:rPr>
                <w:rFonts w:ascii="Times New Roman" w:hAnsi="Times New Roman"/>
              </w:rPr>
            </w:r>
          </w:p>
        </w:tc>
        <w:tc>
          <w:tcPr>
            <w:tcW w:w="1183" w:type="dxa"/>
            <w:tcBorders>
              <w:bottom w:val="single" w:sz="16" w:space="0" w:color="000000"/>
            </w:tcBorders>
            <w:shd w:color="auto" w:fill="FFFFFF" w:val="clear"/>
            <w:vAlign w:val="center"/>
          </w:tcPr>
          <w:p>
            <w:pPr>
              <w:pStyle w:val="Normal"/>
              <w:spacing w:before="0" w:after="0"/>
              <w:ind w:left="100" w:right="100" w:hanging="0"/>
              <w:jc w:val="left"/>
              <w:rPr>
                <w:rFonts w:ascii="Times New Roman" w:hAnsi="Times New Roman"/>
              </w:rPr>
            </w:pPr>
            <w:r>
              <w:rPr>
                <w:rFonts w:ascii="Times New Roman" w:hAnsi="Times New Roman"/>
              </w:rPr>
            </w:r>
          </w:p>
        </w:tc>
      </w:tr>
    </w:tbl>
    <w:p>
      <w:pPr>
        <w:pStyle w:val="Normal"/>
        <w:rPr>
          <w:rFonts w:ascii="Times New Roman" w:hAnsi="Times New Roman"/>
        </w:rPr>
      </w:pPr>
      <w:r>
        <w:rPr>
          <w:rFonts w:ascii="Times New Roman" w:hAnsi="Times New Roman"/>
        </w:rPr>
      </w:r>
    </w:p>
    <w:p>
      <w:pPr>
        <w:pStyle w:val="Ttulo2"/>
        <w:rPr>
          <w:rFonts w:ascii="Times New Roman" w:hAnsi="Times New Roman"/>
        </w:rPr>
      </w:pPr>
      <w:r>
        <w:rPr>
          <w:rFonts w:ascii="Times New Roman" w:hAnsi="Times New Roman"/>
          <w:sz w:val="20"/>
          <w:szCs w:val="20"/>
        </w:rPr>
      </w:r>
      <w:r>
        <w:br w:type="page"/>
      </w:r>
    </w:p>
    <w:p>
      <w:pPr>
        <w:pStyle w:val="Cuerpodetexto"/>
        <w:rPr>
          <w:rFonts w:ascii="Times New Roman" w:hAnsi="Times New Roman"/>
          <w:sz w:val="20"/>
          <w:szCs w:val="20"/>
        </w:rPr>
      </w:pPr>
      <w:r>
        <w:rPr/>
        <w:drawing>
          <wp:inline distT="0" distB="0" distL="0" distR="0">
            <wp:extent cx="4331970" cy="6993255"/>
            <wp:effectExtent l="0" t="0" r="0" b="0"/>
            <wp:docPr id="1" name="Picture" descr="Figure S1. Overview of the data QC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S1. Overview of the data QC process"/>
                    <pic:cNvPicPr>
                      <a:picLocks noChangeAspect="1" noChangeArrowheads="1"/>
                    </pic:cNvPicPr>
                  </pic:nvPicPr>
                  <pic:blipFill>
                    <a:blip r:embed="rId2"/>
                    <a:stretch>
                      <a:fillRect/>
                    </a:stretch>
                  </pic:blipFill>
                  <pic:spPr bwMode="auto">
                    <a:xfrm>
                      <a:off x="0" y="0"/>
                      <a:ext cx="4331970" cy="6993255"/>
                    </a:xfrm>
                    <a:prstGeom prst="rect">
                      <a:avLst/>
                    </a:prstGeom>
                  </pic:spPr>
                </pic:pic>
              </a:graphicData>
            </a:graphic>
          </wp:inline>
        </w:drawing>
      </w:r>
      <w:r>
        <w:rPr>
          <w:rFonts w:ascii="Times New Roman" w:hAnsi="Times New Roman"/>
          <w:sz w:val="20"/>
          <w:szCs w:val="20"/>
        </w:rPr>
        <w:t xml:space="preserve"> </w:t>
      </w:r>
    </w:p>
    <w:p>
      <w:pPr>
        <w:pStyle w:val="FirstParagraph"/>
        <w:rPr>
          <w:rFonts w:ascii="Times New Roman" w:hAnsi="Times New Roman"/>
          <w:sz w:val="20"/>
          <w:szCs w:val="20"/>
        </w:rPr>
      </w:pPr>
      <w:r>
        <w:rPr>
          <w:rFonts w:ascii="Times New Roman" w:hAnsi="Times New Roman"/>
          <w:b/>
          <w:sz w:val="20"/>
          <w:szCs w:val="20"/>
        </w:rPr>
        <w:t>Figure S1. Overview of the data QC process, showing file management and identifying automatic (in yellow) and manual steps (in red). The column on the left shows the different updates of the status file for each dataset and the column on the right shows generated data reports and steps requiring feedback or manual changes.</w:t>
      </w:r>
      <w:r>
        <w:br w:type="page"/>
      </w:r>
    </w:p>
    <w:p>
      <w:pPr>
        <w:pStyle w:val="Cuerpodetexto"/>
        <w:rPr>
          <w:rFonts w:ascii="Times New Roman" w:hAnsi="Times New Roman"/>
          <w:sz w:val="20"/>
          <w:szCs w:val="20"/>
        </w:rPr>
      </w:pPr>
      <w:r>
        <w:rPr/>
        <w:drawing>
          <wp:inline distT="0" distB="0" distL="0" distR="0">
            <wp:extent cx="5346700" cy="7084060"/>
            <wp:effectExtent l="0" t="0" r="0" b="0"/>
            <wp:docPr id="2" name="Imagen1" descr="Figure S2. Structure of sfn_data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Figure S2. Structure of sfn_data objects"/>
                    <pic:cNvPicPr>
                      <a:picLocks noChangeAspect="1" noChangeArrowheads="1"/>
                    </pic:cNvPicPr>
                  </pic:nvPicPr>
                  <pic:blipFill>
                    <a:blip r:embed="rId3"/>
                    <a:stretch>
                      <a:fillRect/>
                    </a:stretch>
                  </pic:blipFill>
                  <pic:spPr bwMode="auto">
                    <a:xfrm>
                      <a:off x="0" y="0"/>
                      <a:ext cx="5346700" cy="7084060"/>
                    </a:xfrm>
                    <a:prstGeom prst="rect">
                      <a:avLst/>
                    </a:prstGeom>
                  </pic:spPr>
                </pic:pic>
              </a:graphicData>
            </a:graphic>
          </wp:inline>
        </w:drawing>
      </w:r>
      <w:r>
        <w:rPr>
          <w:rFonts w:ascii="Times New Roman" w:hAnsi="Times New Roman"/>
          <w:sz w:val="20"/>
          <w:szCs w:val="20"/>
        </w:rPr>
        <w:t xml:space="preserve"> </w:t>
      </w:r>
    </w:p>
    <w:p>
      <w:pPr>
        <w:pStyle w:val="Cuerpodetexto"/>
        <w:rPr>
          <w:rFonts w:ascii="Times New Roman" w:hAnsi="Times New Roman"/>
          <w:sz w:val="20"/>
          <w:szCs w:val="20"/>
        </w:rPr>
      </w:pPr>
      <w:r>
        <w:rPr>
          <w:rFonts w:ascii="Times New Roman" w:hAnsi="Times New Roman"/>
          <w:b/>
          <w:bCs/>
          <w:sz w:val="20"/>
          <w:szCs w:val="20"/>
        </w:rPr>
        <w:t>Figure S2. (a) Structure of sfn_data objects, which are based on the S4 class. Boxes in the figure represent different slots where data are stored. Each object is identified by the ‘si_code’, stored as a slot in the object, with the format of a character vector. Slots storing time series of data and the associated data flags are of class ‘tibble’ and have all the same number of rows (</w:t>
      </w:r>
      <w:r>
        <w:rPr>
          <w:rFonts w:ascii="Times New Roman" w:hAnsi="Times New Roman"/>
          <w:b/>
          <w:bCs/>
          <w:i/>
          <w:sz w:val="20"/>
          <w:szCs w:val="20"/>
        </w:rPr>
        <w:t>i</w:t>
      </w:r>
      <w:r>
        <w:rPr>
          <w:rFonts w:ascii="Times New Roman" w:hAnsi="Times New Roman"/>
          <w:b/>
          <w:bCs/>
          <w:sz w:val="20"/>
          <w:szCs w:val="20"/>
        </w:rPr>
        <w:t>), corresponding to the the number of timesteps in the dataset and labelled with two POSIXct timestamp vectors (TIMESTAMP, solar_TIMESTAMP).The slot storing sap flow data, ‘sapf_data’ contains(</w:t>
      </w:r>
      <w:r>
        <w:rPr>
          <w:rFonts w:ascii="Times New Roman" w:hAnsi="Times New Roman"/>
          <w:b/>
          <w:bCs/>
          <w:i/>
          <w:sz w:val="20"/>
          <w:szCs w:val="20"/>
        </w:rPr>
        <w:t>j</w:t>
      </w:r>
      <w:r>
        <w:rPr>
          <w:rFonts w:ascii="Times New Roman" w:hAnsi="Times New Roman"/>
          <w:b/>
          <w:bCs/>
          <w:sz w:val="20"/>
          <w:szCs w:val="20"/>
        </w:rPr>
        <w:t xml:space="preserve">) columns and environmental data (‘env_data’) contains </w:t>
      </w:r>
      <w:r>
        <w:rPr>
          <w:rFonts w:ascii="Times New Roman" w:hAnsi="Times New Roman"/>
          <w:b/>
          <w:bCs/>
          <w:i/>
          <w:sz w:val="20"/>
          <w:szCs w:val="20"/>
        </w:rPr>
        <w:t>k</w:t>
      </w:r>
      <w:r>
        <w:rPr>
          <w:rFonts w:ascii="Times New Roman" w:hAnsi="Times New Roman"/>
          <w:b/>
          <w:bCs/>
          <w:sz w:val="20"/>
          <w:szCs w:val="20"/>
        </w:rPr>
        <w:t xml:space="preserve"> columns, corresponding to the number of environmental variables present. Slots with the suffix ‘md’ refer to the different metadata and all are objects of class ‘tibble’ with different dimensions. For example, the number of rows in ‘plant_md’ depends on the number of plants in the dataset (and this is depicted by the different length of the box). More information on the ‘sfn_data’ class objects can be found in the vignette ‘sfn-data-classes’ of the package </w:t>
      </w:r>
      <w:hyperlink r:id="rId4">
        <w:r>
          <w:rPr>
            <w:rFonts w:ascii="Times New Roman" w:hAnsi="Times New Roman"/>
            <w:b/>
            <w:bCs/>
            <w:sz w:val="20"/>
            <w:szCs w:val="20"/>
          </w:rPr>
          <w:t>sapfluxnetr</w:t>
        </w:r>
      </w:hyperlink>
      <w:r>
        <w:rPr>
          <w:rFonts w:ascii="Times New Roman" w:hAnsi="Times New Roman"/>
          <w:b/>
          <w:bCs/>
          <w:sz w:val="20"/>
          <w:szCs w:val="20"/>
        </w:rPr>
        <w:t>. (b) Summary of a sfn_data object, showing highlights of site metadata, data dimensions, timestamp span and flags present on the data.</w:t>
      </w:r>
      <w:r>
        <w:br w:type="page"/>
      </w:r>
    </w:p>
    <w:p>
      <w:pPr>
        <w:pStyle w:val="Cuerpodetexto"/>
        <w:rPr>
          <w:rFonts w:ascii="Times New Roman" w:hAnsi="Times New Roman"/>
          <w:sz w:val="20"/>
          <w:szCs w:val="20"/>
        </w:rPr>
      </w:pPr>
      <w:r>
        <w:rPr/>
        <w:drawing>
          <wp:inline distT="0" distB="0" distL="0" distR="0">
            <wp:extent cx="5943600" cy="2841625"/>
            <wp:effectExtent l="0" t="0" r="0" b="0"/>
            <wp:docPr id="3" name="Imagen2" descr="Figure S3. Screenshot of the data cleaning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Figure S3. Screenshot of the data cleaning app"/>
                    <pic:cNvPicPr>
                      <a:picLocks noChangeAspect="1" noChangeArrowheads="1"/>
                    </pic:cNvPicPr>
                  </pic:nvPicPr>
                  <pic:blipFill>
                    <a:blip r:embed="rId5"/>
                    <a:stretch>
                      <a:fillRect/>
                    </a:stretch>
                  </pic:blipFill>
                  <pic:spPr bwMode="auto">
                    <a:xfrm>
                      <a:off x="0" y="0"/>
                      <a:ext cx="5943600" cy="2841625"/>
                    </a:xfrm>
                    <a:prstGeom prst="rect">
                      <a:avLst/>
                    </a:prstGeom>
                  </pic:spPr>
                </pic:pic>
              </a:graphicData>
            </a:graphic>
          </wp:inline>
        </w:drawing>
      </w:r>
      <w:r>
        <w:rPr>
          <w:rFonts w:ascii="Times New Roman" w:hAnsi="Times New Roman"/>
          <w:sz w:val="20"/>
          <w:szCs w:val="20"/>
        </w:rPr>
        <w:t xml:space="preserve"> </w:t>
      </w:r>
      <w:r>
        <w:rPr>
          <w:rFonts w:ascii="Times New Roman" w:hAnsi="Times New Roman"/>
          <w:b/>
          <w:sz w:val="20"/>
          <w:szCs w:val="20"/>
        </w:rPr>
        <w:t>Figure S3. Example screenshot of the app used for handling outliers and out of range values in time series. The left column shows dataset and variable selection. The central part shows the time series, with out of range values in red and possible outliers in yellow. Rows to replace or remove are selected in a table and written to a text file when done.</w:t>
      </w:r>
      <w:r>
        <w:br w:type="page"/>
      </w:r>
    </w:p>
    <w:p>
      <w:pPr>
        <w:pStyle w:val="Cuerpodetexto"/>
        <w:rPr>
          <w:rFonts w:ascii="Times New Roman" w:hAnsi="Times New Roman"/>
          <w:sz w:val="20"/>
          <w:szCs w:val="20"/>
        </w:rPr>
      </w:pPr>
      <w:r>
        <w:rPr/>
        <w:drawing>
          <wp:inline distT="0" distB="0" distL="0" distR="0">
            <wp:extent cx="5943600" cy="7132320"/>
            <wp:effectExtent l="0" t="0" r="0" b="0"/>
            <wp:docPr id="4" name="Imagen3" descr="Figure S4. Detailed geographic distribution of SAPFLUXNET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Figure S4. Detailed geographic distribution of SAPFLUXNET datasets"/>
                    <pic:cNvPicPr>
                      <a:picLocks noChangeAspect="1" noChangeArrowheads="1"/>
                    </pic:cNvPicPr>
                  </pic:nvPicPr>
                  <pic:blipFill>
                    <a:blip r:embed="rId6"/>
                    <a:stretch>
                      <a:fillRect/>
                    </a:stretch>
                  </pic:blipFill>
                  <pic:spPr bwMode="auto">
                    <a:xfrm>
                      <a:off x="0" y="0"/>
                      <a:ext cx="5943600" cy="7132320"/>
                    </a:xfrm>
                    <a:prstGeom prst="rect">
                      <a:avLst/>
                    </a:prstGeom>
                  </pic:spPr>
                </pic:pic>
              </a:graphicData>
            </a:graphic>
          </wp:inline>
        </w:drawing>
      </w:r>
      <w:r>
        <w:rPr>
          <w:rFonts w:ascii="Times New Roman" w:hAnsi="Times New Roman"/>
          <w:sz w:val="20"/>
          <w:szCs w:val="20"/>
        </w:rPr>
        <w:t xml:space="preserve"> </w:t>
      </w:r>
      <w:r>
        <w:rPr>
          <w:rFonts w:ascii="Times New Roman" w:hAnsi="Times New Roman"/>
          <w:b/>
          <w:sz w:val="20"/>
          <w:szCs w:val="20"/>
        </w:rPr>
        <w:t>Figure S4. Detailed geographic distribution of SAPFLUXNET datasets. Datasets are labelled by dataset number in Table S8. Woodland area from Crowther et al. (2015) shown in green.</w:t>
      </w:r>
    </w:p>
    <w:p>
      <w:pPr>
        <w:pStyle w:val="Normal"/>
        <w:spacing w:before="0" w:after="200"/>
        <w:rPr>
          <w:rFonts w:ascii="Times New Roman" w:hAnsi="Times New Roman"/>
          <w:sz w:val="20"/>
          <w:szCs w:val="20"/>
        </w:rPr>
      </w:pPr>
      <w:r>
        <w:rPr/>
      </w:r>
    </w:p>
    <w:sectPr>
      <w:footerReference w:type="default" r:id="rId7"/>
      <w:type w:val="nextPage"/>
      <w:pgSz w:w="12240" w:h="15840"/>
      <w:pgMar w:left="1440" w:right="1440" w:header="0" w:top="1440" w:footer="1440" w:bottom="20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suppressLineNumbers/>
      <w:spacing w:before="0" w:after="200"/>
      <w:rPr/>
    </w:pPr>
    <w:r>
      <w:rPr/>
      <w:fldChar w:fldCharType="begin"/>
    </w:r>
    <w:r>
      <w:rPr/>
      <w:instrText> PAGE </w:instrText>
    </w:r>
    <w:r>
      <w:rPr/>
      <w:fldChar w:fldCharType="separate"/>
    </w:r>
    <w:r>
      <w:rPr/>
      <w:t>17</w:t>
    </w:r>
    <w:r>
      <w:rPr/>
      <w:fldChar w:fldCharType="end"/>
    </w:r>
  </w:p>
</w:ftr>
</file>

<file path=word/settings.xml><?xml version="1.0" encoding="utf-8"?>
<w:settings xmlns:w="http://schemas.openxmlformats.org/wordprocessingml/2006/main">
  <w:zoom w:percent="65"/>
  <w:embedSystemFonts/>
  <w:defaultTabStop w:val="720"/>
  <w:autoHyphenation w:val="true"/>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Ttulo2">
    <w:name w:val="Heading 2"/>
    <w:basedOn w:val="Normal"/>
    <w:next w:val="Cuerpodetexto"/>
    <w:uiPriority w:val="9"/>
    <w:unhideWhenUsed/>
    <w:qFormat/>
    <w:pPr>
      <w:keepNext w:val="true"/>
      <w:keepLines/>
      <w:spacing w:before="200" w:after="0"/>
      <w:outlineLvl w:val="1"/>
    </w:pPr>
    <w:rPr>
      <w:rFonts w:ascii="Liberation Serif" w:hAnsi="Liberation Serif" w:eastAsia="" w:cs="" w:cstheme="majorBidi" w:eastAsiaTheme="majorEastAsia"/>
      <w:b/>
      <w:bCs/>
      <w:color w:val="000000"/>
      <w:sz w:val="32"/>
      <w:szCs w:val="32"/>
    </w:rPr>
  </w:style>
  <w:style w:type="paragraph" w:styleId="Ttulo3">
    <w:name w:val="Heading 3"/>
    <w:basedOn w:val="Normal"/>
    <w:next w:val="Cuerpodetexto"/>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Ancladenotaalpie">
    <w:name w:val="Ancla de nota al pie"/>
    <w:rPr>
      <w:vertAlign w:val="superscript"/>
    </w:rPr>
  </w:style>
  <w:style w:type="character" w:styleId="FootnoteCharacters">
    <w:name w:val="Footnote Characters"/>
    <w:basedOn w:val="BodyTextChar"/>
    <w:qFormat/>
    <w:rPr>
      <w:vertAlign w:val="superscript"/>
    </w:rPr>
  </w:style>
  <w:style w:type="character" w:styleId="EnlacedeInternet">
    <w:name w:val="Enlace de Internet"/>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BodyTextChar"/>
    <w:qFormat/>
    <w:pPr>
      <w:spacing w:before="180" w:after="180"/>
    </w:pPr>
    <w:rPr/>
  </w:style>
  <w:style w:type="paragraph" w:styleId="Lista">
    <w:name w:val="List"/>
    <w:basedOn w:val="Cuerpodetexto"/>
    <w:pPr/>
    <w:rPr>
      <w:rFonts w:cs="Lohit Devanagari"/>
    </w:rPr>
  </w:style>
  <w:style w:type="paragraph" w:styleId="Leyenda">
    <w:name w:val="Caption"/>
    <w:basedOn w:val="Normal"/>
    <w:link w:val="BodyTextChar"/>
    <w:qFormat/>
    <w:pPr>
      <w:spacing w:before="0" w:after="120"/>
    </w:pPr>
    <w:rPr>
      <w:i/>
    </w:rPr>
  </w:style>
  <w:style w:type="paragraph" w:styleId="Ndice">
    <w:name w:val="Índice"/>
    <w:basedOn w:val="Normal"/>
    <w:qFormat/>
    <w:pPr>
      <w:suppressLineNumbers/>
    </w:pPr>
    <w:rPr>
      <w:rFonts w:cs="Lohit Devanagari"/>
    </w:rPr>
  </w:style>
  <w:style w:type="paragraph" w:styleId="FirstParagraph" w:customStyle="1">
    <w:name w:val="First Paragraph"/>
    <w:basedOn w:val="Cuerpodetexto"/>
    <w:next w:val="Cuerpodetexto"/>
    <w:qFormat/>
    <w:pPr/>
    <w:rPr>
      <w:rFonts w:ascii="Liberation Serif" w:hAnsi="Liberation Serif"/>
    </w:rPr>
  </w:style>
  <w:style w:type="paragraph" w:styleId="Compact" w:customStyle="1">
    <w:name w:val="Compact"/>
    <w:basedOn w:val="Cuerpodetexto"/>
    <w:qFormat/>
    <w:pPr>
      <w:spacing w:before="36" w:after="36"/>
    </w:pPr>
    <w:rPr/>
  </w:style>
  <w:style w:type="paragraph" w:styleId="Titular">
    <w:name w:val="Title"/>
    <w:basedOn w:val="Normal"/>
    <w:next w:val="Cuerpodetexto"/>
    <w:qFormat/>
    <w:pPr>
      <w:keepNext w:val="true"/>
      <w:keepLines/>
      <w:spacing w:before="480" w:after="240"/>
      <w:jc w:val="center"/>
    </w:pPr>
    <w:rPr>
      <w:rFonts w:ascii="Liberation Serif" w:hAnsi="Liberation Serif" w:eastAsia="" w:cs="" w:cstheme="majorBidi" w:eastAsiaTheme="majorEastAsia"/>
      <w:b/>
      <w:bCs/>
      <w:color w:val="000000" w:themeShade="b5"/>
      <w:sz w:val="36"/>
      <w:szCs w:val="36"/>
    </w:rPr>
  </w:style>
  <w:style w:type="paragraph" w:styleId="Subttulo">
    <w:name w:val="Subtitle"/>
    <w:basedOn w:val="Titular"/>
    <w:next w:val="Cuerpodetexto"/>
    <w:qFormat/>
    <w:pPr>
      <w:keepNext w:val="true"/>
      <w:keepLines/>
      <w:spacing w:before="240" w:after="240"/>
      <w:jc w:val="center"/>
    </w:pPr>
    <w:rPr>
      <w:sz w:val="30"/>
      <w:szCs w:val="30"/>
    </w:rPr>
  </w:style>
  <w:style w:type="paragraph" w:styleId="Author" w:customStyle="1">
    <w:name w:val="Author"/>
    <w:next w:val="Cuerpodetexto"/>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yenda"/>
    <w:qFormat/>
    <w:pPr>
      <w:keepNext w:val="true"/>
    </w:pPr>
    <w:rPr/>
  </w:style>
  <w:style w:type="paragraph" w:styleId="ImageCaption" w:customStyle="1">
    <w:name w:val="Image Caption"/>
    <w:basedOn w:val="Leyenda"/>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OCHeading">
    <w:name w:val="TOC Heading"/>
    <w:basedOn w:val="Ttulo1"/>
    <w:next w:val="Cuerpodetexto"/>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Contenidodelatabla">
    <w:name w:val="Contenido de la tabla"/>
    <w:basedOn w:val="Normal"/>
    <w:qFormat/>
    <w:pPr>
      <w:suppressLineNumbers/>
    </w:pPr>
    <w:rPr/>
  </w:style>
  <w:style w:type="paragraph" w:styleId="Ttulodelatabla">
    <w:name w:val="Título de la tabla"/>
    <w:basedOn w:val="Contenidodelatabla"/>
    <w:qFormat/>
    <w:pPr>
      <w:suppressLineNumbers/>
      <w:jc w:val="center"/>
    </w:pPr>
    <w:rPr>
      <w:b/>
      <w:bCs/>
    </w:rPr>
  </w:style>
  <w:style w:type="paragraph" w:styleId="Correspondence">
    <w:name w:val="Correspondence"/>
    <w:basedOn w:val="Normal"/>
    <w:qFormat/>
    <w:pPr>
      <w:spacing w:lineRule="auto" w:line="240" w:before="120" w:after="360"/>
    </w:pPr>
    <w:rPr/>
  </w:style>
  <w:style w:type="paragraph" w:styleId="MStitle">
    <w:name w:val="MS title"/>
    <w:basedOn w:val="Normal"/>
    <w:qFormat/>
    <w:pPr>
      <w:spacing w:lineRule="exact" w:line="440" w:before="360" w:after="0"/>
      <w:contextualSpacing/>
    </w:pPr>
    <w:rPr>
      <w:b/>
      <w:sz w:val="34"/>
    </w:rPr>
  </w:style>
  <w:style w:type="paragraph" w:styleId="Authors">
    <w:name w:val="Authors"/>
    <w:basedOn w:val="Normal"/>
    <w:qFormat/>
    <w:pPr>
      <w:spacing w:lineRule="auto" w:line="240" w:before="180" w:after="0"/>
      <w:contextualSpacing/>
    </w:pPr>
    <w:rPr>
      <w:sz w:val="24"/>
    </w:rPr>
  </w:style>
  <w:style w:type="paragraph" w:styleId="Affiliation">
    <w:name w:val="Affiliation"/>
    <w:basedOn w:val="Normal"/>
    <w:qFormat/>
    <w:pPr>
      <w:spacing w:lineRule="auto" w:line="240" w:before="120" w:after="0"/>
      <w:contextualSpacing/>
    </w:pPr>
    <w:rPr/>
  </w:style>
  <w:style w:type="paragraph" w:styleId="Cabeceraypie">
    <w:name w:val="Cabecera y pie"/>
    <w:basedOn w:val="Normal"/>
    <w:qFormat/>
    <w:pPr>
      <w:suppressLineNumbers/>
      <w:tabs>
        <w:tab w:val="clear" w:pos="720"/>
        <w:tab w:val="center" w:pos="4680" w:leader="none"/>
        <w:tab w:val="right" w:pos="9360" w:leader="none"/>
      </w:tabs>
    </w:pPr>
    <w:rPr/>
  </w:style>
  <w:style w:type="paragraph" w:styleId="Piedepgina">
    <w:name w:val="Footer"/>
    <w:basedOn w:val="Cabeceraypie"/>
    <w:pPr>
      <w:suppressLineNumbers/>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github.com/sapfluxnet/sapfluxnetr"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footer" Target="footer1.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Application>LibreOffice/6.4.5.2$Linux_X86_64 LibreOffice_project/40$Build-2</Application>
  <Pages>17</Pages>
  <Words>3252</Words>
  <Characters>16659</Characters>
  <CharactersWithSpaces>17719</CharactersWithSpaces>
  <Paragraphs>2205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2020-08-03T20:53:34Z</dcterms:created>
  <dc:creator/>
  <dc:description/>
  <dc:language>en-GB</dc:language>
  <cp:lastModifiedBy>Rafa Poyatos</cp:lastModifiedBy>
  <dcterms:modified xsi:type="dcterms:W3CDTF">2020-09-27T18:41:53Z</dcterms:modified>
  <cp:revision>24</cp:revision>
  <dc:subject/>
  <dc:title>Global transpiration data from sap flow measurements: the SAPFLUXNET database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03/08/2020</vt:lpwstr>
  </property>
  <property fmtid="{D5CDD505-2E9C-101B-9397-08002B2CF9AE}" pid="3" name="output">
    <vt:lpwstr/>
  </property>
  <property fmtid="{D5CDD505-2E9C-101B-9397-08002B2CF9AE}" pid="4" name="subtitle">
    <vt:lpwstr>Supplement</vt:lpwstr>
  </property>
</Properties>
</file>