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EC131" w14:textId="77777777" w:rsidR="00F13A46" w:rsidRPr="00F13A46" w:rsidRDefault="00F13A46" w:rsidP="00F13A46">
      <w:pPr>
        <w:rPr>
          <w:b/>
          <w:bCs/>
        </w:rPr>
      </w:pPr>
      <w:r w:rsidRPr="00F13A46">
        <w:rPr>
          <w:b/>
          <w:bCs/>
        </w:rPr>
        <w:t>《从玄学到迷信：集体心理暗示的机制、边界与当代启示》 作者：</w:t>
      </w:r>
      <w:proofErr w:type="spellStart"/>
      <w:r w:rsidRPr="00F13A46">
        <w:rPr>
          <w:b/>
          <w:bCs/>
        </w:rPr>
        <w:t>Astar</w:t>
      </w:r>
      <w:proofErr w:type="spellEnd"/>
      <w:r w:rsidRPr="00F13A46">
        <w:rPr>
          <w:b/>
          <w:bCs/>
        </w:rPr>
        <w:t>（跨学科独立学者）</w:t>
      </w:r>
    </w:p>
    <w:p w14:paraId="47D65A07" w14:textId="77777777" w:rsidR="00F13A46" w:rsidRPr="00F13A46" w:rsidRDefault="00F13A46" w:rsidP="00F13A46">
      <w:pPr>
        <w:rPr>
          <w:b/>
          <w:bCs/>
        </w:rPr>
      </w:pPr>
      <w:r w:rsidRPr="00F13A46">
        <w:rPr>
          <w:b/>
          <w:bCs/>
        </w:rPr>
        <w:t>引言</w:t>
      </w:r>
    </w:p>
    <w:p w14:paraId="0548A799" w14:textId="77777777" w:rsidR="00F13A46" w:rsidRPr="00F13A46" w:rsidRDefault="00F13A46" w:rsidP="00F13A46">
      <w:pPr>
        <w:rPr>
          <w:b/>
          <w:bCs/>
        </w:rPr>
      </w:pPr>
      <w:r w:rsidRPr="00F13A46">
        <w:rPr>
          <w:b/>
          <w:bCs/>
        </w:rPr>
        <w:t>东方玄学（Metaphysics）作为古人对宇宙秩序的系统性探索，包含阴阳五行、气场共振、天人感应等框架，旨在揭示人与自然深层关联。而迷信（Superstition）则是玄学退化后的病态形式：符号被僵化、概率被绝对化、暗示被转化为操控工具。连接二者的核心机制，正是集体心理暗示（Collective Psychological Suggestion）。在九紫离火运（2024-2043）这一高关注周期中，该机制被显著放大。本文以跨学科视角，严谨探讨这一转化过程，并提出区分框架与当代应用路径。</w:t>
      </w:r>
    </w:p>
    <w:p w14:paraId="4F523F05" w14:textId="77777777" w:rsidR="00F13A46" w:rsidRPr="00F13A46" w:rsidRDefault="00F13A46" w:rsidP="00F13A46">
      <w:pPr>
        <w:rPr>
          <w:b/>
          <w:bCs/>
        </w:rPr>
      </w:pPr>
      <w:r w:rsidRPr="00F13A46">
        <w:rPr>
          <w:b/>
          <w:bCs/>
        </w:rPr>
        <w:t>一、玄学的本质：开放的系统探索</w:t>
      </w:r>
    </w:p>
    <w:p w14:paraId="214883A0" w14:textId="77777777" w:rsidR="00F13A46" w:rsidRPr="00F13A46" w:rsidRDefault="00F13A46" w:rsidP="00F13A46">
      <w:pPr>
        <w:rPr>
          <w:b/>
          <w:bCs/>
        </w:rPr>
      </w:pPr>
      <w:r w:rsidRPr="00F13A46">
        <w:rPr>
          <w:b/>
          <w:bCs/>
        </w:rPr>
        <w:t>真正的玄学并非盲信，而是可观察、可校准的实践系统。例如，《黄帝宅经》强调“山环水抱、藏风聚气”，本质上是古代地理学、环境心理学与生态智慧的结合。现代研究显示，选择有利微气候的居住环境能显著降低压力激素水平并提升认知表现（Ulrich, 1984；Kaplan, 1995）。</w:t>
      </w:r>
    </w:p>
    <w:p w14:paraId="75EE5EAC" w14:textId="77777777" w:rsidR="00F13A46" w:rsidRPr="00F13A46" w:rsidRDefault="00F13A46" w:rsidP="00F13A46">
      <w:pPr>
        <w:rPr>
          <w:b/>
          <w:bCs/>
        </w:rPr>
      </w:pPr>
      <w:r w:rsidRPr="00F13A46">
        <w:rPr>
          <w:b/>
          <w:bCs/>
        </w:rPr>
        <w:t>在离火运中，传统“南方火运、文昌兴盛”的论述，有统计学支撑：2024年后，南方地区创意产业与科技创新活跃度呈现可观测提升（基于全球创新指数与专利数据趋势）。此时，集体心理暗示发挥正向作用：社会对“创新时代”的共同信念，激发更多个体投入学习与创造，形成自我强化循环。</w:t>
      </w:r>
    </w:p>
    <w:p w14:paraId="54B2EC9C" w14:textId="77777777" w:rsidR="00F13A46" w:rsidRPr="00F13A46" w:rsidRDefault="00F13A46" w:rsidP="00F13A46">
      <w:pPr>
        <w:rPr>
          <w:b/>
          <w:bCs/>
        </w:rPr>
      </w:pPr>
      <w:r w:rsidRPr="00F13A46">
        <w:rPr>
          <w:b/>
          <w:bCs/>
        </w:rPr>
        <w:t>二、迷信的形成：暗示的固化与现实扭曲</w:t>
      </w:r>
    </w:p>
    <w:p w14:paraId="6F2C0DE3" w14:textId="77777777" w:rsidR="00F13A46" w:rsidRPr="00F13A46" w:rsidRDefault="00F13A46" w:rsidP="00F13A46">
      <w:pPr>
        <w:rPr>
          <w:b/>
          <w:bCs/>
        </w:rPr>
      </w:pPr>
      <w:r w:rsidRPr="00F13A46">
        <w:rPr>
          <w:b/>
          <w:bCs/>
        </w:rPr>
        <w:t>当玄学失去自我修正机制，便快速堕入迷信。其典型特征包括：</w:t>
      </w:r>
    </w:p>
    <w:p w14:paraId="081DA8EA" w14:textId="77777777" w:rsidR="00F13A46" w:rsidRPr="00F13A46" w:rsidRDefault="00F13A46" w:rsidP="00F13A46">
      <w:pPr>
        <w:numPr>
          <w:ilvl w:val="0"/>
          <w:numId w:val="24"/>
        </w:numPr>
        <w:rPr>
          <w:b/>
          <w:bCs/>
        </w:rPr>
      </w:pPr>
      <w:r w:rsidRPr="00F13A46">
        <w:rPr>
          <w:b/>
          <w:bCs/>
        </w:rPr>
        <w:t>符号拜物教：将“红色物品”“特定数字”视为绝对护符，而非心理辅助工具。</w:t>
      </w:r>
    </w:p>
    <w:p w14:paraId="74E5DEC3" w14:textId="77777777" w:rsidR="00F13A46" w:rsidRPr="00F13A46" w:rsidRDefault="00F13A46" w:rsidP="00F13A46">
      <w:pPr>
        <w:numPr>
          <w:ilvl w:val="0"/>
          <w:numId w:val="24"/>
        </w:numPr>
        <w:rPr>
          <w:b/>
          <w:bCs/>
        </w:rPr>
      </w:pPr>
      <w:r w:rsidRPr="00F13A46">
        <w:rPr>
          <w:b/>
          <w:bCs/>
        </w:rPr>
        <w:t>恐惧营销：利用“破财消灾”“血光之灾”等极端叙事制造焦虑。</w:t>
      </w:r>
    </w:p>
    <w:p w14:paraId="319FE32A" w14:textId="77777777" w:rsidR="00F13A46" w:rsidRPr="00F13A46" w:rsidRDefault="00F13A46" w:rsidP="00F13A46">
      <w:pPr>
        <w:numPr>
          <w:ilvl w:val="0"/>
          <w:numId w:val="24"/>
        </w:numPr>
        <w:rPr>
          <w:b/>
          <w:bCs/>
        </w:rPr>
      </w:pPr>
      <w:r w:rsidRPr="00F13A46">
        <w:rPr>
          <w:b/>
          <w:bCs/>
        </w:rPr>
        <w:t>集体放大效应：在社交媒体时代，一条运</w:t>
      </w:r>
      <w:proofErr w:type="gramStart"/>
      <w:r w:rsidRPr="00F13A46">
        <w:rPr>
          <w:b/>
          <w:bCs/>
        </w:rPr>
        <w:t>势信息</w:t>
      </w:r>
      <w:proofErr w:type="gramEnd"/>
      <w:r w:rsidRPr="00F13A46">
        <w:rPr>
          <w:b/>
          <w:bCs/>
        </w:rPr>
        <w:t>可瞬间引发数百万人的应激反应。</w:t>
      </w:r>
    </w:p>
    <w:p w14:paraId="5DDA93B4" w14:textId="77777777" w:rsidR="00F13A46" w:rsidRPr="00F13A46" w:rsidRDefault="00F13A46" w:rsidP="00F13A46">
      <w:pPr>
        <w:rPr>
          <w:b/>
          <w:bCs/>
        </w:rPr>
      </w:pPr>
      <w:r w:rsidRPr="00F13A46">
        <w:rPr>
          <w:b/>
          <w:bCs/>
        </w:rPr>
        <w:t>核心机制分析：集体心理暗示通过镜像神经元系统实现社会传染（</w:t>
      </w:r>
      <w:proofErr w:type="spellStart"/>
      <w:r w:rsidRPr="00F13A46">
        <w:rPr>
          <w:b/>
          <w:bCs/>
        </w:rPr>
        <w:t>Rizzolatti</w:t>
      </w:r>
      <w:proofErr w:type="spellEnd"/>
      <w:r w:rsidRPr="00F13A46">
        <w:rPr>
          <w:b/>
          <w:bCs/>
        </w:rPr>
        <w:t xml:space="preserve"> &amp; </w:t>
      </w:r>
      <w:proofErr w:type="spellStart"/>
      <w:r w:rsidRPr="00F13A46">
        <w:rPr>
          <w:b/>
          <w:bCs/>
        </w:rPr>
        <w:t>Craighero</w:t>
      </w:r>
      <w:proofErr w:type="spellEnd"/>
      <w:r w:rsidRPr="00F13A46">
        <w:rPr>
          <w:b/>
          <w:bCs/>
        </w:rPr>
        <w:t>, 2004）。当大量个体同时接收负面暗示时，会触发“反安慰剂效应”（Nocebo Effect），导致生理与行为层面的真实损害（Benedetti et al., 2007）。在离火运中，这种机制被周期性关注进一步放大。</w:t>
      </w:r>
    </w:p>
    <w:p w14:paraId="25614B3E" w14:textId="77777777" w:rsidR="00F13A46" w:rsidRPr="00F13A46" w:rsidRDefault="00F13A46" w:rsidP="00F13A46">
      <w:pPr>
        <w:rPr>
          <w:b/>
          <w:bCs/>
        </w:rPr>
      </w:pPr>
      <w:r w:rsidRPr="00F13A46">
        <w:rPr>
          <w:b/>
          <w:bCs/>
        </w:rPr>
        <w:t xml:space="preserve">量子力学视角提供更深解释：根据Orch-OR理论（Penrose &amp; </w:t>
      </w:r>
      <w:proofErr w:type="spellStart"/>
      <w:r w:rsidRPr="00F13A46">
        <w:rPr>
          <w:b/>
          <w:bCs/>
        </w:rPr>
        <w:t>Hameroff</w:t>
      </w:r>
      <w:proofErr w:type="spellEnd"/>
      <w:r w:rsidRPr="00F13A46">
        <w:rPr>
          <w:b/>
          <w:bCs/>
        </w:rPr>
        <w:t>, 2014），意识可能通过脑微管量子相干性与宏观世界发生交互。大量个体同时持有的恐惧信念，可能通过集体意识场微弱影响概率分布，形成自我实现的预言（Self-fulfilling Prophecy, Merton, 1948）。</w:t>
      </w:r>
    </w:p>
    <w:p w14:paraId="20903DC0" w14:textId="77777777" w:rsidR="00F13A46" w:rsidRPr="00F13A46" w:rsidRDefault="00F13A46" w:rsidP="00F13A46">
      <w:pPr>
        <w:rPr>
          <w:b/>
          <w:bCs/>
        </w:rPr>
      </w:pPr>
      <w:r w:rsidRPr="00F13A46">
        <w:rPr>
          <w:b/>
          <w:bCs/>
        </w:rPr>
        <w:t>三、</w:t>
      </w:r>
      <w:proofErr w:type="gramStart"/>
      <w:r w:rsidRPr="00F13A46">
        <w:rPr>
          <w:b/>
          <w:bCs/>
        </w:rPr>
        <w:t>跨文明</w:t>
      </w:r>
      <w:proofErr w:type="gramEnd"/>
      <w:r w:rsidRPr="00F13A46">
        <w:rPr>
          <w:b/>
          <w:bCs/>
        </w:rPr>
        <w:t>证据与历史教训</w:t>
      </w:r>
    </w:p>
    <w:p w14:paraId="589DB961" w14:textId="77777777" w:rsidR="00F13A46" w:rsidRPr="00F13A46" w:rsidRDefault="00F13A46" w:rsidP="00F13A46">
      <w:pPr>
        <w:rPr>
          <w:b/>
          <w:bCs/>
        </w:rPr>
      </w:pPr>
      <w:r w:rsidRPr="00F13A46">
        <w:rPr>
          <w:b/>
          <w:bCs/>
        </w:rPr>
        <w:t>这一现象并非中国独有。古埃及在太阳周期低谷期出现的“末日预言”式迷信、</w:t>
      </w:r>
      <w:proofErr w:type="gramStart"/>
      <w:r w:rsidRPr="00F13A46">
        <w:rPr>
          <w:b/>
          <w:bCs/>
        </w:rPr>
        <w:t>玛</w:t>
      </w:r>
      <w:proofErr w:type="gramEnd"/>
      <w:r w:rsidRPr="00F13A46">
        <w:rPr>
          <w:b/>
          <w:bCs/>
        </w:rPr>
        <w:t>雅文明中火纪元交替时的群体性仪式焦虑，以及欧洲中世纪“巫术恐慌”，均显示集体心理暗示在特定天文-社会窗口被放大的普遍性。</w:t>
      </w:r>
    </w:p>
    <w:p w14:paraId="35DD94C8" w14:textId="77777777" w:rsidR="00F13A46" w:rsidRPr="00F13A46" w:rsidRDefault="00F13A46" w:rsidP="00F13A46">
      <w:pPr>
        <w:rPr>
          <w:b/>
          <w:bCs/>
        </w:rPr>
      </w:pPr>
      <w:r w:rsidRPr="00F13A46">
        <w:rPr>
          <w:b/>
          <w:bCs/>
        </w:rPr>
        <w:t>历史数据显示，迷信高发期往往伴随社会不确定性加剧（例如战争、疫病、经济转型）。反之，理性玄学传统（如宋代理学对“格物致知”的强调）则推动了文明进步。</w:t>
      </w:r>
    </w:p>
    <w:p w14:paraId="10A18EA2" w14:textId="77777777" w:rsidR="00F13A46" w:rsidRPr="00F13A46" w:rsidRDefault="00F13A46" w:rsidP="00F13A46">
      <w:pPr>
        <w:rPr>
          <w:b/>
          <w:bCs/>
        </w:rPr>
      </w:pPr>
      <w:r w:rsidRPr="00F13A46">
        <w:rPr>
          <w:b/>
          <w:bCs/>
        </w:rPr>
        <w:t>四、区分框架与当代应用</w:t>
      </w:r>
    </w:p>
    <w:p w14:paraId="20E98564" w14:textId="77777777" w:rsidR="00F13A46" w:rsidRPr="00F13A46" w:rsidRDefault="00F13A46" w:rsidP="00F13A46">
      <w:pPr>
        <w:rPr>
          <w:b/>
          <w:bCs/>
        </w:rPr>
      </w:pPr>
      <w:r w:rsidRPr="00F13A46">
        <w:rPr>
          <w:b/>
          <w:bCs/>
        </w:rPr>
        <w:t>严谨区分标准：</w:t>
      </w:r>
    </w:p>
    <w:p w14:paraId="39AF0B12" w14:textId="77777777" w:rsidR="00F13A46" w:rsidRPr="00F13A46" w:rsidRDefault="00F13A46" w:rsidP="00F13A46">
      <w:pPr>
        <w:numPr>
          <w:ilvl w:val="0"/>
          <w:numId w:val="25"/>
        </w:numPr>
        <w:rPr>
          <w:b/>
          <w:bCs/>
        </w:rPr>
      </w:pPr>
      <w:r w:rsidRPr="00F13A46">
        <w:rPr>
          <w:b/>
          <w:bCs/>
        </w:rPr>
        <w:t>可证伪性：玄学欢迎实证检验（统计、心理学、地理数据）；迷信拒绝证伪。</w:t>
      </w:r>
    </w:p>
    <w:p w14:paraId="0B487ECB" w14:textId="77777777" w:rsidR="00F13A46" w:rsidRPr="00F13A46" w:rsidRDefault="00F13A46" w:rsidP="00F13A46">
      <w:pPr>
        <w:numPr>
          <w:ilvl w:val="0"/>
          <w:numId w:val="25"/>
        </w:numPr>
        <w:rPr>
          <w:b/>
          <w:bCs/>
        </w:rPr>
      </w:pPr>
      <w:r w:rsidRPr="00F13A46">
        <w:rPr>
          <w:b/>
          <w:bCs/>
        </w:rPr>
        <w:t>赋权导向：玄学鼓励个体主动调整与成长；迷信制造无助与依赖。</w:t>
      </w:r>
    </w:p>
    <w:p w14:paraId="7734EFA2" w14:textId="77777777" w:rsidR="00F13A46" w:rsidRPr="00F13A46" w:rsidRDefault="00F13A46" w:rsidP="00F13A46">
      <w:pPr>
        <w:numPr>
          <w:ilvl w:val="0"/>
          <w:numId w:val="25"/>
        </w:numPr>
        <w:rPr>
          <w:b/>
          <w:bCs/>
        </w:rPr>
      </w:pPr>
      <w:r w:rsidRPr="00F13A46">
        <w:rPr>
          <w:b/>
          <w:bCs/>
        </w:rPr>
        <w:t>动态开放：玄学与时俱进，融合新知；迷信僵化教条。</w:t>
      </w:r>
    </w:p>
    <w:p w14:paraId="44DA1B67" w14:textId="77777777" w:rsidR="00F13A46" w:rsidRPr="00F13A46" w:rsidRDefault="00F13A46" w:rsidP="00F13A46">
      <w:pPr>
        <w:numPr>
          <w:ilvl w:val="0"/>
          <w:numId w:val="25"/>
        </w:numPr>
        <w:rPr>
          <w:b/>
          <w:bCs/>
        </w:rPr>
      </w:pPr>
      <w:r w:rsidRPr="00F13A46">
        <w:rPr>
          <w:b/>
          <w:bCs/>
        </w:rPr>
        <w:t>概率思维：玄学讨论“势”与倾向；迷信宣称“必”与“劫”。</w:t>
      </w:r>
    </w:p>
    <w:p w14:paraId="7E5A1A80" w14:textId="77777777" w:rsidR="00F13A46" w:rsidRPr="00F13A46" w:rsidRDefault="00F13A46" w:rsidP="00F13A46">
      <w:pPr>
        <w:rPr>
          <w:b/>
          <w:bCs/>
        </w:rPr>
      </w:pPr>
      <w:r w:rsidRPr="00F13A46">
        <w:rPr>
          <w:b/>
          <w:bCs/>
        </w:rPr>
        <w:t>在九紫离火运中，我们应积极推动理性玄学实践：将传统符号转化为可验证的心理-行为干预工具，同时通过教育提升公众对集体暗示机制的认知，避免被商业或权力滥用。</w:t>
      </w:r>
    </w:p>
    <w:p w14:paraId="61B7A9C4" w14:textId="77777777" w:rsidR="00F13A46" w:rsidRPr="00F13A46" w:rsidRDefault="00F13A46" w:rsidP="00F13A46">
      <w:pPr>
        <w:rPr>
          <w:b/>
          <w:bCs/>
        </w:rPr>
      </w:pPr>
      <w:r w:rsidRPr="00F13A46">
        <w:rPr>
          <w:b/>
          <w:bCs/>
        </w:rPr>
        <w:t>前瞻建议：建立“玄学证据数据库”，结合大数据、心理学实验与地球物理监测，对传统理论</w:t>
      </w:r>
      <w:r w:rsidRPr="00F13A46">
        <w:rPr>
          <w:b/>
          <w:bCs/>
        </w:rPr>
        <w:lastRenderedPageBreak/>
        <w:t>进行现代验证。这不仅是学术工作，更是文明自我进化的重要一步。</w:t>
      </w:r>
    </w:p>
    <w:p w14:paraId="5DF8BB6A" w14:textId="77777777" w:rsidR="00F13A46" w:rsidRPr="00F13A46" w:rsidRDefault="00F13A46" w:rsidP="00F13A46">
      <w:pPr>
        <w:rPr>
          <w:b/>
          <w:bCs/>
        </w:rPr>
      </w:pPr>
      <w:r w:rsidRPr="00F13A46">
        <w:rPr>
          <w:b/>
          <w:bCs/>
        </w:rPr>
        <w:t>结语</w:t>
      </w:r>
    </w:p>
    <w:p w14:paraId="2A3AAAF9" w14:textId="77777777" w:rsidR="00F13A46" w:rsidRPr="00F13A46" w:rsidRDefault="00F13A46" w:rsidP="00F13A46">
      <w:pPr>
        <w:rPr>
          <w:b/>
          <w:bCs/>
        </w:rPr>
      </w:pPr>
      <w:r w:rsidRPr="00F13A46">
        <w:rPr>
          <w:b/>
          <w:bCs/>
        </w:rPr>
        <w:t>从玄学到迷信的滑坡并非必然。借助量子力学、认知心理学、大数据分析与历史智慧，我们有望构建“后量子玄学”——一种保留古人系统思维、又具备严格批判精神的当代意识科学。它将帮助人类在复杂时代更好地理解自身与宇宙的深层联结。</w:t>
      </w:r>
    </w:p>
    <w:p w14:paraId="27BDE7A7" w14:textId="77777777" w:rsidR="00F13A46" w:rsidRPr="00F13A46" w:rsidRDefault="00F13A46" w:rsidP="00F13A46">
      <w:pPr>
        <w:rPr>
          <w:b/>
          <w:bCs/>
        </w:rPr>
      </w:pPr>
      <w:proofErr w:type="spellStart"/>
      <w:r w:rsidRPr="00F13A46">
        <w:rPr>
          <w:b/>
          <w:bCs/>
        </w:rPr>
        <w:t>Astar</w:t>
      </w:r>
      <w:proofErr w:type="spellEnd"/>
      <w:r w:rsidRPr="00F13A46">
        <w:rPr>
          <w:b/>
          <w:bCs/>
        </w:rPr>
        <w:t xml:space="preserve"> 2026年7月</w:t>
      </w:r>
    </w:p>
    <w:p w14:paraId="3B6CB94D" w14:textId="77777777" w:rsidR="00F13A46" w:rsidRPr="00F13A46" w:rsidRDefault="00F13A46" w:rsidP="00F13A46">
      <w:pPr>
        <w:rPr>
          <w:b/>
          <w:bCs/>
        </w:rPr>
      </w:pPr>
      <w:r w:rsidRPr="00F13A46">
        <w:rPr>
          <w:b/>
          <w:bCs/>
        </w:rPr>
        <w:pict w14:anchorId="4E27BEC7">
          <v:rect id="_x0000_i1031" style="width:0;height:1.5pt" o:hralign="center" o:hrstd="t" o:hr="t" fillcolor="#a0a0a0" stroked="f"/>
        </w:pict>
      </w:r>
    </w:p>
    <w:p w14:paraId="550D8B53" w14:textId="77777777" w:rsidR="00F13A46" w:rsidRPr="00F13A46" w:rsidRDefault="00F13A46" w:rsidP="00F13A46">
      <w:pPr>
        <w:rPr>
          <w:b/>
          <w:bCs/>
        </w:rPr>
      </w:pPr>
      <w:r w:rsidRPr="00F13A46">
        <w:rPr>
          <w:b/>
          <w:bCs/>
        </w:rPr>
        <w:t>参考文献（APA格式）</w:t>
      </w:r>
    </w:p>
    <w:p w14:paraId="03A6CC84" w14:textId="77777777" w:rsidR="00F13A46" w:rsidRPr="00F13A46" w:rsidRDefault="00F13A46" w:rsidP="00F13A46">
      <w:pPr>
        <w:numPr>
          <w:ilvl w:val="0"/>
          <w:numId w:val="26"/>
        </w:numPr>
        <w:rPr>
          <w:b/>
          <w:bCs/>
        </w:rPr>
      </w:pPr>
      <w:r w:rsidRPr="00F13A46">
        <w:rPr>
          <w:b/>
          <w:bCs/>
        </w:rPr>
        <w:t xml:space="preserve">Ulrich, R. S. (1984). View through a window may influence recovery from surgery. </w:t>
      </w:r>
      <w:r w:rsidRPr="00F13A46">
        <w:rPr>
          <w:b/>
          <w:bCs/>
          <w:i/>
          <w:iCs/>
        </w:rPr>
        <w:t>Science</w:t>
      </w:r>
      <w:r w:rsidRPr="00F13A46">
        <w:rPr>
          <w:b/>
          <w:bCs/>
        </w:rPr>
        <w:t>, 224(4647), 420-421.</w:t>
      </w:r>
    </w:p>
    <w:p w14:paraId="3100A3DE" w14:textId="77777777" w:rsidR="00F13A46" w:rsidRPr="00F13A46" w:rsidRDefault="00F13A46" w:rsidP="00F13A46">
      <w:pPr>
        <w:numPr>
          <w:ilvl w:val="0"/>
          <w:numId w:val="26"/>
        </w:numPr>
        <w:rPr>
          <w:b/>
          <w:bCs/>
        </w:rPr>
      </w:pPr>
      <w:r w:rsidRPr="00F13A46">
        <w:rPr>
          <w:b/>
          <w:bCs/>
        </w:rPr>
        <w:t xml:space="preserve">Kaplan, S. (1995). The restorative benefits of nature. </w:t>
      </w:r>
      <w:r w:rsidRPr="00F13A46">
        <w:rPr>
          <w:b/>
          <w:bCs/>
          <w:i/>
          <w:iCs/>
        </w:rPr>
        <w:t>Journal of Environmental Psychology</w:t>
      </w:r>
      <w:r w:rsidRPr="00F13A46">
        <w:rPr>
          <w:b/>
          <w:bCs/>
        </w:rPr>
        <w:t>, 15(3), 169-182.</w:t>
      </w:r>
    </w:p>
    <w:p w14:paraId="009B532B" w14:textId="77777777" w:rsidR="00F13A46" w:rsidRPr="00F13A46" w:rsidRDefault="00F13A46" w:rsidP="00F13A46">
      <w:pPr>
        <w:numPr>
          <w:ilvl w:val="0"/>
          <w:numId w:val="26"/>
        </w:numPr>
        <w:rPr>
          <w:b/>
          <w:bCs/>
        </w:rPr>
      </w:pPr>
      <w:r w:rsidRPr="00F13A46">
        <w:rPr>
          <w:b/>
          <w:bCs/>
        </w:rPr>
        <w:t xml:space="preserve">Rizzolatti, G., &amp; </w:t>
      </w:r>
      <w:proofErr w:type="spellStart"/>
      <w:r w:rsidRPr="00F13A46">
        <w:rPr>
          <w:b/>
          <w:bCs/>
        </w:rPr>
        <w:t>Craighero</w:t>
      </w:r>
      <w:proofErr w:type="spellEnd"/>
      <w:r w:rsidRPr="00F13A46">
        <w:rPr>
          <w:b/>
          <w:bCs/>
        </w:rPr>
        <w:t xml:space="preserve">, L. (2004). The mirror-neuron system. </w:t>
      </w:r>
      <w:r w:rsidRPr="00F13A46">
        <w:rPr>
          <w:b/>
          <w:bCs/>
          <w:i/>
          <w:iCs/>
        </w:rPr>
        <w:t>Annual Review of Neuroscience</w:t>
      </w:r>
      <w:r w:rsidRPr="00F13A46">
        <w:rPr>
          <w:b/>
          <w:bCs/>
        </w:rPr>
        <w:t>, 27, 169-192.</w:t>
      </w:r>
    </w:p>
    <w:p w14:paraId="61D25217" w14:textId="77777777" w:rsidR="00F13A46" w:rsidRPr="00F13A46" w:rsidRDefault="00F13A46" w:rsidP="00F13A46">
      <w:pPr>
        <w:numPr>
          <w:ilvl w:val="0"/>
          <w:numId w:val="26"/>
        </w:numPr>
        <w:rPr>
          <w:b/>
          <w:bCs/>
        </w:rPr>
      </w:pPr>
      <w:r w:rsidRPr="00F13A46">
        <w:rPr>
          <w:b/>
          <w:bCs/>
        </w:rPr>
        <w:t xml:space="preserve">Benedetti, F., et al. (2007). When words are painful: Unraveling the mechanisms of the nocebo effect. </w:t>
      </w:r>
      <w:r w:rsidRPr="00F13A46">
        <w:rPr>
          <w:b/>
          <w:bCs/>
          <w:i/>
          <w:iCs/>
        </w:rPr>
        <w:t>Neuroscience</w:t>
      </w:r>
      <w:r w:rsidRPr="00F13A46">
        <w:rPr>
          <w:b/>
          <w:bCs/>
        </w:rPr>
        <w:t>, 147(2), 260-271.</w:t>
      </w:r>
    </w:p>
    <w:p w14:paraId="5CA42268" w14:textId="77777777" w:rsidR="00F13A46" w:rsidRPr="00F13A46" w:rsidRDefault="00F13A46" w:rsidP="00F13A46">
      <w:pPr>
        <w:numPr>
          <w:ilvl w:val="0"/>
          <w:numId w:val="26"/>
        </w:numPr>
        <w:rPr>
          <w:b/>
          <w:bCs/>
        </w:rPr>
      </w:pPr>
      <w:r w:rsidRPr="00F13A46">
        <w:rPr>
          <w:b/>
          <w:bCs/>
        </w:rPr>
        <w:t xml:space="preserve">Penrose, R., &amp; </w:t>
      </w:r>
      <w:proofErr w:type="spellStart"/>
      <w:r w:rsidRPr="00F13A46">
        <w:rPr>
          <w:b/>
          <w:bCs/>
        </w:rPr>
        <w:t>Hameroff</w:t>
      </w:r>
      <w:proofErr w:type="spellEnd"/>
      <w:r w:rsidRPr="00F13A46">
        <w:rPr>
          <w:b/>
          <w:bCs/>
        </w:rPr>
        <w:t xml:space="preserve">, S. (2014). Consciousness in the universe: A review of the ‘Orch OR’ theory. </w:t>
      </w:r>
      <w:r w:rsidRPr="00F13A46">
        <w:rPr>
          <w:b/>
          <w:bCs/>
          <w:i/>
          <w:iCs/>
        </w:rPr>
        <w:t>Physics of Life Reviews</w:t>
      </w:r>
      <w:r w:rsidRPr="00F13A46">
        <w:rPr>
          <w:b/>
          <w:bCs/>
        </w:rPr>
        <w:t>, 11(1), 39-78.</w:t>
      </w:r>
    </w:p>
    <w:p w14:paraId="1FC8E439" w14:textId="77777777" w:rsidR="00F13A46" w:rsidRPr="00F13A46" w:rsidRDefault="00F13A46" w:rsidP="00F13A46">
      <w:pPr>
        <w:numPr>
          <w:ilvl w:val="0"/>
          <w:numId w:val="26"/>
        </w:numPr>
        <w:rPr>
          <w:b/>
          <w:bCs/>
        </w:rPr>
      </w:pPr>
      <w:r w:rsidRPr="00F13A46">
        <w:rPr>
          <w:b/>
          <w:bCs/>
        </w:rPr>
        <w:t xml:space="preserve">Merton, R. K. (1948). The self-fulfilling prophecy. </w:t>
      </w:r>
      <w:r w:rsidRPr="00F13A46">
        <w:rPr>
          <w:b/>
          <w:bCs/>
          <w:i/>
          <w:iCs/>
        </w:rPr>
        <w:t>The Antioch Review</w:t>
      </w:r>
      <w:r w:rsidRPr="00F13A46">
        <w:rPr>
          <w:b/>
          <w:bCs/>
        </w:rPr>
        <w:t>, 8(2), 193-210.</w:t>
      </w:r>
    </w:p>
    <w:p w14:paraId="78E81C85" w14:textId="77777777" w:rsidR="00F13A46" w:rsidRPr="00F13A46" w:rsidRDefault="00F13A46" w:rsidP="00F13A46">
      <w:pPr>
        <w:numPr>
          <w:ilvl w:val="0"/>
          <w:numId w:val="26"/>
        </w:numPr>
        <w:rPr>
          <w:b/>
          <w:bCs/>
        </w:rPr>
      </w:pPr>
      <w:r w:rsidRPr="00F13A46">
        <w:rPr>
          <w:b/>
          <w:bCs/>
        </w:rPr>
        <w:t>《黄帝宅经》古本校注（李零整理）。</w:t>
      </w:r>
    </w:p>
    <w:p w14:paraId="7B9B14E5" w14:textId="77777777" w:rsidR="00F13A46" w:rsidRPr="00F13A46" w:rsidRDefault="00F13A46" w:rsidP="00F13A46">
      <w:pPr>
        <w:numPr>
          <w:ilvl w:val="0"/>
          <w:numId w:val="26"/>
        </w:numPr>
        <w:rPr>
          <w:b/>
          <w:bCs/>
        </w:rPr>
      </w:pPr>
      <w:r w:rsidRPr="00F13A46">
        <w:rPr>
          <w:b/>
          <w:bCs/>
        </w:rPr>
        <w:t>Global Innovation Index Reports (WIPO, 2024-2025).</w:t>
      </w:r>
    </w:p>
    <w:p w14:paraId="64D599D4" w14:textId="77777777" w:rsidR="00DC7EEA" w:rsidRPr="00F13A46" w:rsidRDefault="00DC7EEA" w:rsidP="00F13A46">
      <w:pPr>
        <w:rPr>
          <w:rFonts w:hint="eastAsia"/>
        </w:rPr>
      </w:pPr>
    </w:p>
    <w:sectPr w:rsidR="00DC7EEA" w:rsidRPr="00F13A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CF0"/>
    <w:multiLevelType w:val="multilevel"/>
    <w:tmpl w:val="B816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C1B86"/>
    <w:multiLevelType w:val="multilevel"/>
    <w:tmpl w:val="4B16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3318B"/>
    <w:multiLevelType w:val="multilevel"/>
    <w:tmpl w:val="ADA0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D1CFB"/>
    <w:multiLevelType w:val="multilevel"/>
    <w:tmpl w:val="1D66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C6AB9"/>
    <w:multiLevelType w:val="multilevel"/>
    <w:tmpl w:val="20AE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1F3D4D"/>
    <w:multiLevelType w:val="multilevel"/>
    <w:tmpl w:val="FF7C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F03A8"/>
    <w:multiLevelType w:val="multilevel"/>
    <w:tmpl w:val="CE26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E2347B"/>
    <w:multiLevelType w:val="multilevel"/>
    <w:tmpl w:val="1718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87664"/>
    <w:multiLevelType w:val="multilevel"/>
    <w:tmpl w:val="4000A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404FF1"/>
    <w:multiLevelType w:val="multilevel"/>
    <w:tmpl w:val="24D20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1744EA"/>
    <w:multiLevelType w:val="multilevel"/>
    <w:tmpl w:val="2CDA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BC0F06"/>
    <w:multiLevelType w:val="multilevel"/>
    <w:tmpl w:val="094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933D3"/>
    <w:multiLevelType w:val="multilevel"/>
    <w:tmpl w:val="C902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904568"/>
    <w:multiLevelType w:val="multilevel"/>
    <w:tmpl w:val="C7A4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6E092D"/>
    <w:multiLevelType w:val="multilevel"/>
    <w:tmpl w:val="7FE0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11653A"/>
    <w:multiLevelType w:val="multilevel"/>
    <w:tmpl w:val="798C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E8551F"/>
    <w:multiLevelType w:val="multilevel"/>
    <w:tmpl w:val="BE6E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045233"/>
    <w:multiLevelType w:val="multilevel"/>
    <w:tmpl w:val="7EEC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0F764A"/>
    <w:multiLevelType w:val="multilevel"/>
    <w:tmpl w:val="834A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850BD6"/>
    <w:multiLevelType w:val="multilevel"/>
    <w:tmpl w:val="6948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8B5395"/>
    <w:multiLevelType w:val="multilevel"/>
    <w:tmpl w:val="90AE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976669"/>
    <w:multiLevelType w:val="multilevel"/>
    <w:tmpl w:val="143C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0F08B9"/>
    <w:multiLevelType w:val="multilevel"/>
    <w:tmpl w:val="C79C6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D01086"/>
    <w:multiLevelType w:val="multilevel"/>
    <w:tmpl w:val="1100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7F773E"/>
    <w:multiLevelType w:val="multilevel"/>
    <w:tmpl w:val="C7CA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5D5E92"/>
    <w:multiLevelType w:val="multilevel"/>
    <w:tmpl w:val="862A9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0081248">
    <w:abstractNumId w:val="22"/>
  </w:num>
  <w:num w:numId="2" w16cid:durableId="569267901">
    <w:abstractNumId w:val="25"/>
  </w:num>
  <w:num w:numId="3" w16cid:durableId="1654405844">
    <w:abstractNumId w:val="8"/>
  </w:num>
  <w:num w:numId="4" w16cid:durableId="1209218389">
    <w:abstractNumId w:val="19"/>
  </w:num>
  <w:num w:numId="5" w16cid:durableId="1060322966">
    <w:abstractNumId w:val="1"/>
  </w:num>
  <w:num w:numId="6" w16cid:durableId="1977487899">
    <w:abstractNumId w:val="16"/>
  </w:num>
  <w:num w:numId="7" w16cid:durableId="1957251398">
    <w:abstractNumId w:val="6"/>
  </w:num>
  <w:num w:numId="8" w16cid:durableId="85806297">
    <w:abstractNumId w:val="14"/>
  </w:num>
  <w:num w:numId="9" w16cid:durableId="2059234302">
    <w:abstractNumId w:val="18"/>
  </w:num>
  <w:num w:numId="10" w16cid:durableId="1822769511">
    <w:abstractNumId w:val="15"/>
  </w:num>
  <w:num w:numId="11" w16cid:durableId="634870919">
    <w:abstractNumId w:val="0"/>
  </w:num>
  <w:num w:numId="12" w16cid:durableId="762609055">
    <w:abstractNumId w:val="21"/>
  </w:num>
  <w:num w:numId="13" w16cid:durableId="155462485">
    <w:abstractNumId w:val="24"/>
  </w:num>
  <w:num w:numId="14" w16cid:durableId="1783377583">
    <w:abstractNumId w:val="5"/>
  </w:num>
  <w:num w:numId="15" w16cid:durableId="1780951952">
    <w:abstractNumId w:val="4"/>
  </w:num>
  <w:num w:numId="16" w16cid:durableId="530848818">
    <w:abstractNumId w:val="12"/>
  </w:num>
  <w:num w:numId="17" w16cid:durableId="351301827">
    <w:abstractNumId w:val="9"/>
  </w:num>
  <w:num w:numId="18" w16cid:durableId="946933550">
    <w:abstractNumId w:val="3"/>
  </w:num>
  <w:num w:numId="19" w16cid:durableId="1719666200">
    <w:abstractNumId w:val="2"/>
  </w:num>
  <w:num w:numId="20" w16cid:durableId="995763268">
    <w:abstractNumId w:val="10"/>
  </w:num>
  <w:num w:numId="21" w16cid:durableId="828669409">
    <w:abstractNumId w:val="20"/>
  </w:num>
  <w:num w:numId="22" w16cid:durableId="1467553128">
    <w:abstractNumId w:val="7"/>
  </w:num>
  <w:num w:numId="23" w16cid:durableId="754789443">
    <w:abstractNumId w:val="23"/>
  </w:num>
  <w:num w:numId="24" w16cid:durableId="1617101586">
    <w:abstractNumId w:val="11"/>
  </w:num>
  <w:num w:numId="25" w16cid:durableId="1383137752">
    <w:abstractNumId w:val="17"/>
  </w:num>
  <w:num w:numId="26" w16cid:durableId="582568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FF"/>
    <w:rsid w:val="00011FA5"/>
    <w:rsid w:val="0011041C"/>
    <w:rsid w:val="00120194"/>
    <w:rsid w:val="001241FD"/>
    <w:rsid w:val="00186A7A"/>
    <w:rsid w:val="001A60C5"/>
    <w:rsid w:val="00234230"/>
    <w:rsid w:val="00236896"/>
    <w:rsid w:val="00280D5E"/>
    <w:rsid w:val="0028782A"/>
    <w:rsid w:val="00296B6D"/>
    <w:rsid w:val="003C2A88"/>
    <w:rsid w:val="00563942"/>
    <w:rsid w:val="005760BC"/>
    <w:rsid w:val="00591EB2"/>
    <w:rsid w:val="00763B87"/>
    <w:rsid w:val="007A1EFF"/>
    <w:rsid w:val="008279D9"/>
    <w:rsid w:val="00955F98"/>
    <w:rsid w:val="009733E7"/>
    <w:rsid w:val="00C115E7"/>
    <w:rsid w:val="00C4266F"/>
    <w:rsid w:val="00D373B7"/>
    <w:rsid w:val="00D70D1D"/>
    <w:rsid w:val="00DA1856"/>
    <w:rsid w:val="00DC7EEA"/>
    <w:rsid w:val="00E54B44"/>
    <w:rsid w:val="00E76460"/>
    <w:rsid w:val="00E81D70"/>
    <w:rsid w:val="00F13A46"/>
    <w:rsid w:val="00F37110"/>
    <w:rsid w:val="00FE50EC"/>
    <w:rsid w:val="00FF6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1C3A"/>
  <w15:chartTrackingRefBased/>
  <w15:docId w15:val="{54190E03-522C-40A5-ACBE-F26C739F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1E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1E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1E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1E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1E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A1E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1E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1E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1E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E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1E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1E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1EFF"/>
    <w:rPr>
      <w:rFonts w:cstheme="majorBidi"/>
      <w:color w:val="0F4761" w:themeColor="accent1" w:themeShade="BF"/>
      <w:sz w:val="28"/>
      <w:szCs w:val="28"/>
    </w:rPr>
  </w:style>
  <w:style w:type="character" w:customStyle="1" w:styleId="50">
    <w:name w:val="标题 5 字符"/>
    <w:basedOn w:val="a0"/>
    <w:link w:val="5"/>
    <w:uiPriority w:val="9"/>
    <w:semiHidden/>
    <w:rsid w:val="007A1EFF"/>
    <w:rPr>
      <w:rFonts w:cstheme="majorBidi"/>
      <w:color w:val="0F4761" w:themeColor="accent1" w:themeShade="BF"/>
      <w:sz w:val="24"/>
      <w:szCs w:val="24"/>
    </w:rPr>
  </w:style>
  <w:style w:type="character" w:customStyle="1" w:styleId="60">
    <w:name w:val="标题 6 字符"/>
    <w:basedOn w:val="a0"/>
    <w:link w:val="6"/>
    <w:uiPriority w:val="9"/>
    <w:semiHidden/>
    <w:rsid w:val="007A1EFF"/>
    <w:rPr>
      <w:rFonts w:cstheme="majorBidi"/>
      <w:b/>
      <w:bCs/>
      <w:color w:val="0F4761" w:themeColor="accent1" w:themeShade="BF"/>
    </w:rPr>
  </w:style>
  <w:style w:type="character" w:customStyle="1" w:styleId="70">
    <w:name w:val="标题 7 字符"/>
    <w:basedOn w:val="a0"/>
    <w:link w:val="7"/>
    <w:uiPriority w:val="9"/>
    <w:semiHidden/>
    <w:rsid w:val="007A1EFF"/>
    <w:rPr>
      <w:rFonts w:cstheme="majorBidi"/>
      <w:b/>
      <w:bCs/>
      <w:color w:val="595959" w:themeColor="text1" w:themeTint="A6"/>
    </w:rPr>
  </w:style>
  <w:style w:type="character" w:customStyle="1" w:styleId="80">
    <w:name w:val="标题 8 字符"/>
    <w:basedOn w:val="a0"/>
    <w:link w:val="8"/>
    <w:uiPriority w:val="9"/>
    <w:semiHidden/>
    <w:rsid w:val="007A1EFF"/>
    <w:rPr>
      <w:rFonts w:cstheme="majorBidi"/>
      <w:color w:val="595959" w:themeColor="text1" w:themeTint="A6"/>
    </w:rPr>
  </w:style>
  <w:style w:type="character" w:customStyle="1" w:styleId="90">
    <w:name w:val="标题 9 字符"/>
    <w:basedOn w:val="a0"/>
    <w:link w:val="9"/>
    <w:uiPriority w:val="9"/>
    <w:semiHidden/>
    <w:rsid w:val="007A1EFF"/>
    <w:rPr>
      <w:rFonts w:eastAsiaTheme="majorEastAsia" w:cstheme="majorBidi"/>
      <w:color w:val="595959" w:themeColor="text1" w:themeTint="A6"/>
    </w:rPr>
  </w:style>
  <w:style w:type="paragraph" w:styleId="a3">
    <w:name w:val="Title"/>
    <w:basedOn w:val="a"/>
    <w:next w:val="a"/>
    <w:link w:val="a4"/>
    <w:uiPriority w:val="10"/>
    <w:qFormat/>
    <w:rsid w:val="007A1E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E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E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1E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EFF"/>
    <w:pPr>
      <w:spacing w:before="160" w:after="160"/>
      <w:jc w:val="center"/>
    </w:pPr>
    <w:rPr>
      <w:i/>
      <w:iCs/>
      <w:color w:val="404040" w:themeColor="text1" w:themeTint="BF"/>
    </w:rPr>
  </w:style>
  <w:style w:type="character" w:customStyle="1" w:styleId="a8">
    <w:name w:val="引用 字符"/>
    <w:basedOn w:val="a0"/>
    <w:link w:val="a7"/>
    <w:uiPriority w:val="29"/>
    <w:rsid w:val="007A1EFF"/>
    <w:rPr>
      <w:i/>
      <w:iCs/>
      <w:color w:val="404040" w:themeColor="text1" w:themeTint="BF"/>
    </w:rPr>
  </w:style>
  <w:style w:type="paragraph" w:styleId="a9">
    <w:name w:val="List Paragraph"/>
    <w:basedOn w:val="a"/>
    <w:uiPriority w:val="34"/>
    <w:qFormat/>
    <w:rsid w:val="007A1EFF"/>
    <w:pPr>
      <w:ind w:left="720"/>
      <w:contextualSpacing/>
    </w:pPr>
  </w:style>
  <w:style w:type="character" w:styleId="aa">
    <w:name w:val="Intense Emphasis"/>
    <w:basedOn w:val="a0"/>
    <w:uiPriority w:val="21"/>
    <w:qFormat/>
    <w:rsid w:val="007A1EFF"/>
    <w:rPr>
      <w:i/>
      <w:iCs/>
      <w:color w:val="0F4761" w:themeColor="accent1" w:themeShade="BF"/>
    </w:rPr>
  </w:style>
  <w:style w:type="paragraph" w:styleId="ab">
    <w:name w:val="Intense Quote"/>
    <w:basedOn w:val="a"/>
    <w:next w:val="a"/>
    <w:link w:val="ac"/>
    <w:uiPriority w:val="30"/>
    <w:qFormat/>
    <w:rsid w:val="007A1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1EFF"/>
    <w:rPr>
      <w:i/>
      <w:iCs/>
      <w:color w:val="0F4761" w:themeColor="accent1" w:themeShade="BF"/>
    </w:rPr>
  </w:style>
  <w:style w:type="character" w:styleId="ad">
    <w:name w:val="Intense Reference"/>
    <w:basedOn w:val="a0"/>
    <w:uiPriority w:val="32"/>
    <w:qFormat/>
    <w:rsid w:val="007A1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361</Words>
  <Characters>2064</Characters>
  <Application>Microsoft Office Word</Application>
  <DocSecurity>0</DocSecurity>
  <Lines>17</Lines>
  <Paragraphs>4</Paragraphs>
  <ScaleCrop>false</ScaleCrop>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夜 夏</dc:creator>
  <cp:keywords/>
  <dc:description/>
  <cp:lastModifiedBy>夜 夏</cp:lastModifiedBy>
  <cp:revision>2</cp:revision>
  <dcterms:created xsi:type="dcterms:W3CDTF">2026-07-14T06:52:00Z</dcterms:created>
  <dcterms:modified xsi:type="dcterms:W3CDTF">2026-07-14T06:52:00Z</dcterms:modified>
</cp:coreProperties>
</file>