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96A7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东方的“操作系统”：天子作为神与地的中间人</w:t>
      </w:r>
    </w:p>
    <w:p w14:paraId="39CD457B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作者： Astra 标签： 中国历史、地理决定论、天人感应、水利社会</w:t>
      </w:r>
    </w:p>
    <w:p w14:paraId="12EF5E19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【导读】 在很长一段时间里，西方史学界习惯把东方文明看作一个谜。但在西蒙斯的显微镜下，东方文明与埃及、两河文明惊人地相似。它们都是**“大河文明”**，都必须面对同一个巨大的挑战：水。如果问谁是这个系统的管理员？不是皇帝，而是那个连接天与地的“中间人”。</w:t>
      </w:r>
    </w:p>
    <w:p w14:paraId="03F99377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pict w14:anchorId="29772963">
          <v:rect id="_x0000_i1061" style="width:0;height:.75pt" o:hrstd="t" o:hrnoshade="t" o:hr="t" fillcolor="#131212" stroked="f"/>
        </w:pict>
      </w:r>
    </w:p>
    <w:p w14:paraId="189B006B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1. 河流的诅咒：为什么必须集权？</w:t>
      </w:r>
    </w:p>
    <w:p w14:paraId="0D6BC797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让我们看看地图。无论是尼罗河、幼发拉底河，还是中国的黄河、长江，文明都诞生于这些奔腾的巨龙之畔。</w:t>
      </w:r>
    </w:p>
    <w:p w14:paraId="7AD4A09A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对于东方来说，地理决定论是残酷的。黄河不是温柔的摇篮，它是脾气暴躁的野兽。一旦它决堤，就是灭顶之灾。这迫使东方社会必须建立一个超级中央处理器——皇帝。</w:t>
      </w:r>
    </w:p>
    <w:p w14:paraId="4A222F5A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贾雷德·戴蒙德在《枪炮、病菌与钢铁》里说过，农业社会最怕什么？怕没饭吃。为了控制黄河，你不能像游牧民族那样各自为战，你必须集中所有人去修堤坝、疏通河道。于是，东方文明长出了庞大的官僚体系。这个体系的存在理由只有一个：管理水资源。</w:t>
      </w:r>
    </w:p>
    <w:p w14:paraId="1C7F6FD5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2. 玄学不是迷信，是“天道反馈机制”</w:t>
      </w:r>
    </w:p>
    <w:p w14:paraId="5FF1F394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有人会说，东方人不是信天命吗？别被电视剧骗了。西蒙斯认为，东方的“玄学”其实是一种极高维度的统计学。</w:t>
      </w:r>
    </w:p>
    <w:p w14:paraId="601A4D41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你一定听过“天人感应”。在普通眼里，这是迷信；但在西蒙斯眼里，这是**“宇宙错误日志”与“人类修正代码”的对话**。</w:t>
      </w:r>
    </w:p>
    <w:p w14:paraId="6C12A44E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《春秋繁露》里董仲舒说过，</w:t>
      </w:r>
      <w:proofErr w:type="gramStart"/>
      <w:r w:rsidRPr="00A27E39">
        <w:rPr>
          <w:b/>
          <w:bCs/>
        </w:rPr>
        <w:t>天如果</w:t>
      </w:r>
      <w:proofErr w:type="gramEnd"/>
      <w:r w:rsidRPr="00A27E39">
        <w:rPr>
          <w:b/>
          <w:bCs/>
        </w:rPr>
        <w:t>降下灾难（旱灾、蝗灾），那是</w:t>
      </w:r>
      <w:proofErr w:type="gramStart"/>
      <w:r w:rsidRPr="00A27E39">
        <w:rPr>
          <w:b/>
          <w:bCs/>
        </w:rPr>
        <w:t>天觉得</w:t>
      </w:r>
      <w:proofErr w:type="gramEnd"/>
      <w:r w:rsidRPr="00A27E39">
        <w:rPr>
          <w:b/>
          <w:bCs/>
        </w:rPr>
        <w:t>你的代码（政策）写错了，在给你发警告。而皇帝，作为“天子”，他的任务就是接收这个警告，然后发布新的政策（修德、改元）来“修补”这个系统。</w:t>
      </w:r>
    </w:p>
    <w:p w14:paraId="2236418B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这里的“神”，就是自然规律（天道）；而“天子”，就是中间人。他必须时刻盯着天象（变量），然后告诉下面的人怎么干活。这种机制看似被动，其实</w:t>
      </w:r>
      <w:proofErr w:type="gramStart"/>
      <w:r w:rsidRPr="00A27E39">
        <w:rPr>
          <w:b/>
          <w:bCs/>
        </w:rPr>
        <w:t>极其</w:t>
      </w:r>
      <w:proofErr w:type="gramEnd"/>
      <w:r w:rsidRPr="00A27E39">
        <w:rPr>
          <w:b/>
          <w:bCs/>
        </w:rPr>
        <w:t>高效，它让中国社会在几千年来，即使动荡也总能迅速恢复秩序。</w:t>
      </w:r>
    </w:p>
    <w:p w14:paraId="167D390E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3. 节气：时间就是金钱</w:t>
      </w:r>
    </w:p>
    <w:p w14:paraId="5D029378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如果你觉得西方的钟表精准，那东方的“节气”更可怕。</w:t>
      </w:r>
    </w:p>
    <w:p w14:paraId="46E04413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在东方社会，时间不是线性的流逝，而是能量分配的刻度。春分播种，秋分收获。这是一种基于天文观测的资源管理算法。皇帝和官员必须精确掌握这个算法，否则就饿肚子。</w:t>
      </w:r>
    </w:p>
    <w:p w14:paraId="24A072CF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在这种逻辑下，“神”不再是高高在上的神，而是季节和气候。春神、夏神、秋神、冬神，这就是自然界的四个主要变量。东方的玄学，本质上就是一本**《如何利用四季变量获取最大农业收益》的操作手册**。</w:t>
      </w:r>
    </w:p>
    <w:p w14:paraId="3A6123E0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4. 结论：最高级的稳定是“死板”</w:t>
      </w:r>
    </w:p>
    <w:p w14:paraId="3BAA1673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东方文明最了不起的地方在于它的稳定性。为什么？因为它的系统太“硬核”了。</w:t>
      </w:r>
    </w:p>
    <w:p w14:paraId="072C1DF6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它通过天文观测来校准农业，通过严格的宗法制度来执行指令。皇帝作为“神-人”的中间人，虽然看起来威严，但他其实是整个系统中最累的那个“运维工程师”。他必须保证天（自然）和地（社会）不脱节。</w:t>
      </w:r>
    </w:p>
    <w:p w14:paraId="42861439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这种文明，不需要西方那种充满激情的宗教狂热，它只需要像精密的钟表一样走动。这就是东方文明的“道”——一种基于地理约束和天文节律的秩序之美。</w:t>
      </w:r>
    </w:p>
    <w:p w14:paraId="2CC2AED7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pict w14:anchorId="5B7B8105">
          <v:rect id="_x0000_i1062" style="width:0;height:.75pt" o:hrstd="t" o:hrnoshade="t" o:hr="t" fillcolor="#131212" stroked="f"/>
        </w:pict>
      </w:r>
    </w:p>
    <w:p w14:paraId="43BA49AB" w14:textId="77777777" w:rsidR="00A27E39" w:rsidRPr="00A27E39" w:rsidRDefault="00A27E39" w:rsidP="00A27E39">
      <w:pPr>
        <w:rPr>
          <w:b/>
          <w:bCs/>
        </w:rPr>
      </w:pPr>
      <w:r w:rsidRPr="00A27E39">
        <w:rPr>
          <w:b/>
          <w:bCs/>
        </w:rPr>
        <w:t>【参考文献】</w:t>
      </w:r>
    </w:p>
    <w:p w14:paraId="5CA8FD9C" w14:textId="77777777" w:rsidR="00A27E39" w:rsidRPr="00A27E39" w:rsidRDefault="00A27E39" w:rsidP="00A27E39">
      <w:pPr>
        <w:numPr>
          <w:ilvl w:val="0"/>
          <w:numId w:val="22"/>
        </w:numPr>
        <w:rPr>
          <w:b/>
          <w:bCs/>
        </w:rPr>
      </w:pPr>
      <w:r w:rsidRPr="00A27E39">
        <w:rPr>
          <w:b/>
          <w:bCs/>
        </w:rPr>
        <w:t xml:space="preserve">Feng, </w:t>
      </w:r>
      <w:proofErr w:type="spellStart"/>
      <w:r w:rsidRPr="00A27E39">
        <w:rPr>
          <w:b/>
          <w:bCs/>
        </w:rPr>
        <w:t>Youlan</w:t>
      </w:r>
      <w:proofErr w:type="spellEnd"/>
      <w:r w:rsidRPr="00A27E39">
        <w:rPr>
          <w:b/>
          <w:bCs/>
        </w:rPr>
        <w:t>. (1947). </w:t>
      </w:r>
      <w:r w:rsidRPr="00A27E39">
        <w:rPr>
          <w:b/>
          <w:bCs/>
          <w:i/>
          <w:iCs/>
        </w:rPr>
        <w:t>A Short History of Chinese Philosophy</w:t>
      </w:r>
      <w:r w:rsidRPr="00A27E39">
        <w:rPr>
          <w:b/>
          <w:bCs/>
        </w:rPr>
        <w:t>. Macmillan. (冯友兰《中国哲学简史》，用于阐述“天人感应”与儒家政治逻辑)</w:t>
      </w:r>
    </w:p>
    <w:p w14:paraId="5A16375E" w14:textId="77777777" w:rsidR="00A27E39" w:rsidRPr="00A27E39" w:rsidRDefault="00A27E39" w:rsidP="00A27E39">
      <w:pPr>
        <w:numPr>
          <w:ilvl w:val="0"/>
          <w:numId w:val="22"/>
        </w:numPr>
        <w:rPr>
          <w:b/>
          <w:bCs/>
        </w:rPr>
      </w:pPr>
      <w:r w:rsidRPr="00A27E39">
        <w:rPr>
          <w:b/>
          <w:bCs/>
        </w:rPr>
        <w:lastRenderedPageBreak/>
        <w:t>Diamond, J. (1997). </w:t>
      </w:r>
      <w:r w:rsidRPr="00A27E39">
        <w:rPr>
          <w:b/>
          <w:bCs/>
          <w:i/>
          <w:iCs/>
        </w:rPr>
        <w:t>Guns, Germs, and Steel: The Fates of Human Societies</w:t>
      </w:r>
      <w:r w:rsidRPr="00A27E39">
        <w:rPr>
          <w:b/>
          <w:bCs/>
        </w:rPr>
        <w:t>. W. W. Norton &amp; Company. (引用地理决定论对农业集权的影响)</w:t>
      </w:r>
    </w:p>
    <w:p w14:paraId="2156E7FE" w14:textId="77777777" w:rsidR="00A27E39" w:rsidRPr="00A27E39" w:rsidRDefault="00A27E39" w:rsidP="00A27E39">
      <w:pPr>
        <w:numPr>
          <w:ilvl w:val="0"/>
          <w:numId w:val="22"/>
        </w:numPr>
        <w:rPr>
          <w:b/>
          <w:bCs/>
        </w:rPr>
      </w:pPr>
      <w:r w:rsidRPr="00A27E39">
        <w:rPr>
          <w:b/>
          <w:bCs/>
        </w:rPr>
        <w:t>Legge, J. (1861). </w:t>
      </w:r>
      <w:r w:rsidRPr="00A27E39">
        <w:rPr>
          <w:b/>
          <w:bCs/>
          <w:i/>
          <w:iCs/>
        </w:rPr>
        <w:t>The Shoo King: The Religious Portions of the Canonical Books of the Chinese</w:t>
      </w:r>
      <w:r w:rsidRPr="00A27E39">
        <w:rPr>
          <w:b/>
          <w:bCs/>
        </w:rPr>
        <w:t>. (引用古代文献关于时间与治理的论述)</w:t>
      </w:r>
    </w:p>
    <w:p w14:paraId="64D599D4" w14:textId="77777777" w:rsidR="00DC7EEA" w:rsidRPr="00A27E39" w:rsidRDefault="00DC7EEA" w:rsidP="00A27E39">
      <w:pPr>
        <w:rPr>
          <w:rFonts w:hint="eastAsia"/>
        </w:rPr>
      </w:pPr>
    </w:p>
    <w:sectPr w:rsidR="00DC7EEA" w:rsidRPr="00A27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9"/>
  </w:num>
  <w:num w:numId="2" w16cid:durableId="569267901">
    <w:abstractNumId w:val="21"/>
  </w:num>
  <w:num w:numId="3" w16cid:durableId="1654405844">
    <w:abstractNumId w:val="7"/>
  </w:num>
  <w:num w:numId="4" w16cid:durableId="1209218389">
    <w:abstractNumId w:val="15"/>
  </w:num>
  <w:num w:numId="5" w16cid:durableId="1060322966">
    <w:abstractNumId w:val="1"/>
  </w:num>
  <w:num w:numId="6" w16cid:durableId="1977487899">
    <w:abstractNumId w:val="13"/>
  </w:num>
  <w:num w:numId="7" w16cid:durableId="1957251398">
    <w:abstractNumId w:val="6"/>
  </w:num>
  <w:num w:numId="8" w16cid:durableId="85806297">
    <w:abstractNumId w:val="11"/>
  </w:num>
  <w:num w:numId="9" w16cid:durableId="2059234302">
    <w:abstractNumId w:val="14"/>
  </w:num>
  <w:num w:numId="10" w16cid:durableId="1822769511">
    <w:abstractNumId w:val="12"/>
  </w:num>
  <w:num w:numId="11" w16cid:durableId="634870919">
    <w:abstractNumId w:val="0"/>
  </w:num>
  <w:num w:numId="12" w16cid:durableId="762609055">
    <w:abstractNumId w:val="18"/>
  </w:num>
  <w:num w:numId="13" w16cid:durableId="155462485">
    <w:abstractNumId w:val="20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0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303120069">
    <w:abstractNumId w:val="17"/>
  </w:num>
  <w:num w:numId="21" w16cid:durableId="1953321255">
    <w:abstractNumId w:val="16"/>
  </w:num>
  <w:num w:numId="22" w16cid:durableId="1870408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A04D24"/>
    <w:rsid w:val="00A27E39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2026-07-13T18:55:00Z</dcterms:created>
  <dcterms:modified xsi:type="dcterms:W3CDTF">2026-07-13T18:55:00Z</dcterms:modified>
</cp:coreProperties>
</file>