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0948" w14:textId="77777777" w:rsidR="00063895" w:rsidRPr="00063895" w:rsidRDefault="00063895" w:rsidP="00063895">
      <w:pPr>
        <w:rPr>
          <w:b/>
          <w:bCs/>
        </w:rPr>
      </w:pPr>
      <w:r w:rsidRPr="00063895">
        <w:rPr>
          <w:b/>
          <w:bCs/>
        </w:rPr>
        <w:t>埃及的几何回归：天文变量与“神-人”中介的历史唯物主义分析</w:t>
      </w:r>
    </w:p>
    <w:p w14:paraId="29B1878D" w14:textId="77777777" w:rsidR="00063895" w:rsidRPr="00063895" w:rsidRDefault="00063895" w:rsidP="00063895">
      <w:pPr>
        <w:pStyle w:val="1"/>
        <w:shd w:val="clear" w:color="auto" w:fill="FAFBFC"/>
        <w:spacing w:before="0" w:after="0"/>
        <w:rPr>
          <w:rFonts w:asciiTheme="minorHAnsi" w:eastAsiaTheme="minorEastAsia" w:hAnsiTheme="minorHAnsi" w:cstheme="minorBidi"/>
          <w:color w:val="auto"/>
          <w:sz w:val="21"/>
          <w:szCs w:val="22"/>
        </w:rPr>
      </w:pPr>
      <w:r w:rsidRPr="00063895">
        <w:rPr>
          <w:rFonts w:asciiTheme="minorHAnsi" w:eastAsiaTheme="minorEastAsia" w:hAnsiTheme="minorHAnsi" w:cstheme="minorBidi"/>
          <w:color w:val="auto"/>
          <w:sz w:val="21"/>
          <w:szCs w:val="22"/>
        </w:rPr>
        <w:t>作者： ASTRA</w:t>
      </w:r>
    </w:p>
    <w:p w14:paraId="54ECE09A" w14:textId="1AA9F97A" w:rsidR="00063895" w:rsidRPr="00063895" w:rsidRDefault="00063895" w:rsidP="00063895">
      <w:r w:rsidRPr="00063895">
        <w:rPr>
          <w:b/>
          <w:bCs/>
        </w:rPr>
        <w:t>学科：</w:t>
      </w:r>
      <w:r w:rsidRPr="00063895">
        <w:t xml:space="preserve"> 古埃及史学 / 玄学考古学 / 统计历史学</w:t>
      </w:r>
    </w:p>
    <w:p w14:paraId="1E715ECC" w14:textId="77777777" w:rsidR="00063895" w:rsidRPr="00063895" w:rsidRDefault="00063895" w:rsidP="00063895">
      <w:pPr>
        <w:rPr>
          <w:b/>
          <w:bCs/>
        </w:rPr>
      </w:pPr>
      <w:r w:rsidRPr="00063895">
        <w:rPr>
          <w:b/>
          <w:bCs/>
        </w:rPr>
        <w:t>【摘要】</w:t>
      </w:r>
    </w:p>
    <w:p w14:paraId="7E4E6C55" w14:textId="77777777" w:rsidR="00063895" w:rsidRPr="00063895" w:rsidRDefault="00063895" w:rsidP="00063895">
      <w:r w:rsidRPr="00063895">
        <w:t>本文旨在从地理决定论与天体物理学的双重维度，重新审视古埃及文明的历史进程。通过分析吉</w:t>
      </w:r>
      <w:proofErr w:type="gramStart"/>
      <w:r w:rsidRPr="00063895">
        <w:t>萨</w:t>
      </w:r>
      <w:proofErr w:type="gramEnd"/>
      <w:r w:rsidRPr="00063895">
        <w:t>金字塔群与猎户座星群的几何对齐现象，本文论证了古埃及文明并非建立在单纯的宗教信仰之上，而是构建于一套精密的</w:t>
      </w:r>
      <w:r w:rsidRPr="00063895">
        <w:rPr>
          <w:b/>
          <w:bCs/>
        </w:rPr>
        <w:t>天文观测与空间锚</w:t>
      </w:r>
      <w:proofErr w:type="gramStart"/>
      <w:r w:rsidRPr="00063895">
        <w:rPr>
          <w:b/>
          <w:bCs/>
        </w:rPr>
        <w:t>定系统</w:t>
      </w:r>
      <w:proofErr w:type="gramEnd"/>
      <w:r w:rsidRPr="00063895">
        <w:t>之中。文章指出，“神”在古埃及语境中扮演了连接天体变量（自然常数）与社会变量（人类秩序）的**“中间人”**角色，而法老则是这一系统的执行者。这一机制不仅解释了埃及文明超长的稳定性，也揭示了其应对环境熵增的统计策略。</w:t>
      </w:r>
    </w:p>
    <w:p w14:paraId="219EE9DF" w14:textId="77777777" w:rsidR="00063895" w:rsidRPr="00063895" w:rsidRDefault="00063895" w:rsidP="00063895">
      <w:pPr>
        <w:rPr>
          <w:b/>
          <w:bCs/>
        </w:rPr>
      </w:pPr>
      <w:r w:rsidRPr="00063895">
        <w:rPr>
          <w:b/>
          <w:bCs/>
        </w:rPr>
        <w:t>【正文】</w:t>
      </w:r>
    </w:p>
    <w:p w14:paraId="687EE68D" w14:textId="77777777" w:rsidR="00063895" w:rsidRPr="00063895" w:rsidRDefault="00063895" w:rsidP="00063895">
      <w:r w:rsidRPr="00063895">
        <w:rPr>
          <w:b/>
          <w:bCs/>
        </w:rPr>
        <w:t>1. 引言：地理变量与文明阈值</w:t>
      </w:r>
      <w:r w:rsidRPr="00063895">
        <w:t xml:space="preserve"> 古埃及文明的起源与存续，首要决定因素在于尼罗河的周期性泛滥。正如贾雷德·戴蒙德在《枪炮、病菌与钢铁》中所言，地理环境为文明提供了特定的初始参数。尼罗河的水文周期决定了埃及社会必须具备精确的水利管理与人口调度能力。然而，仅靠地理环境无法解释埃及文明在数千年来对“神性”的执着追求。这种追求，本质上是人类试图通过构建“中介系统”来校准不可控的自然变量。</w:t>
      </w:r>
    </w:p>
    <w:p w14:paraId="675FA78E" w14:textId="77777777" w:rsidR="00063895" w:rsidRPr="00063895" w:rsidRDefault="00063895" w:rsidP="00063895">
      <w:r w:rsidRPr="00063895">
        <w:rPr>
          <w:b/>
          <w:bCs/>
        </w:rPr>
        <w:t>2. 天文对齐与几何回归：猎户座假说</w:t>
      </w:r>
      <w:r w:rsidRPr="00063895">
        <w:t xml:space="preserve"> 罗伯特·</w:t>
      </w:r>
      <w:proofErr w:type="gramStart"/>
      <w:r w:rsidRPr="00063895">
        <w:t>波法与</w:t>
      </w:r>
      <w:proofErr w:type="gramEnd"/>
      <w:r w:rsidRPr="00063895">
        <w:t>阿德里安·吉尔伯特在《猎户座之谜》中提出了具有颠覆性的论断：吉萨高原的三座主要金字塔并非随意堆砌的陵墓，而是对应着猎户座腰带三颗恒星的精确几何投影。基于此，我们引入统计学中的**“最小二乘法”**视角审视古埃及人的工程学成就。他们不仅测量了土地，还测量了星星。通过将人造建筑（地面变量）与天体运行轨迹（天顶变量）进行锁定，古埃及人试图在物理空间中建立一个“稳定态”。</w:t>
      </w:r>
    </w:p>
    <w:p w14:paraId="5BABE7D9" w14:textId="77777777" w:rsidR="00063895" w:rsidRPr="00063895" w:rsidRDefault="00063895" w:rsidP="00063895">
      <w:r w:rsidRPr="00063895">
        <w:rPr>
          <w:b/>
          <w:bCs/>
        </w:rPr>
        <w:t>3. “神”作为中间人的功能解析</w:t>
      </w:r>
      <w:r w:rsidRPr="00063895">
        <w:t xml:space="preserve"> 在古埃及神学体系中，太阳神拉（Ra）每日驾驶战车穿越天空，象征着能量的循环。法老并非独立于自然之外的主宰，而是**“神-人”关系中的核心中介**。根据Herodotus在《历史》中的记载，埃及人认为法老即是神在地上的化身，其职责是维护“玛阿特”——即宇宙的秩序与平衡。</w:t>
      </w:r>
    </w:p>
    <w:p w14:paraId="6CEA53EF" w14:textId="77777777" w:rsidR="00063895" w:rsidRPr="00063895" w:rsidRDefault="00063895" w:rsidP="00063895">
      <w:r w:rsidRPr="00063895">
        <w:t>从玄学与统计学的交叉视角来看，这种“中介”功能极其重要：天体物理现象（如日食、洪水）是宏观的、不可控的输入变量；而人类社会的混乱与无序是微观的、不可控的输出变量。法老通过天文观测（解读变量），并利用祭祀、建筑和行政手段（修正变量），将巨大的天文风险转化为可被管理的社会指令。换言之，神庙与金字塔不仅是宗教场所，更是</w:t>
      </w:r>
      <w:r w:rsidRPr="00063895">
        <w:rPr>
          <w:b/>
          <w:bCs/>
        </w:rPr>
        <w:t>处理天文风险的社会算法</w:t>
      </w:r>
      <w:r w:rsidRPr="00063895">
        <w:t>。</w:t>
      </w:r>
    </w:p>
    <w:p w14:paraId="74A2EB70" w14:textId="77777777" w:rsidR="00063895" w:rsidRPr="00063895" w:rsidRDefault="00063895" w:rsidP="00063895">
      <w:r w:rsidRPr="00063895">
        <w:rPr>
          <w:b/>
          <w:bCs/>
        </w:rPr>
        <w:t>4. 结论</w:t>
      </w:r>
      <w:r w:rsidRPr="00063895">
        <w:t xml:space="preserve"> 古埃及的历史推进，实质上是一部人类试图通过玄学手段对抗地理与天文熵增的历史。通过构建连接天地的几何结构，法老阶层成功地扮演了“中间人”的角色，维持了古埃及文明在特定地理环境下的长期稳定。这一机制表明，在古代文明中，玄学往往披着宗教的外衣，其内核却是严谨的天文统计学与工程学。</w:t>
      </w:r>
    </w:p>
    <w:p w14:paraId="292F0C05" w14:textId="77777777" w:rsidR="00063895" w:rsidRPr="00063895" w:rsidRDefault="00063895" w:rsidP="00063895">
      <w:r w:rsidRPr="00063895">
        <w:pict w14:anchorId="7B202157">
          <v:rect id="_x0000_i1031" style="width:0;height:.75pt" o:hrstd="t" o:hrnoshade="t" o:hr="t" fillcolor="#131212" stroked="f"/>
        </w:pict>
      </w:r>
    </w:p>
    <w:p w14:paraId="0CECD7B0" w14:textId="77777777" w:rsidR="00063895" w:rsidRPr="00063895" w:rsidRDefault="00063895" w:rsidP="00063895">
      <w:pPr>
        <w:rPr>
          <w:b/>
          <w:bCs/>
        </w:rPr>
      </w:pPr>
      <w:r w:rsidRPr="00063895">
        <w:rPr>
          <w:b/>
          <w:bCs/>
        </w:rPr>
        <w:t>【参考文献】</w:t>
      </w:r>
    </w:p>
    <w:p w14:paraId="751B336E" w14:textId="77777777" w:rsidR="00063895" w:rsidRPr="00063895" w:rsidRDefault="00063895" w:rsidP="00063895">
      <w:pPr>
        <w:numPr>
          <w:ilvl w:val="0"/>
          <w:numId w:val="20"/>
        </w:numPr>
      </w:pPr>
      <w:proofErr w:type="spellStart"/>
      <w:r w:rsidRPr="00063895">
        <w:t>Bauval</w:t>
      </w:r>
      <w:proofErr w:type="spellEnd"/>
      <w:r w:rsidRPr="00063895">
        <w:t>, R., &amp; Gilbert, A. (1994). </w:t>
      </w:r>
      <w:r w:rsidRPr="00063895">
        <w:rPr>
          <w:i/>
          <w:iCs/>
        </w:rPr>
        <w:t>The Orion Mystery: Unlocking the Secrets of the Pyramids</w:t>
      </w:r>
      <w:r w:rsidRPr="00063895">
        <w:t>. Crown Publishers.</w:t>
      </w:r>
    </w:p>
    <w:p w14:paraId="2F910184" w14:textId="77777777" w:rsidR="00063895" w:rsidRPr="00063895" w:rsidRDefault="00063895" w:rsidP="00063895">
      <w:pPr>
        <w:numPr>
          <w:ilvl w:val="0"/>
          <w:numId w:val="20"/>
        </w:numPr>
      </w:pPr>
      <w:r w:rsidRPr="00063895">
        <w:t>Herodotus. (1987). </w:t>
      </w:r>
      <w:r w:rsidRPr="00063895">
        <w:rPr>
          <w:i/>
          <w:iCs/>
        </w:rPr>
        <w:t>The Histories</w:t>
      </w:r>
      <w:r w:rsidRPr="00063895">
        <w:t> (A. D. Godley, Trans.). Harvard University Press. (Original work published c. 440 BC)</w:t>
      </w:r>
    </w:p>
    <w:p w14:paraId="68F3F6D9" w14:textId="77777777" w:rsidR="00063895" w:rsidRPr="00063895" w:rsidRDefault="00063895" w:rsidP="00063895">
      <w:pPr>
        <w:numPr>
          <w:ilvl w:val="0"/>
          <w:numId w:val="20"/>
        </w:numPr>
      </w:pPr>
      <w:r w:rsidRPr="00063895">
        <w:t>Diamond, J. (1997). </w:t>
      </w:r>
      <w:r w:rsidRPr="00063895">
        <w:rPr>
          <w:i/>
          <w:iCs/>
        </w:rPr>
        <w:t>Guns, Germs, and Steel: The Fates of Human Societies</w:t>
      </w:r>
      <w:r w:rsidRPr="00063895">
        <w:t>. W. W. Norton &amp; Company.</w:t>
      </w:r>
    </w:p>
    <w:p w14:paraId="7251D120" w14:textId="77777777" w:rsidR="00063895" w:rsidRPr="00063895" w:rsidRDefault="00063895" w:rsidP="00063895">
      <w:pPr>
        <w:numPr>
          <w:ilvl w:val="0"/>
          <w:numId w:val="20"/>
        </w:numPr>
      </w:pPr>
      <w:r w:rsidRPr="00063895">
        <w:t>Frankfort, H. (1978). </w:t>
      </w:r>
      <w:r w:rsidRPr="00063895">
        <w:rPr>
          <w:i/>
          <w:iCs/>
        </w:rPr>
        <w:t>The Art and Architecture of Ancient Egypt</w:t>
      </w:r>
      <w:r w:rsidRPr="00063895">
        <w:t> (3rd ed.). Yale University Press.</w:t>
      </w:r>
    </w:p>
    <w:p w14:paraId="64D599D4" w14:textId="77777777" w:rsidR="00DC7EEA" w:rsidRPr="00063895" w:rsidRDefault="00DC7EEA" w:rsidP="00063895">
      <w:pPr>
        <w:rPr>
          <w:rFonts w:hint="eastAsia"/>
        </w:rPr>
      </w:pPr>
    </w:p>
    <w:sectPr w:rsidR="00DC7EEA" w:rsidRPr="000638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CF0"/>
    <w:multiLevelType w:val="multilevel"/>
    <w:tmpl w:val="B816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C1B86"/>
    <w:multiLevelType w:val="multilevel"/>
    <w:tmpl w:val="4B16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3318B"/>
    <w:multiLevelType w:val="multilevel"/>
    <w:tmpl w:val="ADA0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D1CFB"/>
    <w:multiLevelType w:val="multilevel"/>
    <w:tmpl w:val="1D66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C6AB9"/>
    <w:multiLevelType w:val="multilevel"/>
    <w:tmpl w:val="20AE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F3D4D"/>
    <w:multiLevelType w:val="multilevel"/>
    <w:tmpl w:val="FF7C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F03A8"/>
    <w:multiLevelType w:val="multilevel"/>
    <w:tmpl w:val="CE26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87664"/>
    <w:multiLevelType w:val="multilevel"/>
    <w:tmpl w:val="4000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404FF1"/>
    <w:multiLevelType w:val="multilevel"/>
    <w:tmpl w:val="24D2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3933D3"/>
    <w:multiLevelType w:val="multilevel"/>
    <w:tmpl w:val="C902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6E092D"/>
    <w:multiLevelType w:val="multilevel"/>
    <w:tmpl w:val="7FE0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11653A"/>
    <w:multiLevelType w:val="multilevel"/>
    <w:tmpl w:val="798C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E8551F"/>
    <w:multiLevelType w:val="multilevel"/>
    <w:tmpl w:val="BE6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0F764A"/>
    <w:multiLevelType w:val="multilevel"/>
    <w:tmpl w:val="834A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50BD6"/>
    <w:multiLevelType w:val="multilevel"/>
    <w:tmpl w:val="6948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301C64"/>
    <w:multiLevelType w:val="multilevel"/>
    <w:tmpl w:val="A40C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976669"/>
    <w:multiLevelType w:val="multilevel"/>
    <w:tmpl w:val="143C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0F08B9"/>
    <w:multiLevelType w:val="multilevel"/>
    <w:tmpl w:val="C79C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7F773E"/>
    <w:multiLevelType w:val="multilevel"/>
    <w:tmpl w:val="C7C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5D5E92"/>
    <w:multiLevelType w:val="multilevel"/>
    <w:tmpl w:val="862A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081248">
    <w:abstractNumId w:val="17"/>
  </w:num>
  <w:num w:numId="2" w16cid:durableId="569267901">
    <w:abstractNumId w:val="19"/>
  </w:num>
  <w:num w:numId="3" w16cid:durableId="1654405844">
    <w:abstractNumId w:val="7"/>
  </w:num>
  <w:num w:numId="4" w16cid:durableId="1209218389">
    <w:abstractNumId w:val="14"/>
  </w:num>
  <w:num w:numId="5" w16cid:durableId="1060322966">
    <w:abstractNumId w:val="1"/>
  </w:num>
  <w:num w:numId="6" w16cid:durableId="1977487899">
    <w:abstractNumId w:val="12"/>
  </w:num>
  <w:num w:numId="7" w16cid:durableId="1957251398">
    <w:abstractNumId w:val="6"/>
  </w:num>
  <w:num w:numId="8" w16cid:durableId="85806297">
    <w:abstractNumId w:val="10"/>
  </w:num>
  <w:num w:numId="9" w16cid:durableId="2059234302">
    <w:abstractNumId w:val="13"/>
  </w:num>
  <w:num w:numId="10" w16cid:durableId="1822769511">
    <w:abstractNumId w:val="11"/>
  </w:num>
  <w:num w:numId="11" w16cid:durableId="634870919">
    <w:abstractNumId w:val="0"/>
  </w:num>
  <w:num w:numId="12" w16cid:durableId="762609055">
    <w:abstractNumId w:val="16"/>
  </w:num>
  <w:num w:numId="13" w16cid:durableId="155462485">
    <w:abstractNumId w:val="18"/>
  </w:num>
  <w:num w:numId="14" w16cid:durableId="1783377583">
    <w:abstractNumId w:val="5"/>
  </w:num>
  <w:num w:numId="15" w16cid:durableId="1780951952">
    <w:abstractNumId w:val="4"/>
  </w:num>
  <w:num w:numId="16" w16cid:durableId="530848818">
    <w:abstractNumId w:val="9"/>
  </w:num>
  <w:num w:numId="17" w16cid:durableId="351301827">
    <w:abstractNumId w:val="8"/>
  </w:num>
  <w:num w:numId="18" w16cid:durableId="946933550">
    <w:abstractNumId w:val="3"/>
  </w:num>
  <w:num w:numId="19" w16cid:durableId="1719666200">
    <w:abstractNumId w:val="2"/>
  </w:num>
  <w:num w:numId="20" w16cid:durableId="3031200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FF"/>
    <w:rsid w:val="00011FA5"/>
    <w:rsid w:val="00063895"/>
    <w:rsid w:val="0011041C"/>
    <w:rsid w:val="001241FD"/>
    <w:rsid w:val="001A60C5"/>
    <w:rsid w:val="00234230"/>
    <w:rsid w:val="00236896"/>
    <w:rsid w:val="0028782A"/>
    <w:rsid w:val="00296B6D"/>
    <w:rsid w:val="002C40B8"/>
    <w:rsid w:val="003C2A88"/>
    <w:rsid w:val="00563942"/>
    <w:rsid w:val="005760BC"/>
    <w:rsid w:val="00591EB2"/>
    <w:rsid w:val="00763B87"/>
    <w:rsid w:val="007A1EFF"/>
    <w:rsid w:val="008279D9"/>
    <w:rsid w:val="00955F98"/>
    <w:rsid w:val="009733E7"/>
    <w:rsid w:val="00C115E7"/>
    <w:rsid w:val="00C4266F"/>
    <w:rsid w:val="00D373B7"/>
    <w:rsid w:val="00D70D1D"/>
    <w:rsid w:val="00DA1856"/>
    <w:rsid w:val="00DC7EEA"/>
    <w:rsid w:val="00E54B44"/>
    <w:rsid w:val="00E76460"/>
    <w:rsid w:val="00F37110"/>
    <w:rsid w:val="00FF6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1C3A"/>
  <w15:chartTrackingRefBased/>
  <w15:docId w15:val="{54190E03-522C-40A5-ACBE-F26C739F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1E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E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1E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E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E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1E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E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E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1E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E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E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1E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EFF"/>
    <w:rPr>
      <w:rFonts w:cstheme="majorBidi"/>
      <w:color w:val="0F4761" w:themeColor="accent1" w:themeShade="BF"/>
      <w:sz w:val="28"/>
      <w:szCs w:val="28"/>
    </w:rPr>
  </w:style>
  <w:style w:type="character" w:customStyle="1" w:styleId="50">
    <w:name w:val="标题 5 字符"/>
    <w:basedOn w:val="a0"/>
    <w:link w:val="5"/>
    <w:uiPriority w:val="9"/>
    <w:semiHidden/>
    <w:rsid w:val="007A1EFF"/>
    <w:rPr>
      <w:rFonts w:cstheme="majorBidi"/>
      <w:color w:val="0F4761" w:themeColor="accent1" w:themeShade="BF"/>
      <w:sz w:val="24"/>
      <w:szCs w:val="24"/>
    </w:rPr>
  </w:style>
  <w:style w:type="character" w:customStyle="1" w:styleId="60">
    <w:name w:val="标题 6 字符"/>
    <w:basedOn w:val="a0"/>
    <w:link w:val="6"/>
    <w:uiPriority w:val="9"/>
    <w:semiHidden/>
    <w:rsid w:val="007A1EFF"/>
    <w:rPr>
      <w:rFonts w:cstheme="majorBidi"/>
      <w:b/>
      <w:bCs/>
      <w:color w:val="0F4761" w:themeColor="accent1" w:themeShade="BF"/>
    </w:rPr>
  </w:style>
  <w:style w:type="character" w:customStyle="1" w:styleId="70">
    <w:name w:val="标题 7 字符"/>
    <w:basedOn w:val="a0"/>
    <w:link w:val="7"/>
    <w:uiPriority w:val="9"/>
    <w:semiHidden/>
    <w:rsid w:val="007A1EFF"/>
    <w:rPr>
      <w:rFonts w:cstheme="majorBidi"/>
      <w:b/>
      <w:bCs/>
      <w:color w:val="595959" w:themeColor="text1" w:themeTint="A6"/>
    </w:rPr>
  </w:style>
  <w:style w:type="character" w:customStyle="1" w:styleId="80">
    <w:name w:val="标题 8 字符"/>
    <w:basedOn w:val="a0"/>
    <w:link w:val="8"/>
    <w:uiPriority w:val="9"/>
    <w:semiHidden/>
    <w:rsid w:val="007A1EFF"/>
    <w:rPr>
      <w:rFonts w:cstheme="majorBidi"/>
      <w:color w:val="595959" w:themeColor="text1" w:themeTint="A6"/>
    </w:rPr>
  </w:style>
  <w:style w:type="character" w:customStyle="1" w:styleId="90">
    <w:name w:val="标题 9 字符"/>
    <w:basedOn w:val="a0"/>
    <w:link w:val="9"/>
    <w:uiPriority w:val="9"/>
    <w:semiHidden/>
    <w:rsid w:val="007A1EFF"/>
    <w:rPr>
      <w:rFonts w:eastAsiaTheme="majorEastAsia" w:cstheme="majorBidi"/>
      <w:color w:val="595959" w:themeColor="text1" w:themeTint="A6"/>
    </w:rPr>
  </w:style>
  <w:style w:type="paragraph" w:styleId="a3">
    <w:name w:val="Title"/>
    <w:basedOn w:val="a"/>
    <w:next w:val="a"/>
    <w:link w:val="a4"/>
    <w:uiPriority w:val="10"/>
    <w:qFormat/>
    <w:rsid w:val="007A1E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E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EFF"/>
    <w:pPr>
      <w:spacing w:before="160" w:after="160"/>
      <w:jc w:val="center"/>
    </w:pPr>
    <w:rPr>
      <w:i/>
      <w:iCs/>
      <w:color w:val="404040" w:themeColor="text1" w:themeTint="BF"/>
    </w:rPr>
  </w:style>
  <w:style w:type="character" w:customStyle="1" w:styleId="a8">
    <w:name w:val="引用 字符"/>
    <w:basedOn w:val="a0"/>
    <w:link w:val="a7"/>
    <w:uiPriority w:val="29"/>
    <w:rsid w:val="007A1EFF"/>
    <w:rPr>
      <w:i/>
      <w:iCs/>
      <w:color w:val="404040" w:themeColor="text1" w:themeTint="BF"/>
    </w:rPr>
  </w:style>
  <w:style w:type="paragraph" w:styleId="a9">
    <w:name w:val="List Paragraph"/>
    <w:basedOn w:val="a"/>
    <w:uiPriority w:val="34"/>
    <w:qFormat/>
    <w:rsid w:val="007A1EFF"/>
    <w:pPr>
      <w:ind w:left="720"/>
      <w:contextualSpacing/>
    </w:pPr>
  </w:style>
  <w:style w:type="character" w:styleId="aa">
    <w:name w:val="Intense Emphasis"/>
    <w:basedOn w:val="a0"/>
    <w:uiPriority w:val="21"/>
    <w:qFormat/>
    <w:rsid w:val="007A1EFF"/>
    <w:rPr>
      <w:i/>
      <w:iCs/>
      <w:color w:val="0F4761" w:themeColor="accent1" w:themeShade="BF"/>
    </w:rPr>
  </w:style>
  <w:style w:type="paragraph" w:styleId="ab">
    <w:name w:val="Intense Quote"/>
    <w:basedOn w:val="a"/>
    <w:next w:val="a"/>
    <w:link w:val="ac"/>
    <w:uiPriority w:val="30"/>
    <w:qFormat/>
    <w:rsid w:val="007A1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EFF"/>
    <w:rPr>
      <w:i/>
      <w:iCs/>
      <w:color w:val="0F4761" w:themeColor="accent1" w:themeShade="BF"/>
    </w:rPr>
  </w:style>
  <w:style w:type="character" w:styleId="ad">
    <w:name w:val="Intense Reference"/>
    <w:basedOn w:val="a0"/>
    <w:uiPriority w:val="32"/>
    <w:qFormat/>
    <w:rsid w:val="007A1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夜 夏</dc:creator>
  <cp:keywords/>
  <dc:description/>
  <cp:lastModifiedBy>夜 夏</cp:lastModifiedBy>
  <cp:revision>2</cp:revision>
  <dcterms:created xsi:type="dcterms:W3CDTF">2026-07-13T18:50:00Z</dcterms:created>
  <dcterms:modified xsi:type="dcterms:W3CDTF">2026-07-13T18:50:00Z</dcterms:modified>
</cp:coreProperties>
</file>