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Capítulo 1: El archivo</w:t>
      </w:r>
    </w:p>
    <w:p>
      <w:r>
        <w:t xml:space="preserve">El legajo</w:t>
      </w:r>
      <w:r>
        <w:rPr>
          <w:rStyle w:val="FootnoteReference"/>
        </w:rPr>
        <w:footnoteReference w:id="1"/>
      </w:r>
      <w:r>
        <w:t xml:space="preserve"> estaba en el sótano.</w:t>
      </w:r>
    </w:p>
    <w:p>
      <w:r>
        <w:t xml:space="preserve">Nadie lo había abierto</w:t>
      </w:r>
      <w:r>
        <w:rPr>
          <w:rStyle w:val="FootnoteReference"/>
        </w:rPr>
        <w:footnoteReference w:id="2"/>
      </w:r>
      <w:r>
        <w:t xml:space="preserve">.</w:t>
      </w:r>
    </w:p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Un legajo es un atado de papeles.</w:t>
      </w:r>
    </w:p>
  </w:footnote>
  <w:footnote w:id="2">
    <w:p>
      <w:r>
        <w:t xml:space="preserve">Desde 1931.</w:t>
      </w:r>
    </w:p>
    <w:p>
      <w:r>
        <w:t xml:space="preserve">Según el inventario.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Relationship Id="rId8" Type="http://schemas.openxmlformats.org/officeDocument/2006/relationships/footnotes" Target="footnotes.xml"/></Relationships>
</file>