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2: Descartes</w:t>
      </w:r>
    </w:p>
    <w:p>
      <w:r>
        <w:t xml:space="preserve">Texto normal.</w:t>
      </w:r>
    </w:p>
    <w:p>
      <w:r>
        <w:rPr>
          <w:u w:val="single"/>
        </w:rPr>
        <w:t xml:space="preserve">subrayado</w:t>
      </w:r>
      <w:r>
        <w:t xml:space="preserve"> y </w:t>
      </w:r>
      <w:r>
        <w:rPr>
          <w:strike/>
        </w:rPr>
        <w:t xml:space="preserve">tachado</w:t>
      </w:r>
    </w:p>
    <w:tbl>
      <w:tr>
        <w:tc>
          <w:p>
            <w:r>
              <w:t>celda</w:t>
            </w:r>
          </w:p>
        </w:tc>
        <w:tc>
          <w:p>
            <w:r>
              <w:t>celda</w:t>
            </w:r>
          </w:p>
        </w:tc>
      </w:tr>
    </w:tbl>
    <w:p>
      <w:r>
        <w:t xml:space="preserve">Final.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