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Resumen ejecutivo de Apps Suite</w:t>
      </w:r>
    </w:p>
    <w:p>
      <w:pPr>
        <w:pStyle w:val="BodyText"/>
      </w:pPr>
      <w:r>
        <w:rPr>
          <w:b/>
          <w:bCs/>
        </w:rPr>
        <w:t xml:space="preserve">1. Concepto general</w:t>
      </w:r>
      <w:r>
        <w:t xml:space="preserve"> </w:t>
      </w:r>
      <w:r>
        <w:t xml:space="preserve">Apps Suite es un ecosistema de software empresarial compuesto por dos pilares principales: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Ariadna:</w:t>
      </w:r>
      <w:r>
        <w:t xml:space="preserve"> </w:t>
      </w:r>
      <w:r>
        <w:t xml:space="preserve">Sistema de identidad y acceso unificado (login universal, RBAC, red privada, control de dispositivos y trazabilidad de datos). Permite iniciar sesión en todas las aplicaciones corporativas mediante un solo botón y actúa como núcleo de seguridad y conexión con terceros.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Sindri:</w:t>
      </w:r>
      <w:r>
        <w:t xml:space="preserve"> </w:t>
      </w:r>
      <w:r>
        <w:t xml:space="preserve">Herramienta que transforma archivos Markdown en sitios web, documentos o PDFs. Usa plantillas y conectores para automatizar publicaciones desde una única fuente de contenido.</w:t>
      </w:r>
    </w:p>
    <w:p>
      <w:pPr>
        <w:pStyle w:val="FirstParagraph"/>
      </w:pPr>
      <w:r>
        <w:rPr>
          <w:b/>
          <w:bCs/>
        </w:rPr>
        <w:t xml:space="preserve">2. Objetivos principales</w:t>
      </w:r>
    </w:p>
    <w:p>
      <w:pPr>
        <w:pStyle w:val="Compact"/>
        <w:numPr>
          <w:ilvl w:val="0"/>
          <w:numId w:val="1002"/>
        </w:numPr>
      </w:pPr>
      <w:r>
        <w:t xml:space="preserve">Desplegar soluciones de automatización y seguridad con costes bajos y escalabilidad.</w:t>
      </w:r>
    </w:p>
    <w:p>
      <w:pPr>
        <w:pStyle w:val="Compact"/>
        <w:numPr>
          <w:ilvl w:val="0"/>
          <w:numId w:val="1002"/>
        </w:numPr>
      </w:pPr>
      <w:r>
        <w:t xml:space="preserve">Centralizar identidad, acceso, contenido y conectores de terceros bajo control empresarial.</w:t>
      </w:r>
    </w:p>
    <w:p>
      <w:pPr>
        <w:pStyle w:val="Compact"/>
        <w:numPr>
          <w:ilvl w:val="0"/>
          <w:numId w:val="1002"/>
        </w:numPr>
      </w:pPr>
      <w:r>
        <w:t xml:space="preserve">Permitir que empresas, agencias y centros educativos publiquen y gestionen información sin depender de desarrollos a medida.</w:t>
      </w:r>
    </w:p>
    <w:p>
      <w:pPr>
        <w:pStyle w:val="FirstParagraph"/>
      </w:pPr>
      <w:r>
        <w:rPr>
          <w:b/>
          <w:bCs/>
        </w:rPr>
        <w:t xml:space="preserve">3. Propuesta de valor</w:t>
      </w:r>
    </w:p>
    <w:p>
      <w:pPr>
        <w:pStyle w:val="Compact"/>
        <w:numPr>
          <w:ilvl w:val="0"/>
          <w:numId w:val="1003"/>
        </w:numPr>
      </w:pPr>
      <w:r>
        <w:t xml:space="preserve">Una identidad unificada para todo el stack tecnológico.</w:t>
      </w:r>
    </w:p>
    <w:p>
      <w:pPr>
        <w:pStyle w:val="Compact"/>
        <w:numPr>
          <w:ilvl w:val="0"/>
          <w:numId w:val="1003"/>
        </w:numPr>
      </w:pPr>
      <w:r>
        <w:t xml:space="preserve">Seguridad y trazabilidad por diseño.</w:t>
      </w:r>
    </w:p>
    <w:p>
      <w:pPr>
        <w:pStyle w:val="Compact"/>
        <w:numPr>
          <w:ilvl w:val="0"/>
          <w:numId w:val="1003"/>
        </w:numPr>
      </w:pPr>
      <w:r>
        <w:t xml:space="preserve">Publicación rápida desde un solo origen (Markdown) hacia múltiples formatos.</w:t>
      </w:r>
    </w:p>
    <w:p>
      <w:pPr>
        <w:pStyle w:val="Compact"/>
        <w:numPr>
          <w:ilvl w:val="0"/>
          <w:numId w:val="1003"/>
        </w:numPr>
      </w:pPr>
      <w:r>
        <w:t xml:space="preserve">Plantillas reutilizables y conectores modulares.</w:t>
      </w:r>
    </w:p>
    <w:p>
      <w:pPr>
        <w:pStyle w:val="FirstParagraph"/>
      </w:pPr>
      <w:r>
        <w:rPr>
          <w:b/>
          <w:bCs/>
        </w:rPr>
        <w:t xml:space="preserve">4. MVP (producto mínimo viable)</w:t>
      </w:r>
    </w:p>
    <w:p>
      <w:pPr>
        <w:pStyle w:val="Compact"/>
        <w:numPr>
          <w:ilvl w:val="0"/>
          <w:numId w:val="1004"/>
        </w:numPr>
      </w:pPr>
      <w:r>
        <w:t xml:space="preserve">Login Ariadna funcional en 3 apps internas.</w:t>
      </w:r>
    </w:p>
    <w:p>
      <w:pPr>
        <w:pStyle w:val="Compact"/>
        <w:numPr>
          <w:ilvl w:val="0"/>
          <w:numId w:val="1004"/>
        </w:numPr>
      </w:pPr>
      <w:r>
        <w:t xml:space="preserve">2 plantillas Sindri listas (web y PDF).</w:t>
      </w:r>
    </w:p>
    <w:p>
      <w:pPr>
        <w:pStyle w:val="Compact"/>
        <w:numPr>
          <w:ilvl w:val="0"/>
          <w:numId w:val="1004"/>
        </w:numPr>
      </w:pPr>
      <w:r>
        <w:t xml:space="preserve">1 conector operativo con un SaaS externo (ej. CRM o reservas).</w:t>
      </w:r>
    </w:p>
    <w:p>
      <w:pPr>
        <w:pStyle w:val="Compact"/>
        <w:numPr>
          <w:ilvl w:val="0"/>
          <w:numId w:val="1004"/>
        </w:numPr>
      </w:pPr>
      <w:r>
        <w:t xml:space="preserve">Sin personalizaciones fuera del alcance del MVP.</w:t>
      </w:r>
    </w:p>
    <w:p>
      <w:pPr>
        <w:pStyle w:val="FirstParagraph"/>
      </w:pPr>
      <w:r>
        <w:rPr>
          <w:b/>
          <w:bCs/>
        </w:rPr>
        <w:t xml:space="preserve">5. Roadmap resumido (2025–2026)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Fase 0 (Q4 2025):</w:t>
      </w:r>
      <w:r>
        <w:t xml:space="preserve"> </w:t>
      </w:r>
      <w:r>
        <w:t xml:space="preserve">Cimientos técnicos, identidad OIDC, plantillas base y red privada.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Fase 1 (Q1 2026):</w:t>
      </w:r>
      <w:r>
        <w:t xml:space="preserve"> </w:t>
      </w:r>
      <w:r>
        <w:t xml:space="preserve">MVP funcional con conectores y observabilidad.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Fase 2 (Q2 2026):</w:t>
      </w:r>
      <w:r>
        <w:t xml:space="preserve"> </w:t>
      </w:r>
      <w:r>
        <w:t xml:space="preserve">Beta pública, módulos versionados, pruebas externas.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Fase 3 (Q3 2026):</w:t>
      </w:r>
      <w:r>
        <w:t xml:space="preserve"> </w:t>
      </w:r>
      <w:r>
        <w:t xml:space="preserve">Versión estable con seguridad avanzada, SLAs y auditorías.</w:t>
      </w:r>
    </w:p>
    <w:p>
      <w:pPr>
        <w:pStyle w:val="FirstParagraph"/>
      </w:pPr>
      <w:r>
        <w:rPr>
          <w:b/>
          <w:bCs/>
        </w:rPr>
        <w:t xml:space="preserve">6. Plan de marketing</w:t>
      </w:r>
    </w:p>
    <w:p>
      <w:pPr>
        <w:numPr>
          <w:ilvl w:val="0"/>
          <w:numId w:val="1006"/>
        </w:numPr>
      </w:pPr>
      <w:r>
        <w:t xml:space="preserve">Segmentos: PYMEs, agencias y educación.</w:t>
      </w:r>
    </w:p>
    <w:p>
      <w:pPr>
        <w:numPr>
          <w:ilvl w:val="0"/>
          <w:numId w:val="1006"/>
        </w:numPr>
      </w:pPr>
      <w:r>
        <w:t xml:space="preserve">Mensajes clave:</w:t>
      </w:r>
    </w:p>
    <w:p>
      <w:pPr>
        <w:pStyle w:val="Compact"/>
        <w:numPr>
          <w:ilvl w:val="1"/>
          <w:numId w:val="1007"/>
        </w:numPr>
      </w:pPr>
      <w:r>
        <w:t xml:space="preserve">“Una identidad para todo tu stack” (Ariadna).</w:t>
      </w:r>
    </w:p>
    <w:p>
      <w:pPr>
        <w:pStyle w:val="Compact"/>
        <w:numPr>
          <w:ilvl w:val="1"/>
          <w:numId w:val="1007"/>
        </w:numPr>
      </w:pPr>
      <w:r>
        <w:t xml:space="preserve">“Publica web y PDF desde el mismo MD” (Sindri).</w:t>
      </w:r>
    </w:p>
    <w:p>
      <w:pPr>
        <w:numPr>
          <w:ilvl w:val="0"/>
          <w:numId w:val="1006"/>
        </w:numPr>
      </w:pPr>
      <w:r>
        <w:t xml:space="preserve">Canales: web, demos, newsletter, prensa técnica y comunidades.</w:t>
      </w:r>
    </w:p>
    <w:p>
      <w:pPr>
        <w:numPr>
          <w:ilvl w:val="0"/>
          <w:numId w:val="1006"/>
        </w:numPr>
      </w:pPr>
      <w:r>
        <w:t xml:space="preserve">Tácticas: demos públicas, plantillas libres, campañas de PR y partnerships.</w:t>
      </w:r>
    </w:p>
    <w:p>
      <w:pPr>
        <w:pStyle w:val="FirstParagraph"/>
      </w:pPr>
      <w:r>
        <w:rPr>
          <w:b/>
          <w:bCs/>
        </w:rPr>
        <w:t xml:space="preserve">7. Modelo financiero (año 1)</w:t>
      </w:r>
    </w:p>
    <w:p>
      <w:pPr>
        <w:pStyle w:val="Compact"/>
        <w:numPr>
          <w:ilvl w:val="0"/>
          <w:numId w:val="1008"/>
        </w:numPr>
      </w:pPr>
      <w:r>
        <w:t xml:space="preserve">Servicio técnico + licencias abiertas (MIT/CC0).</w:t>
      </w:r>
    </w:p>
    <w:p>
      <w:pPr>
        <w:pStyle w:val="Compact"/>
        <w:numPr>
          <w:ilvl w:val="0"/>
          <w:numId w:val="1008"/>
        </w:numPr>
      </w:pPr>
      <w:r>
        <w:t xml:space="preserve">Ingresos previstos: 70 000–200 000 € según escenario.</w:t>
      </w:r>
    </w:p>
    <w:p>
      <w:pPr>
        <w:pStyle w:val="Compact"/>
        <w:numPr>
          <w:ilvl w:val="0"/>
          <w:numId w:val="1008"/>
        </w:numPr>
      </w:pPr>
      <w:r>
        <w:t xml:space="preserve">Fuentes: despliegue MVP, soporte mensual y venta de plantillas premium.</w:t>
      </w:r>
    </w:p>
    <w:p>
      <w:pPr>
        <w:pStyle w:val="Compact"/>
        <w:numPr>
          <w:ilvl w:val="0"/>
          <w:numId w:val="1008"/>
        </w:numPr>
      </w:pPr>
      <w:r>
        <w:t xml:space="preserve">Inversiones clave: seguridad, testing, plantillas, documentación y marketing.</w:t>
      </w:r>
    </w:p>
    <w:p>
      <w:pPr>
        <w:pStyle w:val="FirstParagraph"/>
      </w:pPr>
      <w:r>
        <w:rPr>
          <w:b/>
          <w:bCs/>
        </w:rPr>
        <w:t xml:space="preserve">8. Gobernanza y comunidad</w:t>
      </w:r>
    </w:p>
    <w:p>
      <w:pPr>
        <w:pStyle w:val="Compact"/>
        <w:numPr>
          <w:ilvl w:val="0"/>
          <w:numId w:val="1009"/>
        </w:numPr>
      </w:pPr>
      <w:r>
        <w:t xml:space="preserve">Estructura colaborativa con roles: Mecenas Fundador, Colaboradores, Embajadores y Managers.</w:t>
      </w:r>
    </w:p>
    <w:p>
      <w:pPr>
        <w:pStyle w:val="Compact"/>
        <w:numPr>
          <w:ilvl w:val="0"/>
          <w:numId w:val="1009"/>
        </w:numPr>
      </w:pPr>
      <w:r>
        <w:t xml:space="preserve">Transparencia y horizontalidad automatizada.</w:t>
      </w:r>
    </w:p>
    <w:p>
      <w:pPr>
        <w:pStyle w:val="Compact"/>
        <w:numPr>
          <w:ilvl w:val="0"/>
          <w:numId w:val="1009"/>
        </w:numPr>
      </w:pPr>
      <w:r>
        <w:t xml:space="preserve">Licencias abiertas y políticas éticas (sin inversión por equity, sin especulación financiera).</w:t>
      </w:r>
    </w:p>
    <w:p>
      <w:pPr>
        <w:pStyle w:val="FirstParagraph"/>
      </w:pPr>
      <w:r>
        <w:rPr>
          <w:b/>
          <w:bCs/>
        </w:rPr>
        <w:t xml:space="preserve">9. Token $CAS (Ciclo Apps Suite)</w:t>
      </w:r>
    </w:p>
    <w:p>
      <w:pPr>
        <w:pStyle w:val="Compact"/>
        <w:numPr>
          <w:ilvl w:val="0"/>
          <w:numId w:val="1010"/>
        </w:numPr>
      </w:pPr>
      <w:r>
        <w:t xml:space="preserve">Moneda utilitaria en red Hedera, no especulativa.</w:t>
      </w:r>
    </w:p>
    <w:p>
      <w:pPr>
        <w:pStyle w:val="Compact"/>
        <w:numPr>
          <w:ilvl w:val="0"/>
          <w:numId w:val="1010"/>
        </w:numPr>
      </w:pPr>
      <w:r>
        <w:t xml:space="preserve">Supply total: 100 M $CAS (20 % liberado en 2027).</w:t>
      </w:r>
    </w:p>
    <w:p>
      <w:pPr>
        <w:pStyle w:val="Compact"/>
        <w:numPr>
          <w:ilvl w:val="0"/>
          <w:numId w:val="1010"/>
        </w:numPr>
      </w:pPr>
      <w:r>
        <w:t xml:space="preserve">Usos: incentivos comunitarios, marketing, recompensas y gobernanza.</w:t>
      </w:r>
    </w:p>
    <w:p>
      <w:pPr>
        <w:pStyle w:val="Compact"/>
        <w:numPr>
          <w:ilvl w:val="0"/>
          <w:numId w:val="1010"/>
        </w:numPr>
      </w:pPr>
      <w:r>
        <w:t xml:space="preserve">Mecanismo de recompra mensual con quema del 30 % y redistribución del 70 % a colaboradores.</w:t>
      </w:r>
    </w:p>
    <w:p>
      <w:pPr>
        <w:pStyle w:val="FirstParagraph"/>
      </w:pPr>
      <w:r>
        <w:rPr>
          <w:b/>
          <w:bCs/>
        </w:rPr>
        <w:t xml:space="preserve">10. Ética y cumplimiento</w:t>
      </w:r>
    </w:p>
    <w:p>
      <w:pPr>
        <w:pStyle w:val="Compact"/>
        <w:numPr>
          <w:ilvl w:val="0"/>
          <w:numId w:val="1011"/>
        </w:numPr>
      </w:pPr>
      <w:r>
        <w:t xml:space="preserve">No se aceptan inversiones por equity.</w:t>
      </w:r>
    </w:p>
    <w:p>
      <w:pPr>
        <w:pStyle w:val="Compact"/>
        <w:numPr>
          <w:ilvl w:val="0"/>
          <w:numId w:val="1011"/>
        </w:numPr>
      </w:pPr>
      <w:r>
        <w:t xml:space="preserve">Foco en utilidad y transparencia, evitando especulación.</w:t>
      </w:r>
    </w:p>
    <w:p>
      <w:pPr>
        <w:pStyle w:val="Compact"/>
        <w:numPr>
          <w:ilvl w:val="0"/>
          <w:numId w:val="1011"/>
        </w:numPr>
      </w:pPr>
      <w:r>
        <w:t xml:space="preserve">Respeto de licencias, privacidad y buenas prácticas de IA.</w:t>
      </w:r>
    </w:p>
    <w:p>
      <w:pPr>
        <w:pStyle w:val="FirstParagraph"/>
      </w:pPr>
      <w:r>
        <w:rPr>
          <w:b/>
          <w:bCs/>
        </w:rPr>
        <w:t xml:space="preserve">11. Custodia digital y seguridad (Ariadna ColdWallet)</w:t>
      </w:r>
    </w:p>
    <w:p>
      <w:pPr>
        <w:pStyle w:val="Compact"/>
        <w:numPr>
          <w:ilvl w:val="0"/>
          <w:numId w:val="1012"/>
        </w:numPr>
      </w:pPr>
      <w:r>
        <w:t xml:space="preserve">Modelo híbrido (hot/warm/cold) hasta 2027.</w:t>
      </w:r>
    </w:p>
    <w:p>
      <w:pPr>
        <w:pStyle w:val="Compact"/>
        <w:numPr>
          <w:ilvl w:val="0"/>
          <w:numId w:val="1012"/>
        </w:numPr>
      </w:pPr>
      <w:r>
        <w:t xml:space="preserve">Custodia descentralizada opcional con exportabilidad de claves.</w:t>
      </w:r>
    </w:p>
    <w:p>
      <w:pPr>
        <w:pStyle w:val="Compact"/>
        <w:numPr>
          <w:ilvl w:val="0"/>
          <w:numId w:val="1012"/>
        </w:numPr>
      </w:pPr>
      <w:r>
        <w:t xml:space="preserve">Seguridad por diseño: MFA, segmentación y auditorías.</w:t>
      </w:r>
    </w:p>
    <w:p>
      <w:pPr>
        <w:pStyle w:val="FirstParagraph"/>
      </w:pPr>
      <w:r>
        <w:rPr>
          <w:b/>
          <w:bCs/>
        </w:rPr>
        <w:t xml:space="preserve">12. Conclusión</w:t>
      </w:r>
      <w:r>
        <w:t xml:space="preserve"> </w:t>
      </w:r>
      <w:r>
        <w:t xml:space="preserve">Apps Suite ofrece una plataforma integral que combina identidad, publicación y automatización bajo un modelo abierto, ético y colaborativo. Ariadna y Sindri son los pilares de una infraestructura que permite a organizaciones crear, proteger y escalar su ecosistema digital con eficiencia y control.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2025-11-11T17:57:41Z</dcterms:created>
  <dcterms:modified xsi:type="dcterms:W3CDTF">2025-11-11T17:57:41Z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