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A3A5C"/>
          <w:sz w:val="40"/>
          <w:szCs w:val="40"/>
        </w:rPr>
        <w:t xml:space="preserve">Rainföll — Politique de confidentialité</w:t>
      </w:r>
    </w:p>
    <w:p>
      <w:pPr>
        <w:spacing w:after="60" w:before="0"/>
        <w:jc w:val="center"/>
      </w:pPr>
      <w:r>
        <w:rPr>
          <w:i/>
          <w:iCs/>
          <w:color w:val="666666"/>
          <w:sz w:val="22"/>
          <w:szCs w:val="22"/>
        </w:rPr>
        <w:t xml:space="preserve">Date d'entrée en vigueur : May 19, 2025</w:t>
      </w:r>
    </w:p>
    <w:p>
      <w:pPr>
        <w:spacing w:after="240" w:before="0"/>
        <w:jc w:val="center"/>
      </w:pPr>
      <w:r>
        <w:rPr>
          <w:i/>
          <w:iCs/>
          <w:color w:val="666666"/>
          <w:sz w:val="22"/>
          <w:szCs w:val="22"/>
        </w:rPr>
        <w:t xml:space="preserve">Contact : info@rainfoll.ca</w:t>
      </w:r>
    </w:p>
    <w:p>
      <w:pPr>
        <w:pBdr>
          <w:bottom w:val="single" w:color="CCCCCC" w:sz="4" w:space="1"/>
        </w:pBdr>
        <w:spacing w:after="200" w:before="200"/>
      </w:pPr>
    </w:p>
    <w:p>
      <w:pPr>
        <w:pStyle w:val="Heading1"/>
        <w:spacing w:after="120" w:before="360"/>
      </w:pPr>
      <w:r>
        <w:rPr>
          <w:b/>
          <w:bCs/>
          <w:color w:val="1A3A5C"/>
          <w:sz w:val="28"/>
          <w:szCs w:val="28"/>
        </w:rPr>
        <w:t xml:space="preserve">1. Introduction</w:t>
      </w:r>
    </w:p>
    <w:p>
      <w:pPr>
        <w:spacing w:after="60" w:before="60"/>
      </w:pPr>
      <w:r>
        <w:rPr>
          <w:b w:val="false"/>
          <w:bCs w:val="false"/>
          <w:sz w:val="22"/>
          <w:szCs w:val="22"/>
        </w:rPr>
        <w:t xml:space="preserve">Rainföll (« nous », « notre » ou « nos ») exploite le site Web rainfoll.ca (le « Site ») et vend des dispositifs de positionnement de pomme de douche directement aux consommateurs. Nous nous engageons à protéger vos renseignements personnels et votre droit à la vie privée. La présente Politique de confidentialité explique comment nous recueillons, utilisons, divulguons et protégeons vos renseignements lorsque vous visitez notre Site, vous inscrivez à notre liste d'envoi, effectuez un achat ou participez à nos campagnes de financement participatif.</w:t>
      </w:r>
    </w:p>
    <w:p>
      <w:pPr>
        <w:spacing w:after="60" w:before="60"/>
      </w:pPr>
      <w:r>
        <w:rPr>
          <w:b w:val="false"/>
          <w:bCs w:val="false"/>
          <w:sz w:val="22"/>
          <w:szCs w:val="22"/>
        </w:rPr>
        <w:t xml:space="preserve">Cette Politique est conçue pour être conforme aux lois canadiennes fédérales et provinciales sur la protection des renseignements personnels, notamment la Loi sur la protection des renseignements personnels et les documents électroniques (LPRPDE), la Loi sur la protection des renseignements personnels dans le secteur privé du Québec (Loi 25 / Projet de loi 64), le Règlement général sur la protection des données de l'Union européenne (RGPD), le RGPD du Royaume-Uni, ainsi que la California Consumer Privacy Act (CCPA) / California Privacy Rights Act (CPRA).</w:t>
      </w:r>
    </w:p>
    <w:p>
      <w:pPr>
        <w:spacing w:after="60" w:before="60"/>
      </w:pPr>
      <w:r>
        <w:rPr>
          <w:b w:val="false"/>
          <w:bCs w:val="false"/>
          <w:sz w:val="22"/>
          <w:szCs w:val="22"/>
        </w:rPr>
        <w:t xml:space="preserve">En accédant à notre Site ou en l'utilisant, vous reconnaissez avoir lu, compris et accepté les pratiques décrites dans la présente Politique de confidentialité.</w:t>
      </w:r>
    </w:p>
    <w:p>
      <w:pPr>
        <w:pBdr>
          <w:bottom w:val="single" w:color="CCCCCC" w:sz="4" w:space="1"/>
        </w:pBdr>
        <w:spacing w:after="200" w:before="200"/>
      </w:pPr>
    </w:p>
    <w:p>
      <w:pPr>
        <w:pStyle w:val="Heading1"/>
        <w:spacing w:after="120" w:before="360"/>
      </w:pPr>
      <w:r>
        <w:rPr>
          <w:b/>
          <w:bCs/>
          <w:color w:val="1A3A5C"/>
          <w:sz w:val="28"/>
          <w:szCs w:val="28"/>
        </w:rPr>
        <w:t xml:space="preserve">2. Notre identité (responsable du traitement)</w:t>
      </w:r>
    </w:p>
    <w:p>
      <w:pPr>
        <w:spacing w:after="60" w:before="60"/>
      </w:pPr>
      <w:r>
        <w:rPr>
          <w:b w:val="false"/>
          <w:bCs w:val="false"/>
          <w:sz w:val="22"/>
          <w:szCs w:val="22"/>
        </w:rPr>
        <w:t xml:space="preserve">Rainföll est le responsable du traitement des données aux fins de la présente Politique de confidentialité. Nous sommes une entité constituée en société canadienne, exerçant nos activités depuis le Canada.</w:t>
      </w:r>
    </w:p>
    <w:p>
      <w:pPr>
        <w:spacing w:after="60" w:before="60"/>
      </w:pPr>
      <w:r>
        <w:rPr>
          <w:b w:val="false"/>
          <w:bCs w:val="false"/>
          <w:sz w:val="22"/>
          <w:szCs w:val="22"/>
        </w:rPr>
        <w:t xml:space="preserve">Coordonnées :</w:t>
      </w:r>
    </w:p>
    <w:p>
      <w:pPr>
        <w:spacing w:after="60" w:before="60"/>
      </w:pPr>
      <w:r>
        <w:rPr>
          <w:b w:val="false"/>
          <w:bCs w:val="false"/>
          <w:sz w:val="22"/>
          <w:szCs w:val="22"/>
        </w:rPr>
        <w:t xml:space="preserve">Courriel : info@rainfoll.ca</w:t>
      </w:r>
    </w:p>
    <w:p>
      <w:pPr>
        <w:spacing w:after="60" w:before="60"/>
      </w:pPr>
      <w:r>
        <w:rPr>
          <w:b w:val="false"/>
          <w:bCs w:val="false"/>
          <w:sz w:val="22"/>
          <w:szCs w:val="22"/>
        </w:rPr>
        <w:t xml:space="preserve">Site Web : https://rainfoll.ca</w:t>
      </w:r>
    </w:p>
    <w:p>
      <w:pPr>
        <w:pBdr>
          <w:bottom w:val="single" w:color="CCCCCC" w:sz="4" w:space="1"/>
        </w:pBdr>
        <w:spacing w:after="200" w:before="200"/>
      </w:pPr>
    </w:p>
    <w:p>
      <w:pPr>
        <w:pStyle w:val="Heading1"/>
        <w:spacing w:after="120" w:before="360"/>
      </w:pPr>
      <w:r>
        <w:rPr>
          <w:b/>
          <w:bCs/>
          <w:color w:val="1A3A5C"/>
          <w:sz w:val="28"/>
          <w:szCs w:val="28"/>
        </w:rPr>
        <w:t xml:space="preserve">3. Renseignements que nous recueillons</w:t>
      </w:r>
    </w:p>
    <w:p>
      <w:pPr>
        <w:pStyle w:val="Heading2"/>
        <w:spacing w:after="80" w:before="280"/>
      </w:pPr>
      <w:r>
        <w:rPr>
          <w:b/>
          <w:bCs/>
          <w:color w:val="2C5F8A"/>
          <w:sz w:val="24"/>
          <w:szCs w:val="24"/>
        </w:rPr>
        <w:t xml:space="preserve">3.1 Renseignements que vous nous fournissez directement</w:t>
      </w:r>
    </w:p>
    <w:p>
      <w:pPr>
        <w:spacing w:after="60" w:before="60"/>
      </w:pPr>
      <w:r>
        <w:rPr>
          <w:b w:val="false"/>
          <w:bCs w:val="false"/>
          <w:sz w:val="22"/>
          <w:szCs w:val="22"/>
        </w:rPr>
        <w:t xml:space="preserve">Nous recueillons les renseignements que vous nous fournissez volontairement, notamment :</w:t>
      </w:r>
    </w:p>
    <w:p>
      <w:pPr>
        <w:pStyle w:val="ListParagraph"/>
        <w:numPr>
          <w:ilvl w:val="0"/>
          <w:numId w:val="2"/>
        </w:numPr>
        <w:spacing w:after="40" w:before="40"/>
      </w:pPr>
      <w:r>
        <w:rPr>
          <w:sz w:val="22"/>
          <w:szCs w:val="22"/>
        </w:rPr>
        <w:t xml:space="preserve">Nom complet et adresse courriel (lors de l'inscription à notre liste d'envoi ou liste de réservation)</w:t>
      </w:r>
    </w:p>
    <w:p>
      <w:pPr>
        <w:pStyle w:val="ListParagraph"/>
        <w:numPr>
          <w:ilvl w:val="0"/>
          <w:numId w:val="2"/>
        </w:numPr>
        <w:spacing w:after="40" w:before="40"/>
      </w:pPr>
      <w:r>
        <w:rPr>
          <w:sz w:val="22"/>
          <w:szCs w:val="22"/>
        </w:rPr>
        <w:t xml:space="preserve">Informations de paiement (traitées de manière sécurisée par Stripe — nous ne conservons pas votre numéro de carte complet)</w:t>
      </w:r>
    </w:p>
    <w:p>
      <w:pPr>
        <w:pStyle w:val="ListParagraph"/>
        <w:numPr>
          <w:ilvl w:val="0"/>
          <w:numId w:val="2"/>
        </w:numPr>
        <w:spacing w:after="40" w:before="40"/>
      </w:pPr>
      <w:r>
        <w:rPr>
          <w:sz w:val="22"/>
          <w:szCs w:val="22"/>
        </w:rPr>
        <w:t xml:space="preserve">Adresse de facturation et de livraison (pour l'exécution des commandes)</w:t>
      </w:r>
    </w:p>
    <w:p>
      <w:pPr>
        <w:pStyle w:val="ListParagraph"/>
        <w:numPr>
          <w:ilvl w:val="0"/>
          <w:numId w:val="2"/>
        </w:numPr>
        <w:spacing w:after="40" w:before="40"/>
      </w:pPr>
      <w:r>
        <w:rPr>
          <w:sz w:val="22"/>
          <w:szCs w:val="22"/>
        </w:rPr>
        <w:t xml:space="preserve">Numéro de téléphone (si fourni lors du paiement)</w:t>
      </w:r>
    </w:p>
    <w:p>
      <w:pPr>
        <w:pStyle w:val="ListParagraph"/>
        <w:numPr>
          <w:ilvl w:val="0"/>
          <w:numId w:val="2"/>
        </w:numPr>
        <w:spacing w:after="40" w:before="40"/>
      </w:pPr>
      <w:r>
        <w:rPr>
          <w:sz w:val="22"/>
          <w:szCs w:val="22"/>
        </w:rPr>
        <w:t xml:space="preserve">Communications que vous nous envoyez (p. ex., demandes d'assistance, questions)</w:t>
      </w:r>
    </w:p>
    <w:p>
      <w:pPr>
        <w:pStyle w:val="Heading2"/>
        <w:spacing w:after="80" w:before="280"/>
      </w:pPr>
      <w:r>
        <w:rPr>
          <w:b/>
          <w:bCs/>
          <w:color w:val="2C5F8A"/>
          <w:sz w:val="24"/>
          <w:szCs w:val="24"/>
        </w:rPr>
        <w:t xml:space="preserve">3.2 Renseignements recueillis automatiquement</w:t>
      </w:r>
    </w:p>
    <w:p>
      <w:pPr>
        <w:spacing w:after="60" w:before="60"/>
      </w:pPr>
      <w:r>
        <w:rPr>
          <w:b w:val="false"/>
          <w:bCs w:val="false"/>
          <w:sz w:val="22"/>
          <w:szCs w:val="22"/>
        </w:rPr>
        <w:t xml:space="preserve">Lorsque vous visitez notre Site, nous pouvons recueillir automatiquement :</w:t>
      </w:r>
    </w:p>
    <w:p>
      <w:pPr>
        <w:pStyle w:val="ListParagraph"/>
        <w:numPr>
          <w:ilvl w:val="0"/>
          <w:numId w:val="2"/>
        </w:numPr>
        <w:spacing w:after="40" w:before="40"/>
      </w:pPr>
      <w:r>
        <w:rPr>
          <w:sz w:val="22"/>
          <w:szCs w:val="22"/>
        </w:rPr>
        <w:t xml:space="preserve">Adresse IP et localisation géographique approximative</w:t>
      </w:r>
    </w:p>
    <w:p>
      <w:pPr>
        <w:pStyle w:val="ListParagraph"/>
        <w:numPr>
          <w:ilvl w:val="0"/>
          <w:numId w:val="2"/>
        </w:numPr>
        <w:spacing w:after="40" w:before="40"/>
      </w:pPr>
      <w:r>
        <w:rPr>
          <w:sz w:val="22"/>
          <w:szCs w:val="22"/>
        </w:rPr>
        <w:t xml:space="preserve">Type de navigateur, type d'appareil et système d'exploitation</w:t>
      </w:r>
    </w:p>
    <w:p>
      <w:pPr>
        <w:pStyle w:val="ListParagraph"/>
        <w:numPr>
          <w:ilvl w:val="0"/>
          <w:numId w:val="2"/>
        </w:numPr>
        <w:spacing w:after="40" w:before="40"/>
      </w:pPr>
      <w:r>
        <w:rPr>
          <w:sz w:val="22"/>
          <w:szCs w:val="22"/>
        </w:rPr>
        <w:t xml:space="preserve">Pages visitées, temps passé sur les pages et parcours de navigation</w:t>
      </w:r>
    </w:p>
    <w:p>
      <w:pPr>
        <w:pStyle w:val="ListParagraph"/>
        <w:numPr>
          <w:ilvl w:val="0"/>
          <w:numId w:val="2"/>
        </w:numPr>
        <w:spacing w:after="40" w:before="40"/>
      </w:pPr>
      <w:r>
        <w:rPr>
          <w:sz w:val="22"/>
          <w:szCs w:val="22"/>
        </w:rPr>
        <w:t xml:space="preserve">URL de référence et paramètres de campagne UTM</w:t>
      </w:r>
    </w:p>
    <w:p>
      <w:pPr>
        <w:pStyle w:val="ListParagraph"/>
        <w:numPr>
          <w:ilvl w:val="0"/>
          <w:numId w:val="2"/>
        </w:numPr>
        <w:spacing w:after="40" w:before="40"/>
      </w:pPr>
      <w:r>
        <w:rPr>
          <w:sz w:val="22"/>
          <w:szCs w:val="22"/>
        </w:rPr>
        <w:t xml:space="preserve">Identifiants de cookies et données d'analyse (via Google Analytics 4)</w:t>
      </w:r>
    </w:p>
    <w:p>
      <w:pPr>
        <w:pStyle w:val="Heading2"/>
        <w:spacing w:after="80" w:before="280"/>
      </w:pPr>
      <w:r>
        <w:rPr>
          <w:b/>
          <w:bCs/>
          <w:color w:val="2C5F8A"/>
          <w:sz w:val="24"/>
          <w:szCs w:val="24"/>
        </w:rPr>
        <w:t xml:space="preserve">3.3 Renseignements provenant de tiers</w:t>
      </w:r>
    </w:p>
    <w:p>
      <w:pPr>
        <w:spacing w:after="60" w:before="60"/>
      </w:pPr>
      <w:r>
        <w:rPr>
          <w:b w:val="false"/>
          <w:bCs w:val="false"/>
          <w:sz w:val="22"/>
          <w:szCs w:val="22"/>
        </w:rPr>
        <w:t xml:space="preserve">Nous pouvons recevoir des renseignements de :</w:t>
      </w:r>
    </w:p>
    <w:p>
      <w:pPr>
        <w:pStyle w:val="ListParagraph"/>
        <w:numPr>
          <w:ilvl w:val="0"/>
          <w:numId w:val="2"/>
        </w:numPr>
        <w:spacing w:after="40" w:before="40"/>
      </w:pPr>
      <w:r>
        <w:rPr>
          <w:sz w:val="22"/>
          <w:szCs w:val="22"/>
        </w:rPr>
        <w:t xml:space="preserve">Stripe : confirmation de paiement et signaux de prévention de la fraude</w:t>
      </w:r>
    </w:p>
    <w:p>
      <w:pPr>
        <w:pStyle w:val="ListParagraph"/>
        <w:numPr>
          <w:ilvl w:val="0"/>
          <w:numId w:val="2"/>
        </w:numPr>
        <w:spacing w:after="40" w:before="40"/>
      </w:pPr>
      <w:r>
        <w:rPr>
          <w:sz w:val="22"/>
          <w:szCs w:val="22"/>
        </w:rPr>
        <w:t xml:space="preserve">Google Analytics : données d'utilisation agrégées et événements de conversion</w:t>
      </w:r>
    </w:p>
    <w:p>
      <w:pPr>
        <w:pStyle w:val="ListParagraph"/>
        <w:numPr>
          <w:ilvl w:val="0"/>
          <w:numId w:val="2"/>
        </w:numPr>
        <w:spacing w:after="40" w:before="40"/>
      </w:pPr>
      <w:r>
        <w:rPr>
          <w:sz w:val="22"/>
          <w:szCs w:val="22"/>
        </w:rPr>
        <w:t xml:space="preserve">Plateformes de marketing par courriel : taux d'ouverture et signaux d'engagement</w:t>
      </w:r>
    </w:p>
    <w:p>
      <w:pPr>
        <w:pBdr>
          <w:bottom w:val="single" w:color="CCCCCC" w:sz="4" w:space="1"/>
        </w:pBdr>
        <w:spacing w:after="200" w:before="200"/>
      </w:pPr>
    </w:p>
    <w:p>
      <w:pPr>
        <w:pStyle w:val="Heading1"/>
        <w:spacing w:after="120" w:before="360"/>
      </w:pPr>
      <w:r>
        <w:rPr>
          <w:b/>
          <w:bCs/>
          <w:color w:val="1A3A5C"/>
          <w:sz w:val="28"/>
          <w:szCs w:val="28"/>
        </w:rPr>
        <w:t xml:space="preserve">4. Comment nous utilisons vos renseignements</w:t>
      </w:r>
    </w:p>
    <w:p>
      <w:pPr>
        <w:spacing w:after="60" w:before="60"/>
      </w:pPr>
      <w:r>
        <w:rPr>
          <w:b w:val="false"/>
          <w:bCs w:val="false"/>
          <w:sz w:val="22"/>
          <w:szCs w:val="22"/>
        </w:rPr>
        <w:t xml:space="preserve">Nous utilisons vos renseignements personnels aux fins suivantes :</w:t>
      </w:r>
    </w:p>
    <w:p>
      <w:pPr>
        <w:pStyle w:val="ListParagraph"/>
        <w:numPr>
          <w:ilvl w:val="0"/>
          <w:numId w:val="2"/>
        </w:numPr>
        <w:spacing w:after="40" w:before="40"/>
      </w:pPr>
      <w:r>
        <w:rPr>
          <w:sz w:val="22"/>
          <w:szCs w:val="22"/>
        </w:rPr>
        <w:t xml:space="preserve">Pour traiter et exécuter vos commandes et réservations</w:t>
      </w:r>
    </w:p>
    <w:p>
      <w:pPr>
        <w:pStyle w:val="ListParagraph"/>
        <w:numPr>
          <w:ilvl w:val="0"/>
          <w:numId w:val="2"/>
        </w:numPr>
        <w:spacing w:after="40" w:before="40"/>
      </w:pPr>
      <w:r>
        <w:rPr>
          <w:sz w:val="22"/>
          <w:szCs w:val="22"/>
        </w:rPr>
        <w:t xml:space="preserve">Pour vous envoyer des courriels transactionnels (confirmations de commande, mises à jour d'expédition)</w:t>
      </w:r>
    </w:p>
    <w:p>
      <w:pPr>
        <w:pStyle w:val="ListParagraph"/>
        <w:numPr>
          <w:ilvl w:val="0"/>
          <w:numId w:val="2"/>
        </w:numPr>
        <w:spacing w:after="40" w:before="40"/>
      </w:pPr>
      <w:r>
        <w:rPr>
          <w:sz w:val="22"/>
          <w:szCs w:val="22"/>
        </w:rPr>
        <w:t xml:space="preserve">Pour vous envoyer des communications marketing (avec votre consentement)</w:t>
      </w:r>
    </w:p>
    <w:p>
      <w:pPr>
        <w:pStyle w:val="ListParagraph"/>
        <w:numPr>
          <w:ilvl w:val="0"/>
          <w:numId w:val="2"/>
        </w:numPr>
        <w:spacing w:after="40" w:before="40"/>
      </w:pPr>
      <w:r>
        <w:rPr>
          <w:sz w:val="22"/>
          <w:szCs w:val="22"/>
        </w:rPr>
        <w:t xml:space="preserve">Pour analyser l'utilisation du Site et améliorer nos produits et l'expérience utilisateur</w:t>
      </w:r>
    </w:p>
    <w:p>
      <w:pPr>
        <w:pStyle w:val="ListParagraph"/>
        <w:numPr>
          <w:ilvl w:val="0"/>
          <w:numId w:val="2"/>
        </w:numPr>
        <w:spacing w:after="40" w:before="40"/>
      </w:pPr>
      <w:r>
        <w:rPr>
          <w:sz w:val="22"/>
          <w:szCs w:val="22"/>
        </w:rPr>
        <w:t xml:space="preserve">Pour détecter et prévenir la fraude ou les activités non autorisées</w:t>
      </w:r>
    </w:p>
    <w:p>
      <w:pPr>
        <w:pStyle w:val="ListParagraph"/>
        <w:numPr>
          <w:ilvl w:val="0"/>
          <w:numId w:val="2"/>
        </w:numPr>
        <w:spacing w:after="40" w:before="40"/>
      </w:pPr>
      <w:r>
        <w:rPr>
          <w:sz w:val="22"/>
          <w:szCs w:val="22"/>
        </w:rPr>
        <w:t xml:space="preserve">Pour respecter nos obligations légales</w:t>
      </w:r>
    </w:p>
    <w:p>
      <w:pPr>
        <w:pStyle w:val="ListParagraph"/>
        <w:numPr>
          <w:ilvl w:val="0"/>
          <w:numId w:val="2"/>
        </w:numPr>
        <w:spacing w:after="40" w:before="40"/>
      </w:pPr>
      <w:r>
        <w:rPr>
          <w:sz w:val="22"/>
          <w:szCs w:val="22"/>
        </w:rPr>
        <w:t xml:space="preserve">Pour gérer notre service à la clientèle et répondre aux demandes</w:t>
      </w:r>
    </w:p>
    <w:p>
      <w:pPr>
        <w:spacing w:after="60" w:before="60"/>
      </w:pPr>
      <w:r>
        <w:rPr>
          <w:b w:val="false"/>
          <w:bCs w:val="false"/>
          <w:sz w:val="22"/>
          <w:szCs w:val="22"/>
        </w:rPr>
        <w:t xml:space="preserve">Nous n'utiliserons pas vos renseignements personnels à des fins de prise de décision automatisée produisant des effets juridiques ou similaires significatifs sans votre consentement explicite.</w:t>
      </w:r>
    </w:p>
    <w:p>
      <w:pPr>
        <w:pBdr>
          <w:bottom w:val="single" w:color="CCCCCC" w:sz="4" w:space="1"/>
        </w:pBdr>
        <w:spacing w:after="200" w:before="200"/>
      </w:pPr>
    </w:p>
    <w:p>
      <w:pPr>
        <w:pStyle w:val="Heading1"/>
        <w:spacing w:after="120" w:before="360"/>
      </w:pPr>
      <w:r>
        <w:rPr>
          <w:b/>
          <w:bCs/>
          <w:color w:val="1A3A5C"/>
          <w:sz w:val="28"/>
          <w:szCs w:val="28"/>
        </w:rPr>
        <w:t xml:space="preserve">5. Bases juridiques du traitement (RGPD / RGPD RU)</w:t>
      </w:r>
    </w:p>
    <w:p>
      <w:pPr>
        <w:spacing w:after="60" w:before="60"/>
      </w:pPr>
      <w:r>
        <w:rPr>
          <w:b w:val="false"/>
          <w:bCs w:val="false"/>
          <w:sz w:val="22"/>
          <w:szCs w:val="22"/>
        </w:rPr>
        <w:t xml:space="preserve">Pour les utilisateurs situés dans l'Espace économique européen (EEE) et au Royaume-Uni, nous traitons vos données personnelles sur les bases juridiques suivantes :</w:t>
      </w:r>
    </w:p>
    <w:p>
      <w:pPr>
        <w:pStyle w:val="ListParagraph"/>
        <w:numPr>
          <w:ilvl w:val="0"/>
          <w:numId w:val="2"/>
        </w:numPr>
        <w:spacing w:after="40" w:before="40"/>
      </w:pPr>
      <w:r>
        <w:rPr>
          <w:sz w:val="22"/>
          <w:szCs w:val="22"/>
        </w:rPr>
        <w:t xml:space="preserve">Nécessité contractuelle : traitement requis pour exécuter votre commande ou réservation.</w:t>
      </w:r>
    </w:p>
    <w:p>
      <w:pPr>
        <w:pStyle w:val="ListParagraph"/>
        <w:numPr>
          <w:ilvl w:val="0"/>
          <w:numId w:val="2"/>
        </w:numPr>
        <w:spacing w:after="40" w:before="40"/>
      </w:pPr>
      <w:r>
        <w:rPr>
          <w:sz w:val="22"/>
          <w:szCs w:val="22"/>
        </w:rPr>
        <w:t xml:space="preserve">Intérêts légitimes : analyses, prévention de la fraude et amélioration de nos produits, dans la mesure où ces intérêts ne sont pas supplantés par vos droits.</w:t>
      </w:r>
    </w:p>
    <w:p>
      <w:pPr>
        <w:pStyle w:val="ListParagraph"/>
        <w:numPr>
          <w:ilvl w:val="0"/>
          <w:numId w:val="2"/>
        </w:numPr>
        <w:spacing w:after="40" w:before="40"/>
      </w:pPr>
      <w:r>
        <w:rPr>
          <w:sz w:val="22"/>
          <w:szCs w:val="22"/>
        </w:rPr>
        <w:t xml:space="preserve">Consentement : pour les courriels marketing et les cookies non essentiels. Vous pouvez retirer votre consentement à tout moment.</w:t>
      </w:r>
    </w:p>
    <w:p>
      <w:pPr>
        <w:pStyle w:val="ListParagraph"/>
        <w:numPr>
          <w:ilvl w:val="0"/>
          <w:numId w:val="2"/>
        </w:numPr>
        <w:spacing w:after="40" w:before="40"/>
      </w:pPr>
      <w:r>
        <w:rPr>
          <w:sz w:val="22"/>
          <w:szCs w:val="22"/>
        </w:rPr>
        <w:t xml:space="preserve">Obligation légale : lorsque la loi applicable l'exige.</w:t>
      </w:r>
    </w:p>
    <w:p>
      <w:pPr>
        <w:pBdr>
          <w:bottom w:val="single" w:color="CCCCCC" w:sz="4" w:space="1"/>
        </w:pBdr>
        <w:spacing w:after="200" w:before="200"/>
      </w:pPr>
    </w:p>
    <w:p>
      <w:pPr>
        <w:pStyle w:val="Heading1"/>
        <w:spacing w:after="120" w:before="360"/>
      </w:pPr>
      <w:r>
        <w:rPr>
          <w:b/>
          <w:bCs/>
          <w:color w:val="1A3A5C"/>
          <w:sz w:val="28"/>
          <w:szCs w:val="28"/>
        </w:rPr>
        <w:t xml:space="preserve">6. Témoins (cookies) et technologies de suivi</w:t>
      </w:r>
    </w:p>
    <w:p>
      <w:pPr>
        <w:spacing w:after="60" w:before="60"/>
      </w:pPr>
      <w:r>
        <w:rPr>
          <w:b w:val="false"/>
          <w:bCs w:val="false"/>
          <w:sz w:val="22"/>
          <w:szCs w:val="22"/>
        </w:rPr>
        <w:t xml:space="preserve">Notre Site utilise des témoins et des technologies de suivi similaires, notamment :</w:t>
      </w:r>
    </w:p>
    <w:p>
      <w:pPr>
        <w:pStyle w:val="ListParagraph"/>
        <w:numPr>
          <w:ilvl w:val="0"/>
          <w:numId w:val="2"/>
        </w:numPr>
        <w:spacing w:after="40" w:before="40"/>
      </w:pPr>
      <w:r>
        <w:rPr>
          <w:sz w:val="22"/>
          <w:szCs w:val="22"/>
        </w:rPr>
        <w:t xml:space="preserve">Témoins essentiels : requis pour le fonctionnement de base du Site</w:t>
      </w:r>
    </w:p>
    <w:p>
      <w:pPr>
        <w:pStyle w:val="ListParagraph"/>
        <w:numPr>
          <w:ilvl w:val="0"/>
          <w:numId w:val="2"/>
        </w:numPr>
        <w:spacing w:after="40" w:before="40"/>
      </w:pPr>
      <w:r>
        <w:rPr>
          <w:sz w:val="22"/>
          <w:szCs w:val="22"/>
        </w:rPr>
        <w:t xml:space="preserve">Témoins d'analyse : Google Analytics 4, utilisé pour comprendre l'utilisation du Site</w:t>
      </w:r>
    </w:p>
    <w:p>
      <w:pPr>
        <w:pStyle w:val="ListParagraph"/>
        <w:numPr>
          <w:ilvl w:val="0"/>
          <w:numId w:val="2"/>
        </w:numPr>
        <w:spacing w:after="40" w:before="40"/>
      </w:pPr>
      <w:r>
        <w:rPr>
          <w:sz w:val="22"/>
          <w:szCs w:val="22"/>
        </w:rPr>
        <w:t xml:space="preserve">Témoins marketing : utilisés pour mesurer les performances des campagnes via les paramètres UTM</w:t>
      </w:r>
    </w:p>
    <w:p>
      <w:pPr>
        <w:spacing w:after="60" w:before="60"/>
      </w:pPr>
      <w:r>
        <w:rPr>
          <w:b w:val="false"/>
          <w:bCs w:val="false"/>
          <w:sz w:val="22"/>
          <w:szCs w:val="22"/>
        </w:rPr>
        <w:t xml:space="preserve">Nous affichons une bannière de consentement aux témoins lors de votre première visite. Les témoins non essentiels ne sont activés qu'après que vous avez donné votre consentement. Vous pouvez retirer votre consentement ou gérer vos préférences en matière de témoins à tout moment via les paramètres accessibles sur notre Site.</w:t>
      </w:r>
    </w:p>
    <w:p>
      <w:pPr>
        <w:spacing w:after="60" w:before="60"/>
      </w:pPr>
      <w:r>
        <w:rPr>
          <w:b w:val="false"/>
          <w:bCs w:val="false"/>
          <w:sz w:val="22"/>
          <w:szCs w:val="22"/>
        </w:rPr>
        <w:t xml:space="preserve">Pour plus d'informations sur la façon dont Google utilise vos données : https://policies.google.com/privacy</w:t>
      </w:r>
    </w:p>
    <w:p>
      <w:pPr>
        <w:pBdr>
          <w:bottom w:val="single" w:color="CCCCCC" w:sz="4" w:space="1"/>
        </w:pBdr>
        <w:spacing w:after="200" w:before="200"/>
      </w:pPr>
    </w:p>
    <w:p>
      <w:pPr>
        <w:pStyle w:val="Heading1"/>
        <w:spacing w:after="120" w:before="360"/>
      </w:pPr>
      <w:r>
        <w:rPr>
          <w:b/>
          <w:bCs/>
          <w:color w:val="1A3A5C"/>
          <w:sz w:val="28"/>
          <w:szCs w:val="28"/>
        </w:rPr>
        <w:t xml:space="preserve">7. Partage et divulgation de vos renseignements</w:t>
      </w:r>
    </w:p>
    <w:p>
      <w:pPr>
        <w:spacing w:after="60" w:before="60"/>
      </w:pPr>
      <w:r>
        <w:rPr>
          <w:b w:val="false"/>
          <w:bCs w:val="false"/>
          <w:sz w:val="22"/>
          <w:szCs w:val="22"/>
        </w:rPr>
        <w:t xml:space="preserve">Nous ne vendons pas vos renseignements personnels. Nous pouvons partager vos renseignements avec :</w:t>
      </w:r>
    </w:p>
    <w:p>
      <w:pPr>
        <w:pStyle w:val="ListParagraph"/>
        <w:numPr>
          <w:ilvl w:val="0"/>
          <w:numId w:val="2"/>
        </w:numPr>
        <w:spacing w:after="40" w:before="40"/>
      </w:pPr>
      <w:r>
        <w:rPr>
          <w:sz w:val="22"/>
          <w:szCs w:val="22"/>
        </w:rPr>
        <w:t xml:space="preserve">Stripe, Inc. : pour le traitement des paiements. Stripe est conforme à la norme PCI-DSS. Voir stripe.com/privacy.</w:t>
      </w:r>
    </w:p>
    <w:p>
      <w:pPr>
        <w:pStyle w:val="ListParagraph"/>
        <w:numPr>
          <w:ilvl w:val="0"/>
          <w:numId w:val="2"/>
        </w:numPr>
        <w:spacing w:after="40" w:before="40"/>
      </w:pPr>
      <w:r>
        <w:rPr>
          <w:sz w:val="22"/>
          <w:szCs w:val="22"/>
        </w:rPr>
        <w:t xml:space="preserve">Google LLC : pour les analyses (Google Analytics 4). Voir policies.google.com/privacy.</w:t>
      </w:r>
    </w:p>
    <w:p>
      <w:pPr>
        <w:pStyle w:val="ListParagraph"/>
        <w:numPr>
          <w:ilvl w:val="0"/>
          <w:numId w:val="2"/>
        </w:numPr>
        <w:spacing w:after="40" w:before="40"/>
      </w:pPr>
      <w:r>
        <w:rPr>
          <w:sz w:val="22"/>
          <w:szCs w:val="22"/>
        </w:rPr>
        <w:t xml:space="preserve">Fournisseurs de services de courriel : pour l'envoi de courriels transactionnels et marketing.</w:t>
      </w:r>
    </w:p>
    <w:p>
      <w:pPr>
        <w:pStyle w:val="ListParagraph"/>
        <w:numPr>
          <w:ilvl w:val="0"/>
          <w:numId w:val="2"/>
        </w:numPr>
        <w:spacing w:after="40" w:before="40"/>
      </w:pPr>
      <w:r>
        <w:rPr>
          <w:sz w:val="22"/>
          <w:szCs w:val="22"/>
        </w:rPr>
        <w:t xml:space="preserve">Partenaires logistiques et de traitement des commandes : pour livrer votre commande.</w:t>
      </w:r>
    </w:p>
    <w:p>
      <w:pPr>
        <w:pStyle w:val="ListParagraph"/>
        <w:numPr>
          <w:ilvl w:val="0"/>
          <w:numId w:val="2"/>
        </w:numPr>
        <w:spacing w:after="40" w:before="40"/>
      </w:pPr>
      <w:r>
        <w:rPr>
          <w:sz w:val="22"/>
          <w:szCs w:val="22"/>
        </w:rPr>
        <w:t xml:space="preserve">Autorités légales : si la loi, une ordonnance judiciaire ou la protection de nos droits l'exige.</w:t>
      </w:r>
    </w:p>
    <w:p>
      <w:pPr>
        <w:spacing w:after="60" w:before="60"/>
      </w:pPr>
      <w:r>
        <w:rPr>
          <w:b w:val="false"/>
          <w:bCs w:val="false"/>
          <w:sz w:val="22"/>
          <w:szCs w:val="22"/>
        </w:rPr>
        <w:t xml:space="preserve">Tous les sous-traitants tiers sont liés par des obligations contractuelles visant à protéger vos données et à ne les utiliser qu'aux fins que nous spécifions.</w:t>
      </w:r>
    </w:p>
    <w:p>
      <w:pPr>
        <w:pBdr>
          <w:bottom w:val="single" w:color="CCCCCC" w:sz="4" w:space="1"/>
        </w:pBdr>
        <w:spacing w:after="200" w:before="200"/>
      </w:pPr>
    </w:p>
    <w:p>
      <w:pPr>
        <w:pStyle w:val="Heading1"/>
        <w:spacing w:after="120" w:before="360"/>
      </w:pPr>
      <w:r>
        <w:rPr>
          <w:b/>
          <w:bCs/>
          <w:color w:val="1A3A5C"/>
          <w:sz w:val="28"/>
          <w:szCs w:val="28"/>
        </w:rPr>
        <w:t xml:space="preserve">8. Transferts internationaux de données</w:t>
      </w:r>
    </w:p>
    <w:p>
      <w:pPr>
        <w:spacing w:after="60" w:before="60"/>
      </w:pPr>
      <w:r>
        <w:rPr>
          <w:b w:val="false"/>
          <w:bCs w:val="false"/>
          <w:sz w:val="22"/>
          <w:szCs w:val="22"/>
        </w:rPr>
        <w:t xml:space="preserve">Vos renseignements personnels peuvent être transférés vers et traités dans des pays autres que votre pays de résidence, notamment les États-Unis et le Canada. Ces pays peuvent avoir des lois sur la protection des données différentes de votre pays d'origine.</w:t>
      </w:r>
    </w:p>
    <w:p>
      <w:pPr>
        <w:spacing w:after="60" w:before="60"/>
      </w:pPr>
      <w:r>
        <w:rPr>
          <w:b w:val="false"/>
          <w:bCs w:val="false"/>
          <w:sz w:val="22"/>
          <w:szCs w:val="22"/>
        </w:rPr>
        <w:t xml:space="preserve">Pour les transferts depuis l'EEE ou le Royaume-Uni, nous nous appuyons sur les clauses contractuelles types (CCT) approuvées par la Commission européenne, ou d'autres mécanismes de transfert légaux, pour garantir que vos données bénéficient d'une protection adéquate.</w:t>
      </w:r>
    </w:p>
    <w:p>
      <w:pPr>
        <w:spacing w:after="60" w:before="60"/>
      </w:pPr>
      <w:r>
        <w:rPr>
          <w:b w:val="false"/>
          <w:bCs w:val="false"/>
          <w:sz w:val="22"/>
          <w:szCs w:val="22"/>
        </w:rPr>
        <w:t xml:space="preserve">Pour les résidents du Québec : toute communication de renseignements personnels à l'extérieur du Québec est encadrée par une évaluation des facteurs relatifs à la vie privée (EFVP) et un accord écrit assurant une protection équivalente, conformément à la Loi 25.</w:t>
      </w:r>
    </w:p>
    <w:p>
      <w:pPr>
        <w:pBdr>
          <w:bottom w:val="single" w:color="CCCCCC" w:sz="4" w:space="1"/>
        </w:pBdr>
        <w:spacing w:after="200" w:before="200"/>
      </w:pPr>
    </w:p>
    <w:p>
      <w:pPr>
        <w:pStyle w:val="Heading1"/>
        <w:spacing w:after="120" w:before="360"/>
      </w:pPr>
      <w:r>
        <w:rPr>
          <w:b/>
          <w:bCs/>
          <w:color w:val="1A3A5C"/>
          <w:sz w:val="28"/>
          <w:szCs w:val="28"/>
        </w:rPr>
        <w:t xml:space="preserve">9. Conservation des données</w:t>
      </w:r>
    </w:p>
    <w:p>
      <w:pPr>
        <w:spacing w:after="60" w:before="60"/>
      </w:pPr>
      <w:r>
        <w:rPr>
          <w:b w:val="false"/>
          <w:bCs w:val="false"/>
          <w:sz w:val="22"/>
          <w:szCs w:val="22"/>
        </w:rPr>
        <w:t xml:space="preserve">Nous conservons vos renseignements personnels aussi longtemps que nécessaire pour atteindre les objectifs décrits dans la présente Politique, ou tel que requis par la loi :</w:t>
      </w:r>
    </w:p>
    <w:p>
      <w:pPr>
        <w:pStyle w:val="ListParagraph"/>
        <w:numPr>
          <w:ilvl w:val="0"/>
          <w:numId w:val="2"/>
        </w:numPr>
        <w:spacing w:after="40" w:before="40"/>
      </w:pPr>
      <w:r>
        <w:rPr>
          <w:sz w:val="22"/>
          <w:szCs w:val="22"/>
        </w:rPr>
        <w:t xml:space="preserve">Données de commande client : 7 ans (à des fins fiscales et comptables)</w:t>
      </w:r>
    </w:p>
    <w:p>
      <w:pPr>
        <w:pStyle w:val="ListParagraph"/>
        <w:numPr>
          <w:ilvl w:val="0"/>
          <w:numId w:val="2"/>
        </w:numPr>
        <w:spacing w:after="40" w:before="40"/>
      </w:pPr>
      <w:r>
        <w:rPr>
          <w:sz w:val="22"/>
          <w:szCs w:val="22"/>
        </w:rPr>
        <w:t xml:space="preserve">Listes de diffusion marketing : jusqu'à votre désabonnement ou retrait de consentement</w:t>
      </w:r>
    </w:p>
    <w:p>
      <w:pPr>
        <w:pStyle w:val="ListParagraph"/>
        <w:numPr>
          <w:ilvl w:val="0"/>
          <w:numId w:val="2"/>
        </w:numPr>
        <w:spacing w:after="40" w:before="40"/>
      </w:pPr>
      <w:r>
        <w:rPr>
          <w:sz w:val="22"/>
          <w:szCs w:val="22"/>
        </w:rPr>
        <w:t xml:space="preserve">Données d'analyse : jusqu'à 14 mois (paramètre par défaut de Google Analytics)</w:t>
      </w:r>
    </w:p>
    <w:p>
      <w:pPr>
        <w:pStyle w:val="ListParagraph"/>
        <w:numPr>
          <w:ilvl w:val="0"/>
          <w:numId w:val="2"/>
        </w:numPr>
        <w:spacing w:after="40" w:before="40"/>
      </w:pPr>
      <w:r>
        <w:rPr>
          <w:sz w:val="22"/>
          <w:szCs w:val="22"/>
        </w:rPr>
        <w:t xml:space="preserve">Communications d'assistance : 2 ans après résolution</w:t>
      </w:r>
    </w:p>
    <w:p>
      <w:pPr>
        <w:spacing w:after="60" w:before="60"/>
      </w:pPr>
      <w:r>
        <w:rPr>
          <w:b w:val="false"/>
          <w:bCs w:val="false"/>
          <w:sz w:val="22"/>
          <w:szCs w:val="22"/>
        </w:rPr>
        <w:t xml:space="preserve">Lorsque les renseignements personnels ne sont plus nécessaires, nous les supprimons de manière sécurisée ou les anonymisons.</w:t>
      </w:r>
    </w:p>
    <w:p>
      <w:pPr>
        <w:pBdr>
          <w:bottom w:val="single" w:color="CCCCCC" w:sz="4" w:space="1"/>
        </w:pBdr>
        <w:spacing w:after="200" w:before="200"/>
      </w:pPr>
    </w:p>
    <w:p>
      <w:pPr>
        <w:pStyle w:val="Heading1"/>
        <w:spacing w:after="120" w:before="360"/>
      </w:pPr>
      <w:r>
        <w:rPr>
          <w:b/>
          <w:bCs/>
          <w:color w:val="1A3A5C"/>
          <w:sz w:val="28"/>
          <w:szCs w:val="28"/>
        </w:rPr>
        <w:t xml:space="preserve">10. Vos droits</w:t>
      </w:r>
    </w:p>
    <w:p>
      <w:pPr>
        <w:pStyle w:val="Heading2"/>
        <w:spacing w:after="80" w:before="280"/>
      </w:pPr>
      <w:r>
        <w:rPr>
          <w:b/>
          <w:bCs/>
          <w:color w:val="2C5F8A"/>
          <w:sz w:val="24"/>
          <w:szCs w:val="24"/>
        </w:rPr>
        <w:t xml:space="preserve">10.1 Tous les utilisateurs (Canada — LPRPDE et Loi 25)</w:t>
      </w:r>
    </w:p>
    <w:p>
      <w:pPr>
        <w:pStyle w:val="ListParagraph"/>
        <w:numPr>
          <w:ilvl w:val="0"/>
          <w:numId w:val="2"/>
        </w:numPr>
        <w:spacing w:after="40" w:before="40"/>
      </w:pPr>
      <w:r>
        <w:rPr>
          <w:sz w:val="22"/>
          <w:szCs w:val="22"/>
        </w:rPr>
        <w:t xml:space="preserve">Droit d'accès aux renseignements personnels que nous détenons à votre sujet</w:t>
      </w:r>
    </w:p>
    <w:p>
      <w:pPr>
        <w:pStyle w:val="ListParagraph"/>
        <w:numPr>
          <w:ilvl w:val="0"/>
          <w:numId w:val="2"/>
        </w:numPr>
        <w:spacing w:after="40" w:before="40"/>
      </w:pPr>
      <w:r>
        <w:rPr>
          <w:sz w:val="22"/>
          <w:szCs w:val="22"/>
        </w:rPr>
        <w:t xml:space="preserve">Droit de corriger les renseignements inexacts ou incomplets</w:t>
      </w:r>
    </w:p>
    <w:p>
      <w:pPr>
        <w:pStyle w:val="ListParagraph"/>
        <w:numPr>
          <w:ilvl w:val="0"/>
          <w:numId w:val="2"/>
        </w:numPr>
        <w:spacing w:after="40" w:before="40"/>
      </w:pPr>
      <w:r>
        <w:rPr>
          <w:sz w:val="22"/>
          <w:szCs w:val="22"/>
        </w:rPr>
        <w:t xml:space="preserve">Droit de retirer votre consentement pour les utilisations non essentielles</w:t>
      </w:r>
    </w:p>
    <w:p>
      <w:pPr>
        <w:pStyle w:val="ListParagraph"/>
        <w:numPr>
          <w:ilvl w:val="0"/>
          <w:numId w:val="2"/>
        </w:numPr>
        <w:spacing w:after="40" w:before="40"/>
      </w:pPr>
      <w:r>
        <w:rPr>
          <w:sz w:val="22"/>
          <w:szCs w:val="22"/>
        </w:rPr>
        <w:t xml:space="preserve">Droit de déposer une plainte auprès du Commissariat à la protection de la vie privée du Canada (CPVP) ou de la Commission d'accès à l'information du Québec (CAI)</w:t>
      </w:r>
    </w:p>
    <w:p>
      <w:pPr>
        <w:pStyle w:val="Heading2"/>
        <w:spacing w:after="80" w:before="280"/>
      </w:pPr>
      <w:r>
        <w:rPr>
          <w:b/>
          <w:bCs/>
          <w:color w:val="2C5F8A"/>
          <w:sz w:val="24"/>
          <w:szCs w:val="24"/>
        </w:rPr>
        <w:t xml:space="preserve">10.2 Résidents du Québec (droits renforcés — Loi 25)</w:t>
      </w:r>
    </w:p>
    <w:p>
      <w:pPr>
        <w:pStyle w:val="ListParagraph"/>
        <w:numPr>
          <w:ilvl w:val="0"/>
          <w:numId w:val="2"/>
        </w:numPr>
        <w:spacing w:after="40" w:before="40"/>
      </w:pPr>
      <w:r>
        <w:rPr>
          <w:sz w:val="22"/>
          <w:szCs w:val="22"/>
        </w:rPr>
        <w:t xml:space="preserve">Droit à la portabilité des données : recevoir vos données dans un format structuré, couramment utilisé et technologique</w:t>
      </w:r>
    </w:p>
    <w:p>
      <w:pPr>
        <w:pStyle w:val="ListParagraph"/>
        <w:numPr>
          <w:ilvl w:val="0"/>
          <w:numId w:val="2"/>
        </w:numPr>
        <w:spacing w:after="40" w:before="40"/>
      </w:pPr>
      <w:r>
        <w:rPr>
          <w:sz w:val="22"/>
          <w:szCs w:val="22"/>
        </w:rPr>
        <w:t xml:space="preserve">Droit à l'effacement (« droit à l'oubli ») : demander la suppression de vos renseignements personnels, sous réserve des exceptions légales</w:t>
      </w:r>
    </w:p>
    <w:p>
      <w:pPr>
        <w:pStyle w:val="ListParagraph"/>
        <w:numPr>
          <w:ilvl w:val="0"/>
          <w:numId w:val="2"/>
        </w:numPr>
        <w:spacing w:after="40" w:before="40"/>
      </w:pPr>
      <w:r>
        <w:rPr>
          <w:sz w:val="22"/>
          <w:szCs w:val="22"/>
        </w:rPr>
        <w:t xml:space="preserve">Droit d'être informé de toute prise de décision automatisée</w:t>
      </w:r>
    </w:p>
    <w:p>
      <w:pPr>
        <w:pStyle w:val="ListParagraph"/>
        <w:numPr>
          <w:ilvl w:val="0"/>
          <w:numId w:val="2"/>
        </w:numPr>
        <w:spacing w:after="40" w:before="40"/>
      </w:pPr>
      <w:r>
        <w:rPr>
          <w:sz w:val="22"/>
          <w:szCs w:val="22"/>
        </w:rPr>
        <w:t xml:space="preserve">Droit d'être notifié d'un incident de confidentialité présentant un risque de préjudice sérieux</w:t>
      </w:r>
    </w:p>
    <w:p>
      <w:pPr>
        <w:pStyle w:val="Heading2"/>
        <w:spacing w:after="80" w:before="280"/>
      </w:pPr>
      <w:r>
        <w:rPr>
          <w:b/>
          <w:bCs/>
          <w:color w:val="2C5F8A"/>
          <w:sz w:val="24"/>
          <w:szCs w:val="24"/>
        </w:rPr>
        <w:t xml:space="preserve">10.3 Résidents de l'EEE et du Royaume-Uni (RGPD / RGPD RU)</w:t>
      </w:r>
    </w:p>
    <w:p>
      <w:pPr>
        <w:pStyle w:val="ListParagraph"/>
        <w:numPr>
          <w:ilvl w:val="0"/>
          <w:numId w:val="2"/>
        </w:numPr>
        <w:spacing w:after="40" w:before="40"/>
      </w:pPr>
      <w:r>
        <w:rPr>
          <w:sz w:val="22"/>
          <w:szCs w:val="22"/>
        </w:rPr>
        <w:t xml:space="preserve">Droit d'accès (Article 15)</w:t>
      </w:r>
    </w:p>
    <w:p>
      <w:pPr>
        <w:pStyle w:val="ListParagraph"/>
        <w:numPr>
          <w:ilvl w:val="0"/>
          <w:numId w:val="2"/>
        </w:numPr>
        <w:spacing w:after="40" w:before="40"/>
      </w:pPr>
      <w:r>
        <w:rPr>
          <w:sz w:val="22"/>
          <w:szCs w:val="22"/>
        </w:rPr>
        <w:t xml:space="preserve">Droit de rectification (Article 16)</w:t>
      </w:r>
    </w:p>
    <w:p>
      <w:pPr>
        <w:pStyle w:val="ListParagraph"/>
        <w:numPr>
          <w:ilvl w:val="0"/>
          <w:numId w:val="2"/>
        </w:numPr>
        <w:spacing w:after="40" w:before="40"/>
      </w:pPr>
      <w:r>
        <w:rPr>
          <w:sz w:val="22"/>
          <w:szCs w:val="22"/>
        </w:rPr>
        <w:t xml:space="preserve">Droit à l'effacement (Article 17)</w:t>
      </w:r>
    </w:p>
    <w:p>
      <w:pPr>
        <w:pStyle w:val="ListParagraph"/>
        <w:numPr>
          <w:ilvl w:val="0"/>
          <w:numId w:val="2"/>
        </w:numPr>
        <w:spacing w:after="40" w:before="40"/>
      </w:pPr>
      <w:r>
        <w:rPr>
          <w:sz w:val="22"/>
          <w:szCs w:val="22"/>
        </w:rPr>
        <w:t xml:space="preserve">Droit à la limitation du traitement (Article 18)</w:t>
      </w:r>
    </w:p>
    <w:p>
      <w:pPr>
        <w:pStyle w:val="ListParagraph"/>
        <w:numPr>
          <w:ilvl w:val="0"/>
          <w:numId w:val="2"/>
        </w:numPr>
        <w:spacing w:after="40" w:before="40"/>
      </w:pPr>
      <w:r>
        <w:rPr>
          <w:sz w:val="22"/>
          <w:szCs w:val="22"/>
        </w:rPr>
        <w:t xml:space="preserve">Droit à la portabilité des données (Article 20)</w:t>
      </w:r>
    </w:p>
    <w:p>
      <w:pPr>
        <w:pStyle w:val="ListParagraph"/>
        <w:numPr>
          <w:ilvl w:val="0"/>
          <w:numId w:val="2"/>
        </w:numPr>
        <w:spacing w:after="40" w:before="40"/>
      </w:pPr>
      <w:r>
        <w:rPr>
          <w:sz w:val="22"/>
          <w:szCs w:val="22"/>
        </w:rPr>
        <w:t xml:space="preserve">Droit d'opposition au traitement (Article 21)</w:t>
      </w:r>
    </w:p>
    <w:p>
      <w:pPr>
        <w:pStyle w:val="ListParagraph"/>
        <w:numPr>
          <w:ilvl w:val="0"/>
          <w:numId w:val="2"/>
        </w:numPr>
        <w:spacing w:after="40" w:before="40"/>
      </w:pPr>
      <w:r>
        <w:rPr>
          <w:sz w:val="22"/>
          <w:szCs w:val="22"/>
        </w:rPr>
        <w:t xml:space="preserve">Droit de déposer une plainte auprès de l'autorité de surveillance compétente (p. ex., CNIL en France, ICO au Royaume-Uni)</w:t>
      </w:r>
    </w:p>
    <w:p>
      <w:pPr>
        <w:pStyle w:val="Heading2"/>
        <w:spacing w:after="80" w:before="280"/>
      </w:pPr>
      <w:r>
        <w:rPr>
          <w:b/>
          <w:bCs/>
          <w:color w:val="2C5F8A"/>
          <w:sz w:val="24"/>
          <w:szCs w:val="24"/>
        </w:rPr>
        <w:t xml:space="preserve">10.4 Résidents de la Californie (CCPA / CPRA)</w:t>
      </w:r>
    </w:p>
    <w:p>
      <w:pPr>
        <w:spacing w:after="60" w:before="60"/>
      </w:pPr>
      <w:r>
        <w:rPr>
          <w:b w:val="false"/>
          <w:bCs w:val="false"/>
          <w:sz w:val="22"/>
          <w:szCs w:val="22"/>
        </w:rPr>
        <w:t xml:space="preserve">Les résidents californiens ont le droit de :</w:t>
      </w:r>
    </w:p>
    <w:p>
      <w:pPr>
        <w:pStyle w:val="ListParagraph"/>
        <w:numPr>
          <w:ilvl w:val="0"/>
          <w:numId w:val="2"/>
        </w:numPr>
        <w:spacing w:after="40" w:before="40"/>
      </w:pPr>
      <w:r>
        <w:rPr>
          <w:sz w:val="22"/>
          <w:szCs w:val="22"/>
        </w:rPr>
        <w:t xml:space="preserve">Savoir quels renseignements personnels nous recueillons et comment ils sont utilisés</w:t>
      </w:r>
    </w:p>
    <w:p>
      <w:pPr>
        <w:pStyle w:val="ListParagraph"/>
        <w:numPr>
          <w:ilvl w:val="0"/>
          <w:numId w:val="2"/>
        </w:numPr>
        <w:spacing w:after="40" w:before="40"/>
      </w:pPr>
      <w:r>
        <w:rPr>
          <w:sz w:val="22"/>
          <w:szCs w:val="22"/>
        </w:rPr>
        <w:t xml:space="preserve">Supprimer les renseignements personnels que nous avons recueillis (sous réserve d'exceptions)</w:t>
      </w:r>
    </w:p>
    <w:p>
      <w:pPr>
        <w:pStyle w:val="ListParagraph"/>
        <w:numPr>
          <w:ilvl w:val="0"/>
          <w:numId w:val="2"/>
        </w:numPr>
        <w:spacing w:after="40" w:before="40"/>
      </w:pPr>
      <w:r>
        <w:rPr>
          <w:sz w:val="22"/>
          <w:szCs w:val="22"/>
        </w:rPr>
        <w:t xml:space="preserve">Se désengager de la vente ou du partage de renseignements personnels (nous ne vendons pas de renseignements personnels)</w:t>
      </w:r>
    </w:p>
    <w:p>
      <w:pPr>
        <w:pStyle w:val="ListParagraph"/>
        <w:numPr>
          <w:ilvl w:val="0"/>
          <w:numId w:val="2"/>
        </w:numPr>
        <w:spacing w:after="40" w:before="40"/>
      </w:pPr>
      <w:r>
        <w:rPr>
          <w:sz w:val="22"/>
          <w:szCs w:val="22"/>
        </w:rPr>
        <w:t xml:space="preserve">Ne pas faire l'objet de discrimination pour l'exercice de vos droits en matière de vie privée</w:t>
      </w:r>
    </w:p>
    <w:p>
      <w:pPr>
        <w:pStyle w:val="ListParagraph"/>
        <w:numPr>
          <w:ilvl w:val="0"/>
          <w:numId w:val="2"/>
        </w:numPr>
        <w:spacing w:after="40" w:before="40"/>
      </w:pPr>
      <w:r>
        <w:rPr>
          <w:sz w:val="22"/>
          <w:szCs w:val="22"/>
        </w:rPr>
        <w:t xml:space="preserve">Corriger les renseignements personnels inexacts</w:t>
      </w:r>
    </w:p>
    <w:p>
      <w:pPr>
        <w:pStyle w:val="ListParagraph"/>
        <w:numPr>
          <w:ilvl w:val="0"/>
          <w:numId w:val="2"/>
        </w:numPr>
        <w:spacing w:after="40" w:before="40"/>
      </w:pPr>
      <w:r>
        <w:rPr>
          <w:sz w:val="22"/>
          <w:szCs w:val="22"/>
        </w:rPr>
        <w:t xml:space="preserve">Limiter l'utilisation des renseignements personnels sensibles</w:t>
      </w:r>
    </w:p>
    <w:p>
      <w:pPr>
        <w:spacing w:after="60" w:before="60"/>
      </w:pPr>
      <w:r>
        <w:rPr>
          <w:b w:val="false"/>
          <w:bCs w:val="false"/>
          <w:sz w:val="22"/>
          <w:szCs w:val="22"/>
        </w:rPr>
        <w:t xml:space="preserve">Pour exercer l'un de ces droits, contactez-nous à : info@rainfoll.ca</w:t>
      </w:r>
    </w:p>
    <w:p>
      <w:pPr>
        <w:pBdr>
          <w:bottom w:val="single" w:color="CCCCCC" w:sz="4" w:space="1"/>
        </w:pBdr>
        <w:spacing w:after="200" w:before="200"/>
      </w:pPr>
    </w:p>
    <w:p>
      <w:pPr>
        <w:pStyle w:val="Heading1"/>
        <w:spacing w:after="120" w:before="360"/>
      </w:pPr>
      <w:r>
        <w:rPr>
          <w:b/>
          <w:bCs/>
          <w:color w:val="1A3A5C"/>
          <w:sz w:val="28"/>
          <w:szCs w:val="28"/>
        </w:rPr>
        <w:t xml:space="preserve">11. Protection de la vie privée des enfants</w:t>
      </w:r>
    </w:p>
    <w:p>
      <w:pPr>
        <w:spacing w:after="60" w:before="60"/>
      </w:pPr>
      <w:r>
        <w:rPr>
          <w:b w:val="false"/>
          <w:bCs w:val="false"/>
          <w:sz w:val="22"/>
          <w:szCs w:val="22"/>
        </w:rPr>
        <w:t xml:space="preserve">Notre Site ne s'adresse pas aux enfants de moins de 16 ans. Nous ne recueillons pas sciemment de renseignements personnels auprès d'enfants de moins de 16 ans. Si nous apprenons avoir recueilli des renseignements personnels d'un enfant de moins de 16 ans sans le consentement vérifié des parents, nous les supprimerons rapidement. Si vous croyez que nous avons pu recueillir des renseignements d'un enfant, veuillez nous contacter à l'adresse info@rainfoll.ca.</w:t>
      </w:r>
    </w:p>
    <w:p>
      <w:pPr>
        <w:pBdr>
          <w:bottom w:val="single" w:color="CCCCCC" w:sz="4" w:space="1"/>
        </w:pBdr>
        <w:spacing w:after="200" w:before="200"/>
      </w:pPr>
    </w:p>
    <w:p>
      <w:pPr>
        <w:pStyle w:val="Heading1"/>
        <w:spacing w:after="120" w:before="360"/>
      </w:pPr>
      <w:r>
        <w:rPr>
          <w:b/>
          <w:bCs/>
          <w:color w:val="1A3A5C"/>
          <w:sz w:val="28"/>
          <w:szCs w:val="28"/>
        </w:rPr>
        <w:t xml:space="preserve">12. Sécurité</w:t>
      </w:r>
    </w:p>
    <w:p>
      <w:pPr>
        <w:spacing w:after="60" w:before="60"/>
      </w:pPr>
      <w:r>
        <w:rPr>
          <w:b w:val="false"/>
          <w:bCs w:val="false"/>
          <w:sz w:val="22"/>
          <w:szCs w:val="22"/>
        </w:rPr>
        <w:t xml:space="preserve">Nous mettons en oeuvre des mesures techniques et organisationnelles appropriées pour protéger vos renseignements personnels contre tout accès non autorisé, divulgation, altération ou destruction. Ces mesures comprennent le chiffrement HTTPS, les contrôles d'accès et des sous-traitants tiers sécurisés.</w:t>
      </w:r>
    </w:p>
    <w:p>
      <w:pPr>
        <w:spacing w:after="60" w:before="60"/>
      </w:pPr>
      <w:r>
        <w:rPr>
          <w:b w:val="false"/>
          <w:bCs w:val="false"/>
          <w:sz w:val="22"/>
          <w:szCs w:val="22"/>
        </w:rPr>
        <w:t xml:space="preserve">Toutefois, aucune méthode de transmission sur Internet n'est sécurisée à 100 %. Bien que nous nous efforcions de protéger vos renseignements personnels, nous ne pouvons pas garantir leur sécurité absolue.</w:t>
      </w:r>
    </w:p>
    <w:p>
      <w:pPr>
        <w:spacing w:after="60" w:before="60"/>
      </w:pPr>
      <w:r>
        <w:rPr>
          <w:b w:val="false"/>
          <w:bCs w:val="false"/>
          <w:sz w:val="22"/>
          <w:szCs w:val="22"/>
        </w:rPr>
        <w:t xml:space="preserve">En cas d'incident de confidentialité présentant un risque de préjudice sérieux, nous informerons les personnes concernées et les autorités réglementaires compétentes, conformément aux lois applicables (notamment la LPRPDE, la Loi 25 du Québec et le RGPD).</w:t>
      </w:r>
    </w:p>
    <w:p>
      <w:pPr>
        <w:pBdr>
          <w:bottom w:val="single" w:color="CCCCCC" w:sz="4" w:space="1"/>
        </w:pBdr>
        <w:spacing w:after="200" w:before="200"/>
      </w:pPr>
    </w:p>
    <w:p>
      <w:pPr>
        <w:pStyle w:val="Heading1"/>
        <w:spacing w:after="120" w:before="360"/>
      </w:pPr>
      <w:r>
        <w:rPr>
          <w:b/>
          <w:bCs/>
          <w:color w:val="1A3A5C"/>
          <w:sz w:val="28"/>
          <w:szCs w:val="28"/>
        </w:rPr>
        <w:t xml:space="preserve">13. Conformité linguistique — Charte de la langue française</w:t>
      </w:r>
    </w:p>
    <w:p>
      <w:pPr>
        <w:spacing w:after="60" w:before="60"/>
      </w:pPr>
      <w:r>
        <w:rPr>
          <w:b w:val="false"/>
          <w:bCs w:val="false"/>
          <w:sz w:val="22"/>
          <w:szCs w:val="22"/>
        </w:rPr>
        <w:t xml:space="preserve">Conformément à la Charte de la langue française (Loi 101) et aux obligations de protection des consommateurs du Québec, la présente Politique de confidentialité est rédigée en français et constitue la version officielle pour les résidents du Québec. En cas de conflit entre la version française et la version anglaise, la version française prévaut pour les résidents du Québec.</w:t>
      </w:r>
    </w:p>
    <w:p>
      <w:pPr>
        <w:pBdr>
          <w:bottom w:val="single" w:color="CCCCCC" w:sz="4" w:space="1"/>
        </w:pBdr>
        <w:spacing w:after="200" w:before="200"/>
      </w:pPr>
    </w:p>
    <w:p>
      <w:pPr>
        <w:pStyle w:val="Heading1"/>
        <w:spacing w:after="120" w:before="360"/>
      </w:pPr>
      <w:r>
        <w:rPr>
          <w:b/>
          <w:bCs/>
          <w:color w:val="1A3A5C"/>
          <w:sz w:val="28"/>
          <w:szCs w:val="28"/>
        </w:rPr>
        <w:t xml:space="preserve">14. Modifications de la présente Politique</w:t>
      </w:r>
    </w:p>
    <w:p>
      <w:pPr>
        <w:spacing w:after="60" w:before="60"/>
      </w:pPr>
      <w:r>
        <w:rPr>
          <w:b w:val="false"/>
          <w:bCs w:val="false"/>
          <w:sz w:val="22"/>
          <w:szCs w:val="22"/>
        </w:rPr>
        <w:t xml:space="preserve">Nous pouvons mettre à jour la présente Politique de confidentialité de temps à autre. Nous vous informerons des modifications importantes en mettant à jour la date d'entrée en vigueur en haut de cette Politique et, lorsque la loi l'exige, en vous envoyant un avis par courriel ou en affichant un avis bien visible sur notre Site. Nous vous encourageons à consulter régulièrement cette Politique.</w:t>
      </w:r>
    </w:p>
    <w:p>
      <w:pPr>
        <w:pBdr>
          <w:bottom w:val="single" w:color="CCCCCC" w:sz="4" w:space="1"/>
        </w:pBdr>
        <w:spacing w:after="200" w:before="200"/>
      </w:pPr>
    </w:p>
    <w:p>
      <w:pPr>
        <w:pStyle w:val="Heading1"/>
        <w:spacing w:after="120" w:before="360"/>
      </w:pPr>
      <w:r>
        <w:rPr>
          <w:b/>
          <w:bCs/>
          <w:color w:val="1A3A5C"/>
          <w:sz w:val="28"/>
          <w:szCs w:val="28"/>
        </w:rPr>
        <w:t xml:space="preserve">15. Nous contacter</w:t>
      </w:r>
    </w:p>
    <w:p>
      <w:pPr>
        <w:spacing w:after="60" w:before="60"/>
      </w:pPr>
      <w:r>
        <w:rPr>
          <w:b w:val="false"/>
          <w:bCs w:val="false"/>
          <w:sz w:val="22"/>
          <w:szCs w:val="22"/>
        </w:rPr>
        <w:t xml:space="preserve">Si vous avez des questions, des préoccupations ou des demandes concernant la présente Politique de confidentialité ou nos pratiques en matière de données, veuillez nous contacter :</w:t>
      </w:r>
    </w:p>
    <w:p>
      <w:pPr>
        <w:spacing w:after="60" w:before="60"/>
      </w:pPr>
      <w:r>
        <w:rPr>
          <w:b/>
          <w:bCs/>
          <w:sz w:val="22"/>
          <w:szCs w:val="22"/>
        </w:rPr>
        <w:t xml:space="preserve">Rainföll</w:t>
      </w:r>
    </w:p>
    <w:p>
      <w:pPr>
        <w:spacing w:after="60" w:before="60"/>
      </w:pPr>
      <w:r>
        <w:rPr>
          <w:b w:val="false"/>
          <w:bCs w:val="false"/>
          <w:sz w:val="22"/>
          <w:szCs w:val="22"/>
        </w:rPr>
        <w:t xml:space="preserve">Courriel : info@rainfoll.ca</w:t>
      </w:r>
    </w:p>
    <w:p>
      <w:pPr>
        <w:spacing w:after="60" w:before="60"/>
      </w:pPr>
      <w:r>
        <w:rPr>
          <w:b w:val="false"/>
          <w:bCs w:val="false"/>
          <w:sz w:val="22"/>
          <w:szCs w:val="22"/>
        </w:rPr>
        <w:t xml:space="preserve">Site Web : https://rainfoll.ca</w:t>
      </w:r>
    </w:p>
    <w:p>
      <w:pPr>
        <w:spacing w:after="60" w:before="60"/>
      </w:pPr>
      <w:r>
        <w:rPr>
          <w:b w:val="false"/>
          <w:bCs w:val="false"/>
          <w:sz w:val="22"/>
          <w:szCs w:val="22"/>
        </w:rPr>
        <w:t xml:space="preserve">Nous répondrons à toutes les demandes dans un délai de 30 jours, conformément aux exigences de la loi applicable. Si vous n'êtes pas satisfait de notre réponse, vous avez le droit de déposer une plainte auprès de l'autorité de protection de la vie privée compétente dans votre juridiction.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2026-05-19T18:16:20.326Z</dcterms:created>
  <dcterms:modified xsi:type="dcterms:W3CDTF">2026-05-19T18:16:20.326Z</dcterms:modified>
</cp:coreProperties>
</file>

<file path=docProps/custom.xml><?xml version="1.0" encoding="utf-8"?>
<Properties xmlns="http://schemas.openxmlformats.org/officeDocument/2006/custom-properties" xmlns:vt="http://schemas.openxmlformats.org/officeDocument/2006/docPropsVTypes"/>
</file>