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TECHNICAL PROPOSAL</w:t>
      </w:r>
    </w:p>
    <w:p>
      <w:pPr>
        <w:spacing w:after="60" w:before="0"/>
        <w:jc w:val="center"/>
      </w:pPr>
      <w:r>
        <w:rPr>
          <w:rFonts w:ascii="Arial" w:cs="Arial" w:eastAsia="Arial" w:hAnsi="Arial"/>
          <w:color w:val="595959"/>
          <w:sz w:val="22"/>
          <w:szCs w:val="22"/>
        </w:rPr>
        <w:t xml:space="preserve">RITES/ITES/APR/2026  ·  PARAKH — AI-Based DPR Appraisal Platform</w:t>
      </w:r>
    </w:p>
    <w:p>
      <w:pPr>
        <w:spacing w:after="60" w:before="0"/>
        <w:jc w:val="center"/>
      </w:pPr>
      <w:r>
        <w:rPr>
          <w:rFonts w:ascii="Arial" w:cs="Arial" w:eastAsia="Arial" w:hAnsi="Arial"/>
          <w:b/>
          <w:bCs/>
          <w:color w:val="2E75B6"/>
          <w:sz w:val="26"/>
          <w:szCs w:val="26"/>
        </w:rPr>
        <w:t xml:space="preserve">Sections 3–8: Technical Approach</w:t>
      </w:r>
    </w:p>
    <w:p>
      <w:pPr>
        <w:pBdr>
          <w:bottom w:val="single" w:color="2E75B6" w:sz="6" w:space="1"/>
        </w:pBdr>
        <w:spacing w:after="120" w:before="120"/>
      </w:pPr>
    </w:p>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1F3864" w:sz="1"/>
              <w:left w:val="single" w:color="1F3864" w:sz="1"/>
              <w:bottom w:val="single" w:color="1F3864" w:sz="1"/>
              <w:right w:val="single" w:color="1F3864" w:sz="1"/>
            </w:tcBorders>
            <w:shd w:fill="D6E4F0" w:val="clear"/>
            <w:tcMar>
              <w:top w:type="dxa" w:w="100"/>
              <w:left w:type="dxa" w:w="200"/>
              <w:bottom w:type="dxa" w:w="100"/>
              <w:right w:type="dxa" w:w="120"/>
            </w:tcMar>
            <w:vAlign w:val="center"/>
          </w:tcPr>
          <w:p>
            <w:r>
              <w:rPr>
                <w:rFonts w:ascii="Arial" w:cs="Arial" w:eastAsia="Arial" w:hAnsi="Arial"/>
                <w:b/>
                <w:bCs/>
                <w:color w:val="1F3864"/>
                <w:sz w:val="26"/>
                <w:szCs w:val="26"/>
              </w:rPr>
              <w:t xml:space="preserve">Understanding of Scope and Requirements</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3.1  The Problem — DPR Appraisal Today at RITES</w:t>
      </w:r>
    </w:p>
    <w:p>
      <w:pPr>
        <w:spacing w:after="80" w:before="60"/>
      </w:pPr>
      <w:r>
        <w:rPr>
          <w:rFonts w:ascii="Arial" w:cs="Arial" w:eastAsia="Arial" w:hAnsi="Arial"/>
          <w:sz w:val="22"/>
          <w:szCs w:val="22"/>
        </w:rPr>
        <w:t xml:space="preserve">RITES produces and appraises Detailed Project Reports across eight infrastructure sectors. A typical DPR is 500–5,000 pages of mixed content: narrative text, structured engineering tables, scanned drawings, GIS overlays, and financial models — often digitised from paper originals at 100% scanned quality. Despite this scale and complexity, the current appraisal process is entirely manual:</w:t>
      </w:r>
    </w:p>
    <w:p>
      <w:pPr>
        <w:pStyle w:val="ListParagraph"/>
        <w:numPr>
          <w:ilvl w:val="0"/>
          <w:numId w:val="2"/>
        </w:numPr>
        <w:spacing w:after="40" w:before="40"/>
      </w:pPr>
      <w:r>
        <w:rPr>
          <w:rFonts w:ascii="Arial" w:cs="Arial" w:eastAsia="Arial" w:hAnsi="Arial"/>
          <w:b w:val="false"/>
          <w:bCs w:val="false"/>
          <w:sz w:val="22"/>
          <w:szCs w:val="22"/>
        </w:rPr>
        <w:t xml:space="preserve">Reviewers work with ad-hoc checklists, Excel sheets, and handwritten comments — no structured validation system</w:t>
      </w:r>
    </w:p>
    <w:p>
      <w:pPr>
        <w:pStyle w:val="ListParagraph"/>
        <w:numPr>
          <w:ilvl w:val="0"/>
          <w:numId w:val="2"/>
        </w:numPr>
        <w:spacing w:after="40" w:before="40"/>
      </w:pPr>
      <w:r>
        <w:rPr>
          <w:rFonts w:ascii="Arial" w:cs="Arial" w:eastAsia="Arial" w:hAnsi="Arial"/>
          <w:b w:val="false"/>
          <w:bCs w:val="false"/>
          <w:sz w:val="22"/>
          <w:szCs w:val="22"/>
        </w:rPr>
        <w:t xml:space="preserve">DMS tools (eOffice, SharePoint) route documents but provide zero technical validation or engineering logic</w:t>
      </w:r>
    </w:p>
    <w:p>
      <w:pPr>
        <w:pStyle w:val="ListParagraph"/>
        <w:numPr>
          <w:ilvl w:val="0"/>
          <w:numId w:val="2"/>
        </w:numPr>
        <w:spacing w:after="40" w:before="40"/>
      </w:pPr>
      <w:r>
        <w:rPr>
          <w:rFonts w:ascii="Arial" w:cs="Arial" w:eastAsia="Arial" w:hAnsi="Arial"/>
          <w:b w:val="false"/>
          <w:bCs w:val="false"/>
          <w:sz w:val="22"/>
          <w:szCs w:val="22"/>
        </w:rPr>
        <w:t xml:space="preserve">Engineering tools (traffic modelling, geotechnical software, BIM) operate in discipline-specific silos — no cross-DPR consistency checking</w:t>
      </w:r>
    </w:p>
    <w:p>
      <w:pPr>
        <w:pStyle w:val="ListParagraph"/>
        <w:numPr>
          <w:ilvl w:val="0"/>
          <w:numId w:val="2"/>
        </w:numPr>
        <w:spacing w:after="40" w:before="40"/>
      </w:pPr>
      <w:r>
        <w:rPr>
          <w:rFonts w:ascii="Arial" w:cs="Arial" w:eastAsia="Arial" w:hAnsi="Arial"/>
          <w:b w:val="false"/>
          <w:bCs w:val="false"/>
          <w:sz w:val="22"/>
          <w:szCs w:val="22"/>
        </w:rPr>
        <w:t xml:space="preserve">1,000+ historical DPRs exist in the RITES repository — untapped for benchmarking</w:t>
      </w:r>
    </w:p>
    <w:p>
      <w:pPr>
        <w:pStyle w:val="ListParagraph"/>
        <w:numPr>
          <w:ilvl w:val="0"/>
          <w:numId w:val="2"/>
        </w:numPr>
        <w:spacing w:after="40" w:before="40"/>
      </w:pPr>
      <w:r>
        <w:rPr>
          <w:rFonts w:ascii="Arial" w:cs="Arial" w:eastAsia="Arial" w:hAnsi="Arial"/>
          <w:b w:val="false"/>
          <w:bCs w:val="false"/>
          <w:sz w:val="22"/>
          <w:szCs w:val="22"/>
        </w:rPr>
        <w:t xml:space="preserve">No traceable audit trail of technical observations, scoring logic, or approval decisions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60"/>
            </w:tcMar>
          </w:tcPr>
          <w:p>
            <w:pPr>
              <w:spacing w:after="40" w:before="0"/>
            </w:pPr>
            <w:r>
              <w:rPr>
                <w:rFonts w:ascii="Arial" w:cs="Arial" w:eastAsia="Arial" w:hAnsi="Arial"/>
                <w:b/>
                <w:bCs/>
                <w:color w:val="2E75B6"/>
                <w:sz w:val="20"/>
                <w:szCs w:val="20"/>
              </w:rPr>
              <w:t xml:space="preserve">Seven Gaps That Exist Today</w:t>
            </w:r>
          </w:p>
          <w:p>
            <w:pPr>
              <w:spacing w:after="0" w:before="0"/>
            </w:pPr>
            <w:r>
              <w:rPr>
                <w:rFonts w:ascii="Arial" w:cs="Arial" w:eastAsia="Arial" w:hAnsi="Arial"/>
                <w:color w:val="000000"/>
                <w:sz w:val="20"/>
                <w:szCs w:val="20"/>
              </w:rPr>
              <w:t xml:space="preserve">None of the following capabilities exist in RITES today: (1) automated completeness check of a DPR, (2) stakeholder input verification, (3) unrealistic technical input detection, (4) cross-section quantity and cost cross-checking, (5) automated appraisal summary generation, (6) audit trail of technical review, (7) benchmarking against historical DPRs. PARAKH addresses every one of these gaps within the 9-month delivery timeline.</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3.2  PARAKH — Our Solution Vision</w:t>
      </w:r>
    </w:p>
    <w:p>
      <w:pPr>
        <w:spacing w:after="80" w:before="60"/>
      </w:pPr>
      <w:r>
        <w:rPr>
          <w:rFonts w:ascii="Arial" w:cs="Arial" w:eastAsia="Arial" w:hAnsi="Arial"/>
          <w:b/>
          <w:bCs/>
          <w:sz w:val="22"/>
          <w:szCs w:val="22"/>
        </w:rPr>
        <w:t xml:space="preserve">PARAKH is not an AI wrapper.</w:t>
      </w:r>
      <w:r>
        <w:rPr>
          <w:rFonts w:ascii="Arial" w:cs="Arial" w:eastAsia="Arial" w:hAnsi="Arial"/>
          <w:sz w:val="22"/>
          <w:szCs w:val="22"/>
        </w:rPr>
        <w:t xml:space="preserve"> It is a data-driven, rules-first, knowledge-graph-anchored decision-support platform where AI augments but never replaces deterministic engineering logic. The platform's primary reasoning engine is a multi-sector Knowledge Graph — the LLM is called only when the graph cannot answer a question deterministically. This architecture is what makes PARAKH low-compute, explainable, and fully traceable.</w:t>
      </w:r>
    </w:p>
    <w:p>
      <w:pPr>
        <w:spacing w:after="80" w:before="60"/>
      </w:pPr>
      <w:r>
        <w:rPr>
          <w:rFonts w:ascii="Arial" w:cs="Arial" w:eastAsia="Arial" w:hAnsi="Arial"/>
          <w:b/>
          <w:bCs/>
          <w:sz w:val="22"/>
          <w:szCs w:val="22"/>
        </w:rPr>
        <w:t xml:space="preserve">Human-in-the-loop is not a feature — it is an architectural constraint.</w:t>
      </w:r>
      <w:r>
        <w:rPr>
          <w:rFonts w:ascii="Arial" w:cs="Arial" w:eastAsia="Arial" w:hAnsi="Arial"/>
          <w:sz w:val="22"/>
          <w:szCs w:val="22"/>
        </w:rPr>
        <w:t xml:space="preserve"> No AI output is ever auto-accepted into the appraisal record. Every anomaly flag, every validation result, every appraisal summary draft requires explicit human reviewer confirmation before it is recorded. All final appraisal decisions remain with designated RITES authorities.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3.3  All 16 Modules — Full Scope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60"/>
        <w:gridCol w:w="560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3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5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Our Approach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Users, Roles &amp; Governance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SSO + RBAC + ABAC; immutable audit trail streamed to OpenSearch SIEM</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M2</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Master Data Management</w:t>
            </w:r>
          </w:p>
        </w:tc>
        <w:tc>
          <w:tcPr>
            <w:tcW w:type="dxa" w:w="5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13 sectors; configurable Site &amp; Context masters (terrain, soil, seismic, hydrology) feeding KG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DPR Template Creation Engine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4-level hierarchy; conditional fields driven by site context; calculated cross-section columns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M4</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Role-to-DPR Mapping</w:t>
            </w:r>
          </w:p>
        </w:tc>
        <w:tc>
          <w:tcPr>
            <w:tcW w:type="dxa" w:w="5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Section-to-department mapping; Appraisal Readiness Indicator; configurable notifications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Dictionary &amp; Standards Repository</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IS/IRC/RDSO/CPWD/AAI/MoPSW library; controlled vocabulary; cost head hierarchy</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M6</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Ontology &amp; Dependency Framework</w:t>
            </w:r>
          </w:p>
        </w:tc>
        <w:tc>
          <w:tcPr>
            <w:tcW w:type="dxa" w:w="5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OWL/RDF KG; 8 sector ontologies; 100+ dependency rules at Go-Live; RITES SME sign-off per sector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M7</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DPR Repository &amp; Benchmarking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Cost/km benchmarks by terrain/geography; vector similarity search; pattern recognition</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M8</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DPR Authoring / Submission Interface</w:t>
            </w:r>
          </w:p>
        </w:tc>
        <w:tc>
          <w:tcPr>
            <w:tcW w:type="dxa" w:w="5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Site context first; structured forms; inline benchmarks; version control; 4 scenario comparison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M9</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Completeness Validation Engine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completeness check types; assisted computation; pre-appraisal gate</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M10</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Technical Validation Engine</w:t>
            </w:r>
          </w:p>
        </w:tc>
        <w:tc>
          <w:tcPr>
            <w:tcW w:type="dxa" w:w="5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Range-based; contextual (soil/foundation, bridge/hydrology); standards-based; OOM detection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Consistency Engine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BOQ vs cost summary; design vs investigation alignment; NLP narrative cross-check</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M12</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Anomaly Detection Engine</w:t>
            </w:r>
          </w:p>
        </w:tc>
        <w:tc>
          <w:tcPr>
            <w:tcW w:type="dxa" w:w="5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Statistical (IQR/Z-score); pattern-based; benchmark-comparative; AI-assisted for complex anomalies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Workflow &amp; Scoring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state-machine; parallel review tracks; configurable scoring frameworks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M14</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Reporting &amp; Appraisal Dashboard</w:t>
            </w:r>
          </w:p>
        </w:tc>
        <w:tc>
          <w:tcPr>
            <w:tcW w:type="dxa" w:w="5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DPR + portfolio dashboards; 5 report types; PDF/DOCX/XLSX export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 &amp; Sensitivity Analysis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Tornado charts; scenario modelling (4 scenarios); FIRR/EIRR sensitivity</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M16</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Security, Audit &amp; Monitoring</w:t>
            </w:r>
          </w:p>
        </w:tc>
        <w:tc>
          <w:tcPr>
            <w:tcW w:type="dxa" w:w="5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OWASP Web + API + LLM; 2× VAPT; SSDLC; SBOM; Zero Trust; sovereign AI boundary</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3.4  Key RFP Challenges and Our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Challenge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Our Specific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Sovereign AI — zero external LLM API calls in production (ATC2 Clause 5.18)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architectural boundary in Staging/UAT/Production. LiteLLM Proxy blocks all non-whitelisted model endpoints. Gemma 4 + Sarvam-M self-hosted on vLLM. Verified in VAPT.</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Scanned DPRs up to 5,000 pages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Docling + Granite-Docling-258M VLM: 30× faster than traditional OCR, native table/figure extraction. Accuracy targets progressively build from ≥85% (M2) to ≥95% (M4) per ATC2 SLA.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8-sector standards complexity (IRC, RDSO, IS, CPWD, AAI, MoPSW)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KG ontology per sector; RITES SME sign-off per sector (10 working days SLA in M1 SRS). KG is the primary validation engine — not the LLM.</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vendor lock-in / DPI principles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100% Apache 2.0/MIT/BSD stack. LLM-agnostic gateway (LiteLLM Proxy). Full source code handover at M4. Any model swappable via config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must be justified — not assumed (ATC2 Section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 4 26B MoE activates only 3.8B parameters per token — 8× compute saving over 31B Dense. 70–80% of validation runs as SPARQL + Drools (zero GPU). GPU called only for reasoning and generation tasks. Full benchmark in M1 SRS.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Nothing deployed without RITES sign-off (ATC2 Section 6.8)</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ontologies, rules, scoring frameworks, AI models submitted to RITES pre-deployment. Approval SLA written into M1 SRS. Delays against agreed SLA pause the LD clock.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1F3864" w:sz="1"/>
              <w:left w:val="single" w:color="1F3864" w:sz="1"/>
              <w:bottom w:val="single" w:color="1F3864" w:sz="1"/>
              <w:right w:val="single" w:color="1F3864" w:sz="1"/>
            </w:tcBorders>
            <w:shd w:fill="D6E4F0" w:val="clear"/>
            <w:tcMar>
              <w:top w:type="dxa" w:w="100"/>
              <w:left w:type="dxa" w:w="200"/>
              <w:bottom w:type="dxa" w:w="100"/>
              <w:right w:type="dxa" w:w="120"/>
            </w:tcMar>
            <w:vAlign w:val="center"/>
          </w:tcPr>
          <w:p>
            <w:r>
              <w:rPr>
                <w:rFonts w:ascii="Arial" w:cs="Arial" w:eastAsia="Arial" w:hAnsi="Arial"/>
                <w:b/>
                <w:bCs/>
                <w:color w:val="1F3864"/>
                <w:sz w:val="26"/>
                <w:szCs w:val="26"/>
              </w:rPr>
              <w:t xml:space="preserve">Solution Architecture</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4.1  The Eight-Layer Stack — Overall Architecture</w:t>
      </w:r>
    </w:p>
    <w:p>
      <w:pPr>
        <w:spacing w:after="80" w:before="60"/>
      </w:pPr>
      <w:r>
        <w:rPr>
          <w:rFonts w:ascii="Arial" w:cs="Arial" w:eastAsia="Arial" w:hAnsi="Arial"/>
          <w:sz w:val="22"/>
          <w:szCs w:val="22"/>
        </w:rPr>
        <w:t xml:space="preserve">The platform is organised as eight horizontal layers, each with a clearly defined responsibility, communicating only through well-defined API contracts. The diagram below shows the full stack with all component choices.</w:t>
      </w:r>
    </w:p>
    <w:p>
      <w:pPr>
        <w:spacing w:after="60" w:before="0"/>
      </w:pPr>
      <w:r>
        <w:t xml:space="preserve"/>
      </w:r>
    </w:p>
    <w:p>
      <w:pPr>
        <w:spacing w:after="60" w:before="120"/>
        <w:jc w:val="center"/>
      </w:pPr>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0005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4.1 — PARAKH 8-Layer Architecture Stack (all components Apache 2.0 / permissive license, no vendor lock-in)</w:t>
      </w:r>
    </w:p>
    <w:p>
      <w:pPr>
        <w:pStyle w:val="Heading3"/>
        <w:spacing w:after="80" w:before="200"/>
      </w:pPr>
      <w:r>
        <w:rPr>
          <w:rFonts w:ascii="Arial" w:cs="Arial" w:eastAsia="Arial" w:hAnsi="Arial"/>
          <w:b/>
          <w:bCs/>
          <w:color w:val="1F3864"/>
          <w:sz w:val="24"/>
          <w:szCs w:val="24"/>
        </w:rPr>
        <w:t xml:space="preserve">Layer-by-Layer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160"/>
        <w:gridCol w:w="3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Does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Components</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This Choice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 Interface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dashboards, DPR authoring forms, GIS map views, observation entry, approval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TypeScript + Ant Design; Apache Superset (analytics); MapLibre GL JS (GIS)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is the RFP-preferred stack. Ant Design provides enterprise-grade form components critical for structured DPR data entry. Superset embeds analytics without a separate BI tool licence.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 API Gateway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Single entry point for all external and inter-service traffic. Authentication, rate limiting, logging, routing.</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Apache APISIX (Apache 2.0)</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APISIX chosen over Kong CE: native plugin ecosystem, hot-reload config without restart (critical for zero-downtime config changes in production), active Apache Foundation governance, identical Apache 2.0 licence.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Application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for all 16 modules. Async processing queue for heavy AI jobs. BPMN workflow engine for M13 review routing.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 Celery + Redis; Flowable OSS (BPMN + DMN)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is RFP-preferred and the fastest Python API framework. Flowable OSS provides the configurable state-machine workflows required by M13 without code deployment — drag-and-drop BPMN diagrams.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 AI / LLM Layer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Tiered model inference: small models for real-time tasks, large models only for complex reasoning. LLM-agnostic routing. All models self-hosted.</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vLLM v0.19+; LiteLLM Proxy; Gemma 4 (E4B, 26B MoE); Sarvam-M; Granite-Docling-258M; Qdrant; nomic-embed-text / BGE-M3</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Detailed in §4.5. Key point: 70–80% of validation bypasses this layer entirely — handled by KG + rules engine below.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Rules &amp; Knowledge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 first-pass reasoning. SPARQL queries over KG answer most validation questions instantly. Drools DMN handles business rules. This layer runs before any LLM is invoked.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Jena + Fuseki (OWL/RDF); Apache AGE (graph on PostgreSQL); Apache Drools OSS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KG-first is the fundamental compute reduction strategy. A SPARQL query answering "does this bridge design have hydrology inputs?" takes milliseconds and requires no GPU.</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 Data Layer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Transactional data, spatial data, document search, caching, object storage for DPR files and model weights.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15+ + PostGIS; OpenSearch 2.x; Redis 7+; SeaweedFS</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 PostGIS is the RFP-preferred stack. SeaweedFS replaces MinIO: identical S3-compatible API, Apache 2.0 licence (MinIO uses AGPL/SSPL, excluded per ATC2).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Streaming &amp; 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Event-driven processing of document ingestion, validation triggers, AI job queuing, notification delivery. Scheduled batch jobs for model fine-tuning and benchmark updates.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Kafka; Apache Airflow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provides fault-tolerant, scalable event bus. Schema registry (Apicurio, Apache 2.0) enforces message schema versioning. Airflow orchestrates the scheduled batch pipelines.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 Infrastructure &amp; Observability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 runtime, orchestration, CI/CD pipeline, full-stack monitoring (metrics, tracing, logging), security scanning.</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 Kubernetes + Rancher; GitLab CE; Prometheus + Grafana; Jaeger; OpenSearch + Fluent Bit; Trivy; Syft/Grype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Apache 2.0. Rancher provides the Kubernetes management UI needed by RITES IT team post-handover without additional licences.</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4.2  Three-Layer Logical Architecture</w:t>
      </w:r>
    </w:p>
    <w:p>
      <w:pPr>
        <w:spacing w:after="80" w:before="60"/>
      </w:pPr>
      <w:r>
        <w:rPr>
          <w:rFonts w:ascii="Arial" w:cs="Arial" w:eastAsia="Arial" w:hAnsi="Arial"/>
          <w:sz w:val="22"/>
          <w:szCs w:val="22"/>
        </w:rPr>
        <w:t xml:space="preserve">Cutting across the 8 technical layers is a 3-layer logical architecture that maps directly to the DPR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Logical Layer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Modules</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Technical Layers (from §4.1)</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Data Flow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A
DPR Preparation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M2, M3, M4, M8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 API Gateway → App Services → Data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 enters DPR data → templates enforce structure → site context activates dependency rules → document stored in SeaweedFS → Kafka event triggers IDP pipeline</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LAYER B
Appraisal &amp; Evaluation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M5, M6, M9, M10, M11, M12, M13</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 Services → Rules &amp; KG Engine → AI/LLM Layer (when needed)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Submitted DPR → KG dependency check (SPARQL, instant) → Drools rules validation (instant) → statistical anomaly detection → LLM reasoning only for complex multi-parameter anomalies → reviewer workflow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
Knowledge &amp; Decision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M7, M14, M15, M16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Lake (Apache Iceberg on SeaweedFS) ← all layers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DPR data flows into benchmarking engine; appraisal outcomes feed back into KG refinement; dashboards aggregate from PostgreSQL and OpenSearch; security audit trail streams to SIEM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60"/>
            </w:tcMar>
          </w:tcPr>
          <w:p>
            <w:pPr>
              <w:spacing w:after="40" w:before="0"/>
            </w:pPr>
            <w:r>
              <w:rPr>
                <w:rFonts w:ascii="Arial" w:cs="Arial" w:eastAsia="Arial" w:hAnsi="Arial"/>
                <w:b/>
                <w:bCs/>
                <w:color w:val="2E75B6"/>
                <w:sz w:val="20"/>
                <w:szCs w:val="20"/>
              </w:rPr>
              <w:t xml:space="preserve">Closed-Loop Design</w:t>
            </w:r>
          </w:p>
          <w:p>
            <w:pPr>
              <w:spacing w:after="0" w:before="0"/>
            </w:pPr>
            <w:r>
              <w:rPr>
                <w:rFonts w:ascii="Arial" w:cs="Arial" w:eastAsia="Arial" w:hAnsi="Arial"/>
                <w:color w:val="000000"/>
                <w:sz w:val="20"/>
                <w:szCs w:val="20"/>
              </w:rPr>
              <w:t xml:space="preserve">PARAKH is designed as a closed-loop system: data captured during DPR preparation and appraisal is continuously leveraged for validation, benchmarking, and feedback — improving DPR quality over time. A highway DPR submitted in Year 2 benefits from all the validation outcomes and reviewer corrections collected in Year 1.</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4.3  DPR Processing Pipeline</w:t>
      </w:r>
    </w:p>
    <w:p>
      <w:pPr>
        <w:spacing w:after="80" w:before="60"/>
      </w:pPr>
      <w:r>
        <w:rPr>
          <w:rFonts w:ascii="Arial" w:cs="Arial" w:eastAsia="Arial" w:hAnsi="Arial"/>
          <w:sz w:val="22"/>
          <w:szCs w:val="22"/>
        </w:rPr>
        <w:t xml:space="preserve">The pipeline below shows how a DPR flows from raw upload to structured appraisal output — across six swim lanes representing the major processing stages.</w:t>
      </w:r>
    </w:p>
    <w:p>
      <w:pPr>
        <w:spacing w:after="60" w:before="0"/>
      </w:pPr>
      <w:r>
        <w:t xml:space="preserve"/>
      </w:r>
    </w:p>
    <w:p>
      <w:pPr>
        <w:spacing w:after="60" w:before="120"/>
        <w:jc w:val="center"/>
      </w:pPr>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0005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4.2 — DPR Processing Pipeline (6 swim lanes, from raw upload to structured appraisal output)</w:t>
      </w:r>
    </w:p>
    <w:p>
      <w:pPr>
        <w:pStyle w:val="Heading3"/>
        <w:spacing w:after="80" w:before="200"/>
      </w:pPr>
      <w:r>
        <w:rPr>
          <w:rFonts w:ascii="Arial" w:cs="Arial" w:eastAsia="Arial" w:hAnsi="Arial"/>
          <w:b/>
          <w:bCs/>
          <w:color w:val="1F3864"/>
          <w:sz w:val="24"/>
          <w:szCs w:val="24"/>
        </w:rPr>
        <w:t xml:space="preserve">Pipeline Stage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27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Process</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Compute Cost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DPR uploaded via web UI. Virus scan. Format detection (digital PDF / scanned PDF / DOCX / XLSX). Queued to Kafka topic.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SeaweedFS, Kafka, ClamAV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Negligible — CPU only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IDP (Parse)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Granite-Docling-258M VLM processes each page: text extraction, table recognition, figure detection, drawing reference extraction. Structured JSON output per page with confidence scores and bounding boxes.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Granite-Docling-258M on CPU (258M params — no GPU needed for IDP stage)</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Low — CPU inference, ~4–8 min per 200 pages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 &amp; Map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spaCy NLP + rule engine maps extracted content to DPR canonical schema. Section identification. Low-confidence pages flagged for human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spaCy (NLP), LangChain (orchestration), Sarvam-M for Indic-language content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CPU, sub-minute for 200 pages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Validate (KG + Rules)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Apache Jena SPARQL queries evaluate dependency rules. Drools DMN evaluates business rules. This is the primary validation pass — 70–80% of all validation issues identified here with zero LLM calls.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Jena/Fuseki (SPARQL), Apache Drools OSS (DMN)</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Zero GPU — instant, millisecond-level per rule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outlier detection (IQR, Z-score, percentile vs benchmark). Pattern-based checks. For complex cross-parameter anomalies only: Gemma 4 26B MoE called via LiteLLM Proxy.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XGBoost/LightGBM (statistical), Gemma 4 26B MoE (complex anomalies only, GPU)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GPU used only for LLM calls, typically &lt;20% of DPRs trigger LLM anomaly analysis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Appraisal Assist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RAG retrieval (Qdrant) grounds the context. Gemma 4 26B MoE generates appraisal summary draft, prioritises issues, provides benchmark narrative. All outputs carry mandatory chain-of-thought + RAG citations.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Qdrant (vector retrieval), BGE-M3 (embeddings), Gemma 4 26B MoE (generation), LiteLLM Proxy</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Highest GPU usage — but only once per DPR, not per validation check</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4.4  Technology Choices Mapped to Functional Requirements</w:t>
      </w:r>
    </w:p>
    <w:p>
      <w:pPr>
        <w:spacing w:after="80" w:before="60"/>
      </w:pPr>
      <w:r>
        <w:rPr>
          <w:rFonts w:ascii="Arial" w:cs="Arial" w:eastAsia="Arial" w:hAnsi="Arial"/>
          <w:sz w:val="22"/>
          <w:szCs w:val="22"/>
        </w:rPr>
        <w:t xml:space="preserve">Every technology choice in PARAKH maps directly to a functional requirement in Annexure 12. The following table makes this mapping explicit, together with the rationale for each choice over the obvious alternatives.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600"/>
        <w:gridCol w:w="2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Functional Requirement (Annexure 12)</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Our Technology Choice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This Choice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Not the Alternative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M6: Ontology &amp; dependency rules — inspectable, RITES-approved, version-controlled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Jena + Fuseki (OWL/RDF + SPARQL)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W3C standards (OWL/RDF). Every triple is inspectable. RITES can view and approve the full graph before deployment. SPARQL queries are human-readable. Apache 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(proprietary for enterprise). Graph databases without RDF lack the standards-compliance required for ontology-driven engineering validation.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M13: Configurable review workflows — state machines, no code deployment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Flowable OSS (BPMN + DMN)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BPMN diagrams are editable by RITES administrators without writing code. DMN decision tables provide the same drag-and-drop editability for validation rules.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Hardcoded workflow logic (fails the "configurable without code" principle). Activiti (Flowable is its fork with more active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M3/M9/M10: Rule engine — editable by RITES admin, RITES-approved before 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Drools OSS (DRL + DMN)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Industry-standard Java rule engine. DRL rules are human-readable. Apache 2.0. Hot-deploy rules without service restart.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Python rule logic (not editable by RITES admins without developer involvement).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M8: Structured DPR authoring — forms, tables, version control</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FastAPI + React + Ant Design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FastAPI is RFP-preferred. Ant Design Form provides enterprise-grade structured form components (nested tables, conditional fields, calculated columns) that match DPR data entry patterns.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Django REST (slower, more opinionated). Material UI (less suited to data-dense government forms).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M7/M12: Similarity search and RAG over 1,000+ DPRs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Qdrant (vector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2.0. Metadata filtering by sector/terrain/geography as first-class feature — critical for returning benchmarks from comparable projects only. Sub-millisecond retrieval.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Weaviate (BSL licence, excluded). Chroma (not production-grade for 1,000+ DPR scale).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M16/M1: Event streaming for audit trail, AI job queuing, notifications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Apache 2.0. Fault-tolerant, durable message log. Exactly-once semantics for audit events. Schema registry enforces message versioning.</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RabbitMQ (message broker, not a durable log — audit events could be lost).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On-premise + NIC MeghRaj, RITES IT team must manage post-handover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Kubernetes + Rancher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Rancher provides a web-based K8s management UI that RITES IT staff can operate without deep K8s expertise. Apache 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OpenShift (Red Hat licence). Vanilla K8s without a management UI (too complex for RITES IT handover).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Security: Secrets management, encryption key rotation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HashiCorp Vault (BSL) or OpenBao (Apache 2.0 fork)</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OpenBao is the Apache 2.0 fork of HashiCorp Vault created after the BSL licence change. Identical API. Fully RITES-manageable post-handover.</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Kubernetes secrets (unencrypted at rest by default). HashiCorp Vault (BSL — excluded per ATC2 licence policy).</w:t>
            </w:r>
          </w:p>
        </w:tc>
      </w:tr>
    </w:tbl>
    <w:p>
      <w:pPr>
        <w:spacing w:after="60" w:before="0"/>
      </w:pPr>
      <w:r>
        <w:t xml:space="preserve"/>
      </w:r>
    </w:p>
    <w:p>
      <w:r>
        <w:br w:type="page"/>
      </w:r>
    </w:p>
    <w:p>
      <w:pPr>
        <w:pStyle w:val="Heading2"/>
        <w:spacing w:after="100" w:before="280"/>
      </w:pPr>
      <w:r>
        <w:rPr>
          <w:rFonts w:ascii="Arial" w:cs="Arial" w:eastAsia="Arial" w:hAnsi="Arial"/>
          <w:b/>
          <w:bCs/>
          <w:color w:val="2E75B6"/>
          <w:sz w:val="26"/>
          <w:szCs w:val="26"/>
        </w:rPr>
        <w:t xml:space="preserve">4.5  Compute Footprint Reduction — KG-First, Tiered LLM Strategy</w:t>
      </w:r>
    </w:p>
    <w:p>
      <w:pPr>
        <w:spacing w:after="80" w:before="60"/>
      </w:pPr>
      <w:r>
        <w:rPr>
          <w:rFonts w:ascii="Arial" w:cs="Arial" w:eastAsia="Arial" w:hAnsi="Arial"/>
          <w:sz w:val="22"/>
          <w:szCs w:val="22"/>
        </w:rPr>
        <w:t xml:space="preserve">The RFP (ATC2 Section 3) is explicit: GPU dependency shall be avoided unless specifically required and justified. This section shows exactly how we minimise compute at every stage of the PARAKH pipeline, and demonstrates that GPU is justified only for a small fraction of total operations.</w:t>
      </w:r>
    </w:p>
    <w:p>
      <w:pPr>
        <w:spacing w:after="60" w:before="0"/>
      </w:pPr>
      <w:r>
        <w:t xml:space="preserve"/>
      </w:r>
    </w:p>
    <w:p>
      <w:pPr>
        <w:pStyle w:val="Heading3"/>
        <w:spacing w:after="80" w:before="200"/>
      </w:pPr>
      <w:r>
        <w:rPr>
          <w:rFonts w:ascii="Arial" w:cs="Arial" w:eastAsia="Arial" w:hAnsi="Arial"/>
          <w:b/>
          <w:bCs/>
          <w:color w:val="1F3864"/>
          <w:sz w:val="24"/>
          <w:szCs w:val="24"/>
        </w:rPr>
        <w:t xml:space="preserve">4.5.1  The KG-First Principle — Most Validation Needs No LLM</w:t>
      </w:r>
    </w:p>
    <w:p>
      <w:pPr>
        <w:spacing w:after="80" w:before="60"/>
      </w:pPr>
      <w:r>
        <w:rPr>
          <w:rFonts w:ascii="Arial" w:cs="Arial" w:eastAsia="Arial" w:hAnsi="Arial"/>
          <w:b/>
          <w:bCs/>
          <w:sz w:val="22"/>
          <w:szCs w:val="22"/>
        </w:rPr>
        <w:t xml:space="preserve">The most important compute decision in PARAKH is architectural, not model-selection.</w:t>
      </w:r>
      <w:r>
        <w:rPr>
          <w:rFonts w:ascii="Arial" w:cs="Arial" w:eastAsia="Arial" w:hAnsi="Arial"/>
          <w:sz w:val="22"/>
          <w:szCs w:val="22"/>
        </w:rPr>
        <w:t xml:space="preserve"> By placing the Knowledge Graph as the primary reasoning engine for validation, we avoid the LLM entirely for 70–80% of all appraisal logic. A SPARQL query over the KG that answers 'Does this bridge design have hydrology inputs?' runs in milliseconds on a CPU and is fully traceable to a specific graph node. The LLM is only invoked when the graph cannot answer deterministically — typically complex cross-parameter reasoning or holistic document-level analysis.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000"/>
        <w:gridCol w:w="2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Validation Type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Engine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Compute Cost</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LLM Involved?</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rule check (M6, M9)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Jena SPARQL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10ms, CPU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 on river → hydrology section must be present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Business rule validation (M10)</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Apache Drools OSS (DMN)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50ms, CPU only</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Steel reinforcement diameter not in {8,10,12,16,20,25,32,40}mm per IS 1786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cross-verification (M11)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query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100ms, CPU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BOQ total ≠ cost summary total beyond 1% tolerance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Narrative vs structured data (M11)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spaCy NLP + regex</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200ms, CPU only</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Project length "48 km" in narrative vs 52.3 km in alignment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anomaly (M12)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 IQR algorithm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500ms, CPU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Cost/km is 2.8× P90 benchmark for highway in hilly terrain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Complex cross-parameter anomaly (M12)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Gemma 4 26B MoE (GPU)</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30–90s per section, GPU</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YES — sparingly</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Foundation type inconsistent with soil classification given seismic zone and groundwater conditions combined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DPR appraisal summary (M14)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 4 26B MoE (GPU) + RAG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10–15 min per DPR, GPU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once per DPR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Holistic appraisal summary with prioritised issues and benchmark narrative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60"/>
            </w:tcMar>
          </w:tcPr>
          <w:p>
            <w:pPr>
              <w:spacing w:after="40" w:before="0"/>
            </w:pPr>
            <w:r>
              <w:rPr>
                <w:rFonts w:ascii="Arial" w:cs="Arial" w:eastAsia="Arial" w:hAnsi="Arial"/>
                <w:b/>
                <w:bCs/>
                <w:color w:val="2E75B6"/>
                <w:sz w:val="20"/>
                <w:szCs w:val="20"/>
              </w:rPr>
              <w:t xml:space="preserve">Compute Budget Estimate</w:t>
            </w:r>
          </w:p>
          <w:p>
            <w:pPr>
              <w:spacing w:after="0" w:before="0"/>
            </w:pPr>
            <w:r>
              <w:rPr>
                <w:rFonts w:ascii="Arial" w:cs="Arial" w:eastAsia="Arial" w:hAnsi="Arial"/>
                <w:color w:val="000000"/>
                <w:sz w:val="20"/>
                <w:szCs w:val="20"/>
              </w:rPr>
              <w:t xml:space="preserve">For a typical RITES review month (assume 20 DPRs processed): SPARQL/Drools/SQL validation: 0 GPU-hours (CPU only). Statistical anomaly detection: 0 GPU-hours. LLM complex anomaly calls (triggered for ~20% of DPRs): ~4 GPU-hours. LLM appraisal summaries (all 20 DPRs): ~5 GPU-hours. Total GPU: ~9 hours/month — well within a single A100's capacity. The other 23+ hours per day the GPU is idle or serving UI chatbot requests at negligible compute cost.</w:t>
            </w:r>
          </w:p>
        </w:tc>
      </w:tr>
    </w:tbl>
    <w:p>
      <w:pPr>
        <w:spacing w:after="60" w:before="0"/>
      </w:pPr>
      <w:r>
        <w:t xml:space="preserve"/>
      </w:r>
    </w:p>
    <w:p>
      <w:pPr>
        <w:pStyle w:val="Heading3"/>
        <w:spacing w:after="80" w:before="200"/>
      </w:pPr>
      <w:r>
        <w:rPr>
          <w:rFonts w:ascii="Arial" w:cs="Arial" w:eastAsia="Arial" w:hAnsi="Arial"/>
          <w:b/>
          <w:bCs/>
          <w:color w:val="1F3864"/>
          <w:sz w:val="24"/>
          <w:szCs w:val="24"/>
        </w:rPr>
        <w:t xml:space="preserve">4.5.2  Tiered LLM Strategy — Right-Sized Model for Every Task</w:t>
      </w:r>
    </w:p>
    <w:p>
      <w:pPr>
        <w:spacing w:after="80" w:before="60"/>
      </w:pPr>
      <w:r>
        <w:rPr>
          <w:rFonts w:ascii="Arial" w:cs="Arial" w:eastAsia="Arial" w:hAnsi="Arial"/>
          <w:sz w:val="22"/>
          <w:szCs w:val="22"/>
        </w:rPr>
        <w:t xml:space="preserve">We deploy four model tiers, each matched to task complexity and latency requirements. The routing logic lives in the LiteLLM Proxy — the application layer never directly selects a model.</w:t>
      </w:r>
    </w:p>
    <w:p>
      <w:pPr>
        <w:spacing w:after="60" w:before="0"/>
      </w:pPr>
      <w:r>
        <w:t xml:space="preserve"/>
      </w:r>
    </w:p>
    <w:p>
      <w:pPr>
        <w:spacing w:after="60" w:before="120"/>
        <w:jc w:val="center"/>
      </w:pPr>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40005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4.3 — Knowledge Graph Architecture and Context Engineering Layer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1400"/>
        <w:gridCol w:w="1000"/>
        <w:gridCol w:w="23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Parameters (Active)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Hardware</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Latency</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 in PARAKH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0
Basic NLP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 4 E2B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~2.3B (CPU)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only
(no GPU)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200ms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chatbot responses, form field auto-complete, section label detection, quick keyword extraction, search query expansion, notification text generation</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 1
Fast Reasoning</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Gemma 4 E4B</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~4.5B (CPU)</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CPU only
(no GPU)</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200ms–1s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Completeness pre-check (M9 first pass), structured data extraction from digital PDFs, RAG retrieval answer synthesis, unit mismatch detection, simple cross-field checks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Indic &amp; Multilingual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Sarvam-M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~7B (CPU or GPU)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preferred
(GPU optional)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Hindi section headings, regional language place names, transliterated technical terms, multilingual DPR narrative extraction, Indic script OCR post-processing</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 3
Engineering Reasoning</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Gemma 4 26B MoE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3.8B active
of 26B total</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 A100 GPU
(shared)</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30s–3 min</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Complex dependency validation, multi-parameter anomaly analysis, engineering consistency reasoning, standards compliance checking with contextual explanation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4
Full Appraisal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 4 26B MoE
(extended 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3.8B active
of 26B total
(256K context)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A100 GPU
(dedicated slot)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DPR appraisal report generation, cross-chapter analysis, holistic benchmark narrative, executive summary with prioritised issues</w:t>
            </w:r>
          </w:p>
        </w:tc>
      </w:tr>
    </w:tbl>
    <w:p>
      <w:pPr>
        <w:spacing w:after="6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Benchmark (MMLU Pro)</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Math (AIME)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Coding</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Indic Language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License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 4 E2B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(140+ languages)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Gemma 4 E4B</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~75%</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Good</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Good</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Good (140+ languages)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Sarvam-M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88.3 Pass@1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92.1 HumanEval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 vs base (Indic)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2.0 — MeitY IndiaAI Mission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Gemma 4 26B MoE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85.2%</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89.2% (AIME 2026)</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80% LiveCodeBench</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Good (140+ languages)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 4 31B Dense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Similar to 26B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2.0 — NOT used (8× higher compute)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60"/>
            </w:tcMar>
          </w:tcPr>
          <w:p>
            <w:pPr>
              <w:spacing w:after="40" w:before="0"/>
            </w:pPr>
            <w:r>
              <w:rPr>
                <w:rFonts w:ascii="Arial" w:cs="Arial" w:eastAsia="Arial" w:hAnsi="Arial"/>
                <w:b/>
                <w:bCs/>
                <w:color w:val="2E75B6"/>
                <w:sz w:val="20"/>
                <w:szCs w:val="20"/>
              </w:rPr>
              <w:t xml:space="preserve">Why Not Gemma 4 31B Dense?</w:t>
            </w:r>
          </w:p>
          <w:p>
            <w:pPr>
              <w:spacing w:after="0" w:before="0"/>
            </w:pPr>
            <w:r>
              <w:rPr>
                <w:rFonts w:ascii="Arial" w:cs="Arial" w:eastAsia="Arial" w:hAnsi="Arial"/>
                <w:color w:val="000000"/>
                <w:sz w:val="20"/>
                <w:szCs w:val="20"/>
              </w:rPr>
              <w:t xml:space="preserve">The 31B Dense model has similar benchmark performance to the 26B MoE but activates all 31B parameters per token — approximately 8× the compute cost of the MoE model which activates only 3.8B parameters per token. For PARAKH, the 26B MoE delivers 97% of the 31B's quality at 8× lower GPU cost. This is the primary GPU justification per ATC2 Section 3.</w:t>
            </w:r>
          </w:p>
        </w:tc>
      </w:tr>
    </w:tbl>
    <w:p>
      <w:pPr>
        <w:spacing w:after="60" w:before="0"/>
      </w:pPr>
      <w:r>
        <w:t xml:space="preserve"/>
      </w:r>
    </w:p>
    <w:p>
      <w:pPr>
        <w:pStyle w:val="Heading3"/>
        <w:spacing w:after="80" w:before="200"/>
      </w:pPr>
      <w:r>
        <w:rPr>
          <w:rFonts w:ascii="Arial" w:cs="Arial" w:eastAsia="Arial" w:hAnsi="Arial"/>
          <w:b/>
          <w:bCs/>
          <w:color w:val="1F3864"/>
          <w:sz w:val="24"/>
          <w:szCs w:val="24"/>
        </w:rPr>
        <w:t xml:space="preserve">4.5.3  LLM Routing Logic — When Each Tier Is Called</w:t>
      </w:r>
    </w:p>
    <w:p>
      <w:pPr>
        <w:spacing w:after="80" w:before="60"/>
      </w:pPr>
      <w:r>
        <w:rPr>
          <w:rFonts w:ascii="Arial" w:cs="Arial" w:eastAsia="Arial" w:hAnsi="Arial"/>
          <w:sz w:val="22"/>
          <w:szCs w:val="22"/>
        </w:rPr>
        <w:t xml:space="preserve">The LiteLLM Proxy implements a routing policy that selects the minimum-sufficient model tier for each request type. The policy is configuration-driven — no code change required to update routing rules.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 Condition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Routed To</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label detection during IDP mapping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0 (E2B)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classification task; no reasoning required; sub-200ms latency needed for user-facing IDP progress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User asks question in DPR authoring chatbot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 0 (E2B) → escalate to Tier 1 (E4B) if answer requires retrieval</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Conversational assist; most queries answered by Tier 0 + RAG context; Tier 1 only if multi-hop reasoning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PDF section extraction (text-layer 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(E4B)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extraction from clean text; no complex reasoning; CPU-only keeps cost zero</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Any Indic script detected in DPR content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 2 (Sarvam-M)</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+86% improvement on Indic language tasks; only tier with dedicated Indic training corpus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Ontology dependency rule triggered but pattern ambiguous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(26B MoE)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reasoning required; KG has flagged the issue but explanation requires domain understanding</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Statistical anomaly threshold exceeded (IQR/Z-score)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 3 (26B MoE) — only if anomaly score &gt; 0.85</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High-confidence statistical anomalies explained without LLM; borderline cases sent to Tier 3 for contextualised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DPR appraisal summary requested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4 (26B MoE extended context)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256K context window for large DPRs; cross-chapter analysis; holistic reasoning; GPU dedicated slot reserved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Scanned DPR — no text layer available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Granite-Docling-258M VLM (parallel to all tiers)</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Specialised document VLM handles OCR + structure; output feeds the main pipeline; runs on CPU (258M params)</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4.6  LLM-Agnostic Architecture — Future-Proofing the AI Stack</w:t>
      </w:r>
    </w:p>
    <w:p>
      <w:pPr>
        <w:spacing w:after="80" w:before="60"/>
      </w:pPr>
      <w:r>
        <w:rPr>
          <w:rFonts w:ascii="Arial" w:cs="Arial" w:eastAsia="Arial" w:hAnsi="Arial"/>
          <w:sz w:val="22"/>
          <w:szCs w:val="22"/>
        </w:rPr>
        <w:t xml:space="preserve">Between April and May 2026 alone, four major open-weight model families were released: Gemma 4, Sarvam 30B, Qwen 3.5, and Llama 4. The open-weight model landscape is moving faster than any 9-month project timeline. We design the AI layer so that swapping the underlying model requires a configuration change, never application code changes.</w:t>
      </w:r>
    </w:p>
    <w:p>
      <w:pPr>
        <w:spacing w:after="60" w:before="0"/>
      </w:pPr>
      <w:r>
        <w:t xml:space="preserve"/>
      </w:r>
    </w:p>
    <w:p>
      <w:pPr>
        <w:pStyle w:val="Heading3"/>
        <w:spacing w:after="80" w:before="200"/>
      </w:pPr>
      <w:r>
        <w:rPr>
          <w:rFonts w:ascii="Arial" w:cs="Arial" w:eastAsia="Arial" w:hAnsi="Arial"/>
          <w:b/>
          <w:bCs/>
          <w:color w:val="1F3864"/>
          <w:sz w:val="24"/>
          <w:szCs w:val="24"/>
        </w:rPr>
        <w:t xml:space="preserve">The Abstraction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160"/>
        <w:gridCol w:w="280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Interface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services, Validation Engine, M12 Anomaly Detection, M14 Appraisal Assist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the AI layer via a single standardised interface. Never imports a model library directly.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complete(prompt, tier, context) → AIOutput
embed(text) → vector
rerank(query, docs) → ranked_docs</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LLM Gateway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LiteLLM Proxy (MIT licence)</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Receives all AI requests. Routes to the correct model tier. Handles retries, fallbacks, load balancing, rate limiting. Enforces the sovereign AI boundary (blocks all non-whitelisted external endpoints in Staging+).</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OpenAI-compatible REST API — identical interface regardless of underlying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Registry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vLLM v0.19+ serving layer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Hosts Gemma 4 (E4B, 26B MoE) and Sarvam-M. Exposes OpenAI-compatible API. Hot-swap between model versions without service restart.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/v1/chat/completions (OpenAI spec)</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CPU Inference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llama.cpp / Ollama</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Serves Tier 0 (E2B) and Tier 1 (E4B) on CPU for latency-sensitive tasks. Zero GPU dependency for these tiers.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 /api/generate (Ollama spec — LiteLLM translates)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VLM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Docling + Granite-Docling-258M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pipeline for document parsing. Not routed through LiteLLM Proxy — dedicated Docling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/v1/parse (Docling REST API)</w:t>
            </w:r>
          </w:p>
        </w:tc>
      </w:tr>
    </w:tbl>
    <w:p>
      <w:pPr>
        <w:spacing w:after="60" w:before="0"/>
      </w:pPr>
      <w:r>
        <w:t xml:space="preserve"/>
      </w:r>
    </w:p>
    <w:p>
      <w:pPr>
        <w:spacing w:after="80" w:before="60"/>
      </w:pPr>
      <w:r>
        <w:rPr>
          <w:rFonts w:ascii="Arial" w:cs="Arial" w:eastAsia="Arial" w:hAnsi="Arial"/>
          <w:sz w:val="22"/>
          <w:szCs w:val="22"/>
        </w:rPr>
        <w:t xml:space="preserve">The application layer only knows the abstract interface: complete(), embed(), rerank(). Swapping Gemma 4 26B MoE for a future SOTA model — say Sarvam 30B for engineering reasoning tasks, or a Gemma 5 released during AMC — requires only:</w:t>
      </w:r>
    </w:p>
    <w:p>
      <w:pPr>
        <w:pStyle w:val="ListParagraph"/>
        <w:numPr>
          <w:ilvl w:val="0"/>
          <w:numId w:val="2"/>
        </w:numPr>
        <w:spacing w:after="40" w:before="40"/>
      </w:pPr>
      <w:r>
        <w:rPr>
          <w:rFonts w:ascii="Arial" w:cs="Arial" w:eastAsia="Arial" w:hAnsi="Arial"/>
          <w:b w:val="false"/>
          <w:bCs w:val="false"/>
          <w:sz w:val="22"/>
          <w:szCs w:val="22"/>
        </w:rPr>
        <w:t xml:space="preserve">Update the model registry entry in LiteLLM Proxy config (YAML file)</w:t>
      </w:r>
    </w:p>
    <w:p>
      <w:pPr>
        <w:pStyle w:val="ListParagraph"/>
        <w:numPr>
          <w:ilvl w:val="0"/>
          <w:numId w:val="2"/>
        </w:numPr>
        <w:spacing w:after="40" w:before="40"/>
      </w:pPr>
      <w:r>
        <w:rPr>
          <w:rFonts w:ascii="Arial" w:cs="Arial" w:eastAsia="Arial" w:hAnsi="Arial"/>
          <w:b w:val="false"/>
          <w:bCs w:val="false"/>
          <w:sz w:val="22"/>
          <w:szCs w:val="22"/>
        </w:rPr>
        <w:t xml:space="preserve">Run the validation suite against the new model (automated, part of CI/CD)</w:t>
      </w:r>
    </w:p>
    <w:p>
      <w:pPr>
        <w:pStyle w:val="ListParagraph"/>
        <w:numPr>
          <w:ilvl w:val="0"/>
          <w:numId w:val="2"/>
        </w:numPr>
        <w:spacing w:after="40" w:before="40"/>
      </w:pPr>
      <w:r>
        <w:rPr>
          <w:rFonts w:ascii="Arial" w:cs="Arial" w:eastAsia="Arial" w:hAnsi="Arial"/>
          <w:b w:val="false"/>
          <w:bCs w:val="false"/>
          <w:sz w:val="22"/>
          <w:szCs w:val="22"/>
        </w:rPr>
        <w:t xml:space="preserve">Obtain RITES approval for the new model version (per ATC2 Section 6.8)</w:t>
      </w:r>
    </w:p>
    <w:p>
      <w:pPr>
        <w:pStyle w:val="ListParagraph"/>
        <w:numPr>
          <w:ilvl w:val="0"/>
          <w:numId w:val="2"/>
        </w:numPr>
        <w:spacing w:after="40" w:before="40"/>
      </w:pPr>
      <w:r>
        <w:rPr>
          <w:rFonts w:ascii="Arial" w:cs="Arial" w:eastAsia="Arial" w:hAnsi="Arial"/>
          <w:b w:val="false"/>
          <w:bCs w:val="false"/>
          <w:sz w:val="22"/>
          <w:szCs w:val="22"/>
        </w:rPr>
        <w:t xml:space="preserve">Deploy — zero application code changes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60"/>
            </w:tcMar>
          </w:tcPr>
          <w:p>
            <w:pPr>
              <w:spacing w:after="40" w:before="0"/>
            </w:pPr>
            <w:r>
              <w:rPr>
                <w:rFonts w:ascii="Arial" w:cs="Arial" w:eastAsia="Arial" w:hAnsi="Arial"/>
                <w:b/>
                <w:bCs/>
                <w:color w:val="2E75B6"/>
                <w:sz w:val="20"/>
                <w:szCs w:val="20"/>
              </w:rPr>
              <w:t xml:space="preserve">Why This Matters for RITES</w:t>
            </w:r>
          </w:p>
          <w:p>
            <w:pPr>
              <w:spacing w:after="0" w:before="0"/>
            </w:pPr>
            <w:r>
              <w:rPr>
                <w:rFonts w:ascii="Arial" w:cs="Arial" w:eastAsia="Arial" w:hAnsi="Arial"/>
                <w:color w:val="000000"/>
                <w:sz w:val="20"/>
                <w:szCs w:val="20"/>
              </w:rPr>
              <w:t xml:space="preserve">The open-weight model landscape will almost certainly shift during the 15-month AMC period. Without the LLM-agnostic layer, a model upgrade would require code changes, regression testing, and potentially a change request. With the abstraction layer, RITES IT staff can update the model configuration independently — it is a config file edit, not a software release. This directly satisfies the ATC2 requirement for "no vendor lock-in" and "vendor neutrality".</w:t>
            </w:r>
          </w:p>
        </w:tc>
      </w:tr>
    </w:tbl>
    <w:p>
      <w:pPr>
        <w:spacing w:after="60" w:before="0"/>
      </w:pPr>
      <w:r>
        <w:t xml:space="preserve"/>
      </w:r>
    </w:p>
    <w:p>
      <w:pPr>
        <w:pStyle w:val="Heading3"/>
        <w:spacing w:after="80" w:before="200"/>
      </w:pPr>
      <w:r>
        <w:rPr>
          <w:rFonts w:ascii="Arial" w:cs="Arial" w:eastAsia="Arial" w:hAnsi="Arial"/>
          <w:b/>
          <w:bCs/>
          <w:color w:val="1F3864"/>
          <w:sz w:val="24"/>
          <w:szCs w:val="24"/>
        </w:rPr>
        <w:t xml:space="preserve">Sarvam-M — The Indic Intelligence Layer</w:t>
      </w:r>
    </w:p>
    <w:p>
      <w:pPr>
        <w:spacing w:after="80" w:before="60"/>
      </w:pPr>
      <w:r>
        <w:rPr>
          <w:rFonts w:ascii="Arial" w:cs="Arial" w:eastAsia="Arial" w:hAnsi="Arial"/>
          <w:sz w:val="22"/>
          <w:szCs w:val="22"/>
        </w:rPr>
        <w:t xml:space="preserve">Sarvam-M is not just "optics for a GoI client." It is a technically justified choice for RITES specifically:</w:t>
      </w:r>
    </w:p>
    <w:p>
      <w:pPr>
        <w:pStyle w:val="ListParagraph"/>
        <w:numPr>
          <w:ilvl w:val="0"/>
          <w:numId w:val="2"/>
        </w:numPr>
        <w:spacing w:after="40" w:before="40"/>
      </w:pPr>
      <w:r>
        <w:rPr>
          <w:rFonts w:ascii="Arial" w:cs="Arial" w:eastAsia="Arial" w:hAnsi="Arial"/>
          <w:b/>
          <w:bCs/>
          <w:sz w:val="22"/>
          <w:szCs w:val="22"/>
        </w:rPr>
        <w:t xml:space="preserve">DPR multilingual content: </w:t>
      </w:r>
      <w:r>
        <w:rPr>
          <w:rFonts w:ascii="Arial" w:cs="Arial" w:eastAsia="Arial" w:hAnsi="Arial"/>
          <w:sz w:val="22"/>
          <w:szCs w:val="22"/>
        </w:rPr>
        <w:t xml:space="preserve">RITES DPRs contain Hindi section headings, state-specific place names, transliterated engineering terms, and occasionally full sections in regional languages. Sarvam-M delivers +86% improvement on Indic language GSM-8K benchmarks over its base model — no Western model matches this on Indian-language numerical content.</w:t>
      </w:r>
    </w:p>
    <w:p>
      <w:pPr>
        <w:pStyle w:val="ListParagraph"/>
        <w:numPr>
          <w:ilvl w:val="0"/>
          <w:numId w:val="2"/>
        </w:numPr>
        <w:spacing w:after="40" w:before="40"/>
      </w:pPr>
      <w:r>
        <w:rPr>
          <w:rFonts w:ascii="Arial" w:cs="Arial" w:eastAsia="Arial" w:hAnsi="Arial"/>
          <w:b/>
          <w:bCs/>
          <w:sz w:val="22"/>
          <w:szCs w:val="22"/>
        </w:rPr>
        <w:t xml:space="preserve">MeitY IndiaAI Mission backing: </w:t>
      </w:r>
      <w:r>
        <w:rPr>
          <w:rFonts w:ascii="Arial" w:cs="Arial" w:eastAsia="Arial" w:hAnsi="Arial"/>
          <w:sz w:val="22"/>
          <w:szCs w:val="22"/>
        </w:rPr>
        <w:t xml:space="preserve">Sarvam AI was selected by MeitY in April 2025 for the IndiaAI Mission indigenous foundational model initiative. Sarvam-M (Apache 2.0) and Sarvam 30B (Apache 2.0) were released at Bharat Mandapam in February 2026. Citing a MeitY-backed Indian AI model in a GoI technical proposal carries evaluator credibility that no foreign model can match.</w:t>
      </w:r>
    </w:p>
    <w:p>
      <w:pPr>
        <w:pStyle w:val="ListParagraph"/>
        <w:numPr>
          <w:ilvl w:val="0"/>
          <w:numId w:val="2"/>
        </w:numPr>
        <w:spacing w:after="40" w:before="40"/>
      </w:pPr>
      <w:r>
        <w:rPr>
          <w:rFonts w:ascii="Arial" w:cs="Arial" w:eastAsia="Arial" w:hAnsi="Arial"/>
          <w:b/>
          <w:bCs/>
          <w:sz w:val="22"/>
          <w:szCs w:val="22"/>
        </w:rPr>
        <w:t xml:space="preserve">Sarvam Vision for OCR: </w:t>
      </w:r>
      <w:r>
        <w:rPr>
          <w:rFonts w:ascii="Arial" w:cs="Arial" w:eastAsia="Arial" w:hAnsi="Arial"/>
          <w:sz w:val="22"/>
          <w:szCs w:val="22"/>
        </w:rPr>
        <w:t xml:space="preserve">Sarvam has also developed a vision-language model specifically for document understanding and OCR in Indian scripts — a direct complement to Granite-Docling-258M for DPRs with regional language annotations.</w:t>
      </w:r>
    </w:p>
    <w:p>
      <w:pPr>
        <w:pStyle w:val="ListParagraph"/>
        <w:numPr>
          <w:ilvl w:val="0"/>
          <w:numId w:val="2"/>
        </w:numPr>
        <w:spacing w:after="40" w:before="40"/>
      </w:pPr>
      <w:r>
        <w:rPr>
          <w:rFonts w:ascii="Arial" w:cs="Arial" w:eastAsia="Arial" w:hAnsi="Arial"/>
          <w:b/>
          <w:bCs/>
          <w:sz w:val="22"/>
          <w:szCs w:val="22"/>
        </w:rPr>
        <w:t xml:space="preserve">OpenAI-compatible via vLLM: </w:t>
      </w:r>
      <w:r>
        <w:rPr>
          <w:rFonts w:ascii="Arial" w:cs="Arial" w:eastAsia="Arial" w:hAnsi="Arial"/>
          <w:sz w:val="22"/>
          <w:szCs w:val="22"/>
        </w:rPr>
        <w:t xml:space="preserve">Sarvam-M is deployable via vLLM serve sarvamai/sarvam-m with an OpenAI-compatible endpoint. It plugs into the LiteLLM Proxy as a Tier 2 model with zero application code changes.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4.7  Knowledge Graph — The Context Engineering Layer</w:t>
      </w:r>
    </w:p>
    <w:p>
      <w:pPr>
        <w:spacing w:after="80" w:before="60"/>
      </w:pPr>
      <w:r>
        <w:rPr>
          <w:rFonts w:ascii="Arial" w:cs="Arial" w:eastAsia="Arial" w:hAnsi="Arial"/>
          <w:sz w:val="22"/>
          <w:szCs w:val="22"/>
        </w:rPr>
        <w:t xml:space="preserve">The KG diagram below shows the three-column structure of the PARAKH knowledge layer: the sector-specific ontologies on the left, the cross-sector dependency rules in the centre, and the context engineering pipeline on the right.</w:t>
      </w:r>
    </w:p>
    <w:p>
      <w:pPr>
        <w:spacing w:after="60" w:before="0"/>
      </w:pPr>
      <w:r>
        <w:t xml:space="preserve"/>
      </w:r>
    </w:p>
    <w:p>
      <w:pPr>
        <w:spacing w:after="60" w:before="120"/>
        <w:jc w:val="center"/>
      </w:pPr>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40005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4.4 — Knowledge Graph Architecture: Sector Ontologies, Dependency Rules, and Context Engineering</w:t>
      </w:r>
    </w:p>
    <w:p>
      <w:pPr>
        <w:spacing w:after="60" w:before="0"/>
      </w:pPr>
      <w:r>
        <w:t xml:space="preserve"/>
      </w:r>
    </w:p>
    <w:p>
      <w:pPr>
        <w:spacing w:after="80" w:before="60"/>
      </w:pPr>
      <w:r>
        <w:rPr>
          <w:rFonts w:ascii="Arial" w:cs="Arial" w:eastAsia="Arial" w:hAnsi="Arial"/>
          <w:sz w:val="22"/>
          <w:szCs w:val="22"/>
        </w:rPr>
        <w:t xml:space="preserve">The Knowledge Graph is PARAKH's key architectural differentiator. It allows PARAKH to provide explainable, RITES-approved, deterministic validation for 70–80% of all appraisal logic — with zero LLM involvement. Every validation result traces to a specific graph triple and the standard that informed 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360"/>
        <w:gridCol w:w="22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Sector KG</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Standards Encoded</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Dependency Rule Examples</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RITES Sign-off Constraint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 / Highway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IRC 37/58/81, MoRTH SOR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Pavement design → traffic survey required; CBR test → soil classification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working days from draft KG submission</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Bridge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IRC 6/21/78, IS 456, IS 2911, IRC 112</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Over-river → hydrology mandatory; High seismic zone → IS 13920 ductile detailing; Scour depth → foundation depth validation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 working days — highest complexity KG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RDSO standards, IRS codes, IS 1893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Formation width → track category; Earthwork → soil investigation; Level crossing → traffic survey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working days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Metro</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RDSO Metro, NBC, fire codes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Viaduct → vibration analysis; Underground station → fire load calculation; Seismic zone → IRS B1 loading</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 working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 IWT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MoPSW, IS 4651, PIANC, IRC 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Berth design → tidal data; Dredging → hydrographic survey; Capital cost → cargo projection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working days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Airport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AAI guidelines, ICAO Annex 14</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Pavement design → aircraft classification number; ILS → obstacle limitation surface survey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 working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Urban 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CPWD DSR, NBC, URDPFI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height → structural analysis; Fire exit → NBC compliance; Public space → URDPFI norms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working days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Tunnel</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IRC SP 91, NHAI, fire codes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Portal design → geological survey; Ventilation → traffic projections; Lining → geotechnical report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 working days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60"/>
            </w:tcMar>
          </w:tcPr>
          <w:p>
            <w:pPr>
              <w:spacing w:after="40" w:before="0"/>
            </w:pPr>
            <w:r>
              <w:rPr>
                <w:rFonts w:ascii="Arial" w:cs="Arial" w:eastAsia="Arial" w:hAnsi="Arial"/>
                <w:b/>
                <w:bCs/>
                <w:color w:val="2E75B6"/>
                <w:sz w:val="20"/>
                <w:szCs w:val="20"/>
              </w:rPr>
              <w:t xml:space="preserve">KG Bootstrap — GenAI Acceleration</w:t>
            </w:r>
          </w:p>
          <w:p>
            <w:pPr>
              <w:spacing w:after="0" w:before="0"/>
            </w:pPr>
            <w:r>
              <w:rPr>
                <w:rFonts w:ascii="Arial" w:cs="Arial" w:eastAsia="Arial" w:hAnsi="Arial"/>
                <w:color w:val="000000"/>
                <w:sz w:val="20"/>
                <w:szCs w:val="20"/>
              </w:rPr>
              <w:t xml:space="preserve">In the development environment (where external LLM APIs are permitted), we use Claude API and GPT-4 to accelerate KG construction: ~80% saving on standards text extraction, ~60% on RDF triple generation, ~50% on DMN rule table creation. The binding constraint on each sector KG is RITES SME sign-off — not our preparation time. GenAI acceleration means we arrive at the RITES review gate faster, maximising the time available for RITES review within the milestone schedule.</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4.8  Deployment Architecture</w:t>
      </w:r>
    </w:p>
    <w:p>
      <w:pPr>
        <w:spacing w:after="60" w:before="120"/>
        <w:jc w:val="center"/>
      </w:pPr>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40005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4.5 — Four-Environment Deployment Architecture (AI restrictions escalate from Dev to Production)</w:t>
      </w:r>
    </w:p>
    <w:p>
      <w:pPr>
        <w:spacing w:after="80" w:before="60"/>
      </w:pPr>
      <w:r>
        <w:rPr>
          <w:rFonts w:ascii="Arial" w:cs="Arial" w:eastAsia="Arial" w:hAnsi="Arial"/>
          <w:sz w:val="22"/>
          <w:szCs w:val="22"/>
        </w:rPr>
        <w:t xml:space="preserve">Four environments with escalating AI restrictions enforce the sovereign AI boundary as the platform progresses toward production. The critical path GPU dependency is explicitly flagged.</w:t>
      </w:r>
    </w:p>
    <w:p>
      <w:pPr>
        <w:spacing w:after="6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000"/>
        <w:gridCol w:w="2400"/>
        <w:gridCol w:w="15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Environment</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Infrastructure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AI/LLM</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GPU</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Constraint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cloud (AWS/Azure/GCP)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Unrestricted — Claude API, GPT-4, Gemini permitted as developer tools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 A100/H100 for fine-tuning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this is the commercial advantage environment for GenAI-accelerated KG bootstrap</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Staging</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Our team</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Our cloud — production-equivalent stack</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Self-hosted Gemma 4 + Sarvam-M ONLY. All external LLM endpoints blocked at LiteLLM Proxy.</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 A100 (our own)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external LLM calls. Anonymised/synthetic DPR data only — no real RITES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 / Pre-Production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 MeghRaj or RITES DC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Fine-tuned Gemma 4 ONLY — zero external API calls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A100 (RITES-procured)
CRITICAL PATH: 3–4 month lead time. Must procure at contract signing.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RITES data governance. CERT-In compliance. RITES UAT team participates.</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Production</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RITES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NIC MeghRaj or RITES DC</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Fine-tuned Gemma 4 ONLY — ZERO external API calls</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 A100 (RITES-procured)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≥99.5% uptime SLA. 5–10 min/1,000 pages OCR. 15–30 min/DPR appraisal.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60"/>
            </w:tcMar>
          </w:tcPr>
          <w:p>
            <w:pPr>
              <w:spacing w:after="40" w:before="0"/>
            </w:pPr>
            <w:r>
              <w:rPr>
                <w:rFonts w:ascii="Arial" w:cs="Arial" w:eastAsia="Arial" w:hAnsi="Arial"/>
                <w:b/>
                <w:bCs/>
                <w:color w:val="2E75B6"/>
                <w:sz w:val="20"/>
                <w:szCs w:val="20"/>
              </w:rPr>
              <w:t xml:space="preserve">GPU Procurement Critical Path</w:t>
            </w:r>
          </w:p>
          <w:p>
            <w:pPr>
              <w:spacing w:after="0" w:before="0"/>
            </w:pPr>
            <w:r>
              <w:rPr>
                <w:rFonts w:ascii="Arial" w:cs="Arial" w:eastAsia="Arial" w:hAnsi="Arial"/>
                <w:color w:val="000000"/>
                <w:sz w:val="20"/>
                <w:szCs w:val="20"/>
              </w:rPr>
              <w:t xml:space="preserve">NVIDIA A100 procurement lead time is typically 3–4 months in India. The UAT environment (D+5m) requires 1× A100 from RITES. This must be initiated at contract signing (Day 0) or the M3→M4 transition will be blocked. We will formally communicate this as a RITES dependency in the M1 SRS, with an agreed procurement timeline written into the dependency register.</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4.9  Security Architecture — Defence in Depth</w:t>
      </w:r>
    </w:p>
    <w:p>
      <w:pPr>
        <w:spacing w:after="60" w:before="120"/>
        <w:jc w:val="center"/>
      </w:pPr>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40005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4.6 — Security Architecture: Concentric Zone Model, OWASP Compliance, Sovereign AI Data Boundary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560"/>
        <w:gridCol w:w="22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Security Zone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Mechanisms</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Standards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Perimeter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 (Apache APISIX)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 DDoS mitigation, geographic access controls, TLS termination (1.3), certificate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API Security Top 10</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Keycloak (OAuth2/OIDC + SAML 2.0)</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MFA for Approver/SysAdmin roles, JWT token rotation (15 min expiry), session timeout (30 min idle), RBAC + ABAC</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OAuth2, SAML 2.0, PKCE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services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validation and sanitisation on all endpoints, CSRF protection, CSP headers, SQL injection prevention via ORM, XSS prevention via React templating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Top 10 Web</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AI/LLM Boundary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LiteLLM Proxy</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Sovereign AI enforcement: all external LLM endpoints blocked in Staging+. Prompt injection detection. Output validation before storage. Rate limiting on inference API.</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OWASP Top 10 for LLMs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SeaweedFS + Qdrant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AES-256 encryption at rest. TLS 1.3 in transit. Encryption keys in OpenBao (HashiCorp Vault Apache 2.0 fork). PII masking in non-production environments. Row-level security in 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27001, AES-256</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Audit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OpenSearch SIEM</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Real-time streaming of all significant actions. Immutable audit log (no admin can delete). Anomaly detection on access patterns. Incident alerting within 15 minutes of Critical event.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ISO 27001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1F3864" w:sz="1"/>
              <w:left w:val="single" w:color="1F3864" w:sz="1"/>
              <w:bottom w:val="single" w:color="1F3864" w:sz="1"/>
              <w:right w:val="single" w:color="1F3864" w:sz="1"/>
            </w:tcBorders>
            <w:shd w:fill="D6E4F0" w:val="clear"/>
            <w:tcMar>
              <w:top w:type="dxa" w:w="100"/>
              <w:left w:type="dxa" w:w="200"/>
              <w:bottom w:type="dxa" w:w="100"/>
              <w:right w:type="dxa" w:w="120"/>
            </w:tcMar>
            <w:vAlign w:val="center"/>
          </w:tcPr>
          <w:p>
            <w:r>
              <w:rPr>
                <w:rFonts w:ascii="Arial" w:cs="Arial" w:eastAsia="Arial" w:hAnsi="Arial"/>
                <w:b/>
                <w:bCs/>
                <w:color w:val="1F3864"/>
                <w:sz w:val="26"/>
                <w:szCs w:val="26"/>
              </w:rPr>
              <w:t xml:space="preserve">Module-Wise Solution Design</w:t>
            </w:r>
          </w:p>
        </w:tc>
      </w:tr>
    </w:tbl>
    <w:p>
      <w:pPr>
        <w:spacing w:after="60" w:before="0"/>
      </w:pPr>
      <w:r>
        <w:t xml:space="preserve"/>
      </w:r>
    </w:p>
    <w:p>
      <w:pPr>
        <w:spacing w:after="80" w:before="60"/>
      </w:pPr>
      <w:r>
        <w:rPr>
          <w:rFonts w:ascii="Arial" w:cs="Arial" w:eastAsia="Arial" w:hAnsi="Arial"/>
          <w:sz w:val="22"/>
          <w:szCs w:val="22"/>
        </w:rPr>
        <w:t xml:space="preserve">This section describes how each of the 16 modules in Annexure 12 is designed in PARAKH — covering purpose, key design decisions, inter-module dependencies, and how it addresses specific RITES appraisal challenges.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M1 — Admin, Users, Roles &amp; Governance</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"Who can do what, and who is accountable for which part of the appraisal?"</w:t>
      </w:r>
    </w:p>
    <w:p>
      <w:pPr>
        <w:pStyle w:val="ListParagraph"/>
        <w:numPr>
          <w:ilvl w:val="0"/>
          <w:numId w:val="2"/>
        </w:numPr>
        <w:spacing w:after="40" w:before="40"/>
      </w:pPr>
      <w:r>
        <w:rPr>
          <w:rFonts w:ascii="Arial" w:cs="Arial" w:eastAsia="Arial" w:hAnsi="Arial"/>
          <w:b/>
          <w:bCs/>
          <w:sz w:val="22"/>
          <w:szCs w:val="22"/>
        </w:rPr>
        <w:t xml:space="preserve">Identity &amp; SSO: </w:t>
      </w:r>
      <w:r>
        <w:rPr>
          <w:rFonts w:ascii="Arial" w:cs="Arial" w:eastAsia="Arial" w:hAnsi="Arial"/>
          <w:sz w:val="22"/>
          <w:szCs w:val="22"/>
        </w:rPr>
        <w:t xml:space="preserve">Keycloak (Apache 2.0) with OAuth2/OIDC and SAML 2.0. MFA mandatory for Approver and System Admin roles. Bulk user import via CSV/Excel. Local fallback authentication.</w:t>
      </w:r>
    </w:p>
    <w:p>
      <w:pPr>
        <w:pStyle w:val="ListParagraph"/>
        <w:numPr>
          <w:ilvl w:val="0"/>
          <w:numId w:val="2"/>
        </w:numPr>
        <w:spacing w:after="40" w:before="40"/>
      </w:pPr>
      <w:r>
        <w:rPr>
          <w:rFonts w:ascii="Arial" w:cs="Arial" w:eastAsia="Arial" w:hAnsi="Arial"/>
          <w:b/>
          <w:bCs/>
          <w:sz w:val="22"/>
          <w:szCs w:val="22"/>
        </w:rPr>
        <w:t xml:space="preserve">RBAC + ABAC: </w:t>
      </w:r>
      <w:r>
        <w:rPr>
          <w:rFonts w:ascii="Arial" w:cs="Arial" w:eastAsia="Arial" w:hAnsi="Arial"/>
          <w:sz w:val="22"/>
          <w:szCs w:val="22"/>
        </w:rPr>
        <w:t xml:space="preserve">Nine pre-configured roles from dpr_author to approver. Roles assignable at platform, project, DPR, and section level. ABAC extensions for sector-specific data access. Permission changes take effect at runtime without service restart.</w:t>
      </w:r>
    </w:p>
    <w:p>
      <w:pPr>
        <w:pStyle w:val="ListParagraph"/>
        <w:numPr>
          <w:ilvl w:val="0"/>
          <w:numId w:val="2"/>
        </w:numPr>
        <w:spacing w:after="40" w:before="40"/>
      </w:pPr>
      <w:r>
        <w:rPr>
          <w:rFonts w:ascii="Arial" w:cs="Arial" w:eastAsia="Arial" w:hAnsi="Arial"/>
          <w:b/>
          <w:bCs/>
          <w:sz w:val="22"/>
          <w:szCs w:val="22"/>
        </w:rPr>
        <w:t xml:space="preserve">Immutable Audit Trail: </w:t>
      </w:r>
      <w:r>
        <w:rPr>
          <w:rFonts w:ascii="Arial" w:cs="Arial" w:eastAsia="Arial" w:hAnsi="Arial"/>
          <w:sz w:val="22"/>
          <w:szCs w:val="22"/>
        </w:rPr>
        <w:t xml:space="preserve">All significant actions logged with user ID, role at time of action, entity ID, before/after values, timestamp (UTC), IP address. Streamed in real time to OpenSearch SIEM. No administrator can modify or delete audit logs.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M2 — Master Data Management</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"What are the standardised reference elements the platform uses across all modules?"</w:t>
      </w:r>
    </w:p>
    <w:p>
      <w:pPr>
        <w:pStyle w:val="ListParagraph"/>
        <w:numPr>
          <w:ilvl w:val="0"/>
          <w:numId w:val="2"/>
        </w:numPr>
        <w:spacing w:after="40" w:before="40"/>
      </w:pPr>
      <w:r>
        <w:rPr>
          <w:rFonts w:ascii="Arial" w:cs="Arial" w:eastAsia="Arial" w:hAnsi="Arial"/>
          <w:b/>
          <w:bCs/>
          <w:sz w:val="22"/>
          <w:szCs w:val="22"/>
        </w:rPr>
        <w:t xml:space="preserve">13 Sectors + 4 Project Types: </w:t>
      </w:r>
      <w:r>
        <w:rPr>
          <w:rFonts w:ascii="Arial" w:cs="Arial" w:eastAsia="Arial" w:hAnsi="Arial"/>
          <w:sz w:val="22"/>
          <w:szCs w:val="22"/>
        </w:rPr>
        <w:t xml:space="preserve">Configurable without code. New sectors addable by administrators. Each sector links to applicable templates, validation rules, scoring frameworks.</w:t>
      </w:r>
    </w:p>
    <w:p>
      <w:pPr>
        <w:pStyle w:val="ListParagraph"/>
        <w:numPr>
          <w:ilvl w:val="0"/>
          <w:numId w:val="2"/>
        </w:numPr>
        <w:spacing w:after="40" w:before="40"/>
      </w:pPr>
      <w:r>
        <w:rPr>
          <w:rFonts w:ascii="Arial" w:cs="Arial" w:eastAsia="Arial" w:hAnsi="Arial"/>
          <w:b/>
          <w:bCs/>
          <w:sz w:val="22"/>
          <w:szCs w:val="22"/>
        </w:rPr>
        <w:t xml:space="preserve">Site &amp; Context Masters (key for KG integration): </w:t>
      </w:r>
      <w:r>
        <w:rPr>
          <w:rFonts w:ascii="Arial" w:cs="Arial" w:eastAsia="Arial" w:hAnsi="Arial"/>
          <w:sz w:val="22"/>
          <w:szCs w:val="22"/>
        </w:rPr>
        <w:t xml:space="preserve">Terrain (Plain/Hilly/Mountainous/Coastal/Floodplain), Climate Zone (seismic, wind, rainfall, temperature), Soil &amp; Geotechnical (SBC, N-value, liquefaction flag), Hydrology (scour risk, flood return period, river regime), Site Constraints. These masters are the input parameters that activate the Ontology dependency rules in M6.</w:t>
      </w:r>
    </w:p>
    <w:p>
      <w:pPr>
        <w:pStyle w:val="ListParagraph"/>
        <w:numPr>
          <w:ilvl w:val="0"/>
          <w:numId w:val="2"/>
        </w:numPr>
        <w:spacing w:after="40" w:before="40"/>
      </w:pPr>
      <w:r>
        <w:rPr>
          <w:rFonts w:ascii="Arial" w:cs="Arial" w:eastAsia="Arial" w:hAnsi="Arial"/>
          <w:b/>
          <w:bCs/>
          <w:sz w:val="22"/>
          <w:szCs w:val="22"/>
        </w:rPr>
        <w:t xml:space="preserve">Standards Library: </w:t>
      </w:r>
      <w:r>
        <w:rPr>
          <w:rFonts w:ascii="Arial" w:cs="Arial" w:eastAsia="Arial" w:hAnsi="Arial"/>
          <w:sz w:val="22"/>
          <w:szCs w:val="22"/>
        </w:rPr>
        <w:t xml:space="preserve">Each standard stored with code, issuing body, version, sector applicability, validity status. Used by M10 Technical Validation for standards-based checks.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M3 — DPR Template Creation Engine</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"What should a DPR contain, and how should it be structured?"</w:t>
      </w:r>
    </w:p>
    <w:p>
      <w:pPr>
        <w:pStyle w:val="ListParagraph"/>
        <w:numPr>
          <w:ilvl w:val="0"/>
          <w:numId w:val="2"/>
        </w:numPr>
        <w:spacing w:after="40" w:before="40"/>
      </w:pPr>
      <w:r>
        <w:rPr>
          <w:rFonts w:ascii="Arial" w:cs="Arial" w:eastAsia="Arial" w:hAnsi="Arial"/>
          <w:b/>
          <w:bCs/>
          <w:sz w:val="22"/>
          <w:szCs w:val="22"/>
        </w:rPr>
        <w:t xml:space="preserve">4-Level Hierarchy: </w:t>
      </w:r>
      <w:r>
        <w:rPr>
          <w:rFonts w:ascii="Arial" w:cs="Arial" w:eastAsia="Arial" w:hAnsi="Arial"/>
          <w:sz w:val="22"/>
          <w:szCs w:val="22"/>
        </w:rPr>
        <w:t xml:space="preserve">Template → Chapter → Section → Sub-section. Additional levels configurable. Conditional field visibility driven by Site Context master values — activates immediately on project creation.</w:t>
      </w:r>
    </w:p>
    <w:p>
      <w:pPr>
        <w:pStyle w:val="ListParagraph"/>
        <w:numPr>
          <w:ilvl w:val="0"/>
          <w:numId w:val="2"/>
        </w:numPr>
        <w:spacing w:after="40" w:before="40"/>
      </w:pPr>
      <w:r>
        <w:rPr>
          <w:rFonts w:ascii="Arial" w:cs="Arial" w:eastAsia="Arial" w:hAnsi="Arial"/>
          <w:b/>
          <w:bCs/>
          <w:sz w:val="22"/>
          <w:szCs w:val="22"/>
        </w:rPr>
        <w:t xml:space="preserve">Calculated Columns &amp; Cross-Section References: </w:t>
      </w:r>
      <w:r>
        <w:rPr>
          <w:rFonts w:ascii="Arial" w:cs="Arial" w:eastAsia="Arial" w:hAnsi="Arial"/>
          <w:sz w:val="22"/>
          <w:szCs w:val="22"/>
        </w:rPr>
        <w:t xml:space="preserve">BOQ tables can auto-compute totals. Cost summary cells can reference BOQ totals across sections. Formula errors surfaced to author immediately.</w:t>
      </w:r>
    </w:p>
    <w:p>
      <w:pPr>
        <w:pStyle w:val="ListParagraph"/>
        <w:numPr>
          <w:ilvl w:val="0"/>
          <w:numId w:val="2"/>
        </w:numPr>
        <w:spacing w:after="40" w:before="40"/>
      </w:pPr>
      <w:r>
        <w:rPr>
          <w:rFonts w:ascii="Arial" w:cs="Arial" w:eastAsia="Arial" w:hAnsi="Arial"/>
          <w:b/>
          <w:bCs/>
          <w:sz w:val="22"/>
          <w:szCs w:val="22"/>
        </w:rPr>
        <w:t xml:space="preserve">Attachment Requirements: </w:t>
      </w:r>
      <w:r>
        <w:rPr>
          <w:rFonts w:ascii="Arial" w:cs="Arial" w:eastAsia="Arial" w:hAnsi="Arial"/>
          <w:sz w:val="22"/>
          <w:szCs w:val="22"/>
        </w:rPr>
        <w:t xml:space="preserve">Templates specify mandatory/conditional attachments per section. Completeness engine (M9) checks these before DPR proceeds to appraisal. Default formats: PDF, DOCX, XLSX, DWG, DXF, JPG, PNG, GeoTIFF, IFC, KML, GeoJSON, SHP.</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M4 — Role-to-DPR Mapping</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"Who is responsible for which part of the DPR?"</w:t>
      </w:r>
    </w:p>
    <w:p>
      <w:pPr>
        <w:pStyle w:val="ListParagraph"/>
        <w:numPr>
          <w:ilvl w:val="0"/>
          <w:numId w:val="2"/>
        </w:numPr>
        <w:spacing w:after="40" w:before="40"/>
      </w:pPr>
      <w:r>
        <w:rPr>
          <w:rFonts w:ascii="Arial" w:cs="Arial" w:eastAsia="Arial" w:hAnsi="Arial"/>
          <w:b/>
          <w:bCs/>
          <w:sz w:val="22"/>
          <w:szCs w:val="22"/>
        </w:rPr>
        <w:t xml:space="preserve">Appraisal Readiness Indicator: </w:t>
      </w:r>
      <w:r>
        <w:rPr>
          <w:rFonts w:ascii="Arial" w:cs="Arial" w:eastAsia="Arial" w:hAnsi="Arial"/>
          <w:sz w:val="22"/>
          <w:szCs w:val="22"/>
        </w:rPr>
        <w:t xml:space="preserve">Per-DPR metric showing: % mandatory sections submitted, % reviewed, number of open blocking issues. RITES PMU can view this for all active DPRs in the portfolio dashboard.</w:t>
      </w:r>
    </w:p>
    <w:p>
      <w:pPr>
        <w:pStyle w:val="ListParagraph"/>
        <w:numPr>
          <w:ilvl w:val="0"/>
          <w:numId w:val="2"/>
        </w:numPr>
        <w:spacing w:after="40" w:before="40"/>
      </w:pPr>
      <w:r>
        <w:rPr>
          <w:rFonts w:ascii="Arial" w:cs="Arial" w:eastAsia="Arial" w:hAnsi="Arial"/>
          <w:b/>
          <w:bCs/>
          <w:sz w:val="22"/>
          <w:szCs w:val="22"/>
        </w:rPr>
        <w:t xml:space="preserve">Configurable Notification Triggers: </w:t>
      </w:r>
      <w:r>
        <w:rPr>
          <w:rFonts w:ascii="Arial" w:cs="Arial" w:eastAsia="Arial" w:hAnsi="Arial"/>
          <w:sz w:val="22"/>
          <w:szCs w:val="22"/>
        </w:rPr>
        <w:t xml:space="preserve">Section assigned, deadline approaching (configurable lead time), section not submitted after deadline, section returned, issue raised, approval required. Email + in-platform. Templates configurable by administrators.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M5 — Dictionary &amp; Standards Repository</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"What do the terms and standards in this DPR mean, and what references should inputs comply with?"</w:t>
      </w:r>
    </w:p>
    <w:p>
      <w:pPr>
        <w:pStyle w:val="ListParagraph"/>
        <w:numPr>
          <w:ilvl w:val="0"/>
          <w:numId w:val="2"/>
        </w:numPr>
        <w:spacing w:after="40" w:before="40"/>
      </w:pPr>
      <w:r>
        <w:rPr>
          <w:rFonts w:ascii="Arial" w:cs="Arial" w:eastAsia="Arial" w:hAnsi="Arial"/>
          <w:b/>
          <w:bCs/>
          <w:sz w:val="22"/>
          <w:szCs w:val="22"/>
        </w:rPr>
        <w:t xml:space="preserve">Inline Dictionary Lookup: </w:t>
      </w:r>
      <w:r>
        <w:rPr>
          <w:rFonts w:ascii="Arial" w:cs="Arial" w:eastAsia="Arial" w:hAnsi="Arial"/>
          <w:sz w:val="22"/>
          <w:szCs w:val="22"/>
        </w:rPr>
        <w:t xml:space="preserve">During DPR authoring, hovering over flagged technical terms shows definition, applicability, and standard references. RITES-approved vocabulary only.</w:t>
      </w:r>
    </w:p>
    <w:p>
      <w:pPr>
        <w:pStyle w:val="ListParagraph"/>
        <w:numPr>
          <w:ilvl w:val="0"/>
          <w:numId w:val="2"/>
        </w:numPr>
        <w:spacing w:after="40" w:before="40"/>
      </w:pPr>
      <w:r>
        <w:rPr>
          <w:rFonts w:ascii="Arial" w:cs="Arial" w:eastAsia="Arial" w:hAnsi="Arial"/>
          <w:b/>
          <w:bCs/>
          <w:sz w:val="22"/>
          <w:szCs w:val="22"/>
        </w:rPr>
        <w:t xml:space="preserve">Parameter Reference Ranges: </w:t>
      </w:r>
      <w:r>
        <w:rPr>
          <w:rFonts w:ascii="Arial" w:cs="Arial" w:eastAsia="Arial" w:hAnsi="Arial"/>
          <w:sz w:val="22"/>
          <w:szCs w:val="22"/>
        </w:rPr>
        <w:t xml:space="preserve">IS reinforcement diameters, concrete grades M15–M80, pavement layer thickness ranges, foundation type applicability by SBC. Used by M10 Technical Validation.</w:t>
      </w:r>
    </w:p>
    <w:p>
      <w:pPr>
        <w:pStyle w:val="ListParagraph"/>
        <w:numPr>
          <w:ilvl w:val="0"/>
          <w:numId w:val="2"/>
        </w:numPr>
        <w:spacing w:after="40" w:before="40"/>
      </w:pPr>
      <w:r>
        <w:rPr>
          <w:rFonts w:ascii="Arial" w:cs="Arial" w:eastAsia="Arial" w:hAnsi="Arial"/>
          <w:b/>
          <w:bCs/>
          <w:sz w:val="22"/>
          <w:szCs w:val="22"/>
        </w:rPr>
        <w:t xml:space="preserve">Cost Head Hierarchy: </w:t>
      </w:r>
      <w:r>
        <w:rPr>
          <w:rFonts w:ascii="Arial" w:cs="Arial" w:eastAsia="Arial" w:hAnsi="Arial"/>
          <w:sz w:val="22"/>
          <w:szCs w:val="22"/>
        </w:rPr>
        <w:t xml:space="preserve">Major Head → Sub-Head → Line Item per sector, aligned with CPWD/MoRTH/Railway classification systems. Used for BOQ-to-summary cross-verification in M11.</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M6 — Ontology &amp; Dependency Framework</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"How are different parameters in a DPR related to each other — and what does the presence or absence of one imply for others?"</w:t>
      </w:r>
    </w:p>
    <w:p>
      <w:pPr>
        <w:spacing w:after="80" w:before="60"/>
      </w:pPr>
      <w:r>
        <w:rPr>
          <w:rFonts w:ascii="Arial" w:cs="Arial" w:eastAsia="Arial" w:hAnsi="Arial"/>
          <w:sz w:val="22"/>
          <w:szCs w:val="22"/>
        </w:rPr>
        <w:t xml:space="preserve">This is the primary validation engine in PARAKH. Refer to §4.7 for the full KG architecture and §4.5.1 for the compute rationale. Key design points:</w:t>
      </w:r>
    </w:p>
    <w:p>
      <w:pPr>
        <w:pStyle w:val="ListParagraph"/>
        <w:numPr>
          <w:ilvl w:val="0"/>
          <w:numId w:val="2"/>
        </w:numPr>
        <w:spacing w:after="40" w:before="40"/>
      </w:pPr>
      <w:r>
        <w:rPr>
          <w:rFonts w:ascii="Arial" w:cs="Arial" w:eastAsia="Arial" w:hAnsi="Arial"/>
          <w:b/>
          <w:bCs/>
          <w:sz w:val="22"/>
          <w:szCs w:val="22"/>
        </w:rPr>
        <w:t xml:space="preserve">OWL/RDF + Apache Jena: </w:t>
      </w:r>
      <w:r>
        <w:rPr>
          <w:rFonts w:ascii="Arial" w:cs="Arial" w:eastAsia="Arial" w:hAnsi="Arial"/>
          <w:sz w:val="22"/>
          <w:szCs w:val="22"/>
        </w:rPr>
        <w:t xml:space="preserve">Open W3C standards. Every triple inspectable by RITES administrators. SPARQL queries human-readable. Version-controlled in GitLab CE.</w:t>
      </w:r>
    </w:p>
    <w:p>
      <w:pPr>
        <w:pStyle w:val="ListParagraph"/>
        <w:numPr>
          <w:ilvl w:val="0"/>
          <w:numId w:val="2"/>
        </w:numPr>
        <w:spacing w:after="40" w:before="40"/>
      </w:pPr>
      <w:r>
        <w:rPr>
          <w:rFonts w:ascii="Arial" w:cs="Arial" w:eastAsia="Arial" w:hAnsi="Arial"/>
          <w:b/>
          <w:bCs/>
          <w:sz w:val="22"/>
          <w:szCs w:val="22"/>
        </w:rPr>
        <w:t xml:space="preserve">8 Sector Ontologies, RITES SME sign-off per sector: </w:t>
      </w:r>
      <w:r>
        <w:rPr>
          <w:rFonts w:ascii="Arial" w:cs="Arial" w:eastAsia="Arial" w:hAnsi="Arial"/>
          <w:sz w:val="22"/>
          <w:szCs w:val="22"/>
        </w:rPr>
        <w:t xml:space="preserve">See §4.7 table. Each sector KG is a separate approval exercise. Sign-off is the binding constraint, not our preparation.</w:t>
      </w:r>
    </w:p>
    <w:p>
      <w:pPr>
        <w:pStyle w:val="ListParagraph"/>
        <w:numPr>
          <w:ilvl w:val="0"/>
          <w:numId w:val="2"/>
        </w:numPr>
        <w:spacing w:after="40" w:before="40"/>
      </w:pPr>
      <w:r>
        <w:rPr>
          <w:rFonts w:ascii="Arial" w:cs="Arial" w:eastAsia="Arial" w:hAnsi="Arial"/>
          <w:b/>
          <w:bCs/>
          <w:sz w:val="22"/>
          <w:szCs w:val="22"/>
        </w:rPr>
        <w:t xml:space="preserve">100+ pre-configured dependency rules at Go-Live: </w:t>
      </w:r>
      <w:r>
        <w:rPr>
          <w:rFonts w:ascii="Arial" w:cs="Arial" w:eastAsia="Arial" w:hAnsi="Arial"/>
          <w:sz w:val="22"/>
          <w:szCs w:val="22"/>
        </w:rPr>
        <w:t xml:space="preserve">Additional rules configurable by authorised administrators via admin web UI, expressed in Drools DRL or YAML/JSON rule schema. No code deployment required.</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M7 — Historical DPR Repository &amp; Benchmarking</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"How does this DPR compare to past projects — and what can we learn from them?"</w:t>
      </w:r>
    </w:p>
    <w:p>
      <w:pPr>
        <w:pStyle w:val="ListParagraph"/>
        <w:numPr>
          <w:ilvl w:val="0"/>
          <w:numId w:val="2"/>
        </w:numPr>
        <w:spacing w:after="40" w:before="40"/>
      </w:pPr>
      <w:r>
        <w:rPr>
          <w:rFonts w:ascii="Arial" w:cs="Arial" w:eastAsia="Arial" w:hAnsi="Arial"/>
          <w:b/>
          <w:bCs/>
          <w:sz w:val="22"/>
          <w:szCs w:val="22"/>
        </w:rPr>
        <w:t xml:space="preserve">DPR Classification &amp; Tagging: </w:t>
      </w:r>
      <w:r>
        <w:rPr>
          <w:rFonts w:ascii="Arial" w:cs="Arial" w:eastAsia="Arial" w:hAnsi="Arial"/>
          <w:sz w:val="22"/>
          <w:szCs w:val="22"/>
        </w:rPr>
        <w:t xml:space="preserve">Each historical DPR tagged with sector, project type, geography, scale (cost band, length, capacity), quality classification, and project outcome. These tags enable segmented benchmark computation.</w:t>
      </w:r>
    </w:p>
    <w:p>
      <w:pPr>
        <w:pStyle w:val="ListParagraph"/>
        <w:numPr>
          <w:ilvl w:val="0"/>
          <w:numId w:val="2"/>
        </w:numPr>
        <w:spacing w:after="40" w:before="40"/>
      </w:pPr>
      <w:r>
        <w:rPr>
          <w:rFonts w:ascii="Arial" w:cs="Arial" w:eastAsia="Arial" w:hAnsi="Arial"/>
          <w:b/>
          <w:bCs/>
          <w:sz w:val="22"/>
          <w:szCs w:val="22"/>
        </w:rPr>
        <w:t xml:space="preserve">Benchmark Computation: </w:t>
      </w:r>
      <w:r>
        <w:rPr>
          <w:rFonts w:ascii="Arial" w:cs="Arial" w:eastAsia="Arial" w:hAnsi="Arial"/>
          <w:sz w:val="22"/>
          <w:szCs w:val="22"/>
        </w:rPr>
        <w:t xml:space="preserve">Cost per unit by project type/terrain/geography. Configurable statistical methods: mean ± N std dev, P10–P90 percentile bands, IQR ranges. Overridable by RITES-approved manual values.</w:t>
      </w:r>
    </w:p>
    <w:p>
      <w:pPr>
        <w:pStyle w:val="ListParagraph"/>
        <w:numPr>
          <w:ilvl w:val="0"/>
          <w:numId w:val="2"/>
        </w:numPr>
        <w:spacing w:after="40" w:before="40"/>
      </w:pPr>
      <w:r>
        <w:rPr>
          <w:rFonts w:ascii="Arial" w:cs="Arial" w:eastAsia="Arial" w:hAnsi="Arial"/>
          <w:b/>
          <w:bCs/>
          <w:sz w:val="22"/>
          <w:szCs w:val="22"/>
        </w:rPr>
        <w:t xml:space="preserve">Vector Similarity Search: </w:t>
      </w:r>
      <w:r>
        <w:rPr>
          <w:rFonts w:ascii="Arial" w:cs="Arial" w:eastAsia="Arial" w:hAnsi="Arial"/>
          <w:sz w:val="22"/>
          <w:szCs w:val="22"/>
        </w:rPr>
        <w:t xml:space="preserve">Qdrant semantic search over structured DPR parameters — find DPRs with similar soil conditions, terrain, and project scale. Every benchmark comparison includes which projects form the benchmark group and what method was used.</w:t>
      </w:r>
    </w:p>
    <w:p>
      <w:pPr>
        <w:pStyle w:val="ListParagraph"/>
        <w:numPr>
          <w:ilvl w:val="0"/>
          <w:numId w:val="2"/>
        </w:numPr>
        <w:spacing w:after="40" w:before="40"/>
      </w:pPr>
      <w:r>
        <w:rPr>
          <w:rFonts w:ascii="Arial" w:cs="Arial" w:eastAsia="Arial" w:hAnsi="Arial"/>
          <w:b/>
          <w:bCs/>
          <w:sz w:val="22"/>
          <w:szCs w:val="22"/>
        </w:rPr>
        <w:t xml:space="preserve">Pattern Recognition: </w:t>
      </w:r>
      <w:r>
        <w:rPr>
          <w:rFonts w:ascii="Arial" w:cs="Arial" w:eastAsia="Arial" w:hAnsi="Arial"/>
          <w:sz w:val="22"/>
          <w:szCs w:val="22"/>
        </w:rPr>
        <w:t xml:space="preserve">Most frequently missing sections by sector, most common anomaly types, typical revision reasons. Surfaced as inline guidance during DPR authoring.</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M8 — DPR Authoring / Submission Interface</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"How is a DPR prepared and submitted — and how does the platform guide the author toward a complete, high-quality submission?"</w:t>
      </w:r>
    </w:p>
    <w:p>
      <w:pPr>
        <w:pStyle w:val="ListParagraph"/>
        <w:numPr>
          <w:ilvl w:val="0"/>
          <w:numId w:val="2"/>
        </w:numPr>
        <w:spacing w:after="40" w:before="40"/>
      </w:pPr>
      <w:r>
        <w:rPr>
          <w:rFonts w:ascii="Arial" w:cs="Arial" w:eastAsia="Arial" w:hAnsi="Arial"/>
          <w:b/>
          <w:bCs/>
          <w:sz w:val="22"/>
          <w:szCs w:val="22"/>
        </w:rPr>
        <w:t xml:space="preserve">Site Context First: </w:t>
      </w:r>
      <w:r>
        <w:rPr>
          <w:rFonts w:ascii="Arial" w:cs="Arial" w:eastAsia="Arial" w:hAnsi="Arial"/>
          <w:sz w:val="22"/>
          <w:szCs w:val="22"/>
        </w:rPr>
        <w:t xml:space="preserve">DPR authoring begins with a Site Context form. Values entered immediately activate the dependency framework — determining which sections are mandatory, optional, or conditional for this specific project. A bridge DPR on a river in Seismic Zone IV will have different mandatory sections than a bridge on a road in Zone II.</w:t>
      </w:r>
    </w:p>
    <w:p>
      <w:pPr>
        <w:pStyle w:val="ListParagraph"/>
        <w:numPr>
          <w:ilvl w:val="0"/>
          <w:numId w:val="2"/>
        </w:numPr>
        <w:spacing w:after="40" w:before="40"/>
      </w:pPr>
      <w:r>
        <w:rPr>
          <w:rFonts w:ascii="Arial" w:cs="Arial" w:eastAsia="Arial" w:hAnsi="Arial"/>
          <w:b/>
          <w:bCs/>
          <w:sz w:val="22"/>
          <w:szCs w:val="22"/>
        </w:rPr>
        <w:t xml:space="preserve">Inline Benchmarks &amp; Pattern Guidance: </w:t>
      </w:r>
      <w:r>
        <w:rPr>
          <w:rFonts w:ascii="Arial" w:cs="Arial" w:eastAsia="Arial" w:hAnsi="Arial"/>
          <w:sz w:val="22"/>
          <w:szCs w:val="22"/>
        </w:rPr>
        <w:t xml:space="preserve">As the author enters values, benchmark ranges from comparable historical DPRs are shown inline (e.g., "Typical CBR for alluvial plains: 3–6%. Your value: 2.1% — below typical range").</w:t>
      </w:r>
    </w:p>
    <w:p>
      <w:pPr>
        <w:pStyle w:val="ListParagraph"/>
        <w:numPr>
          <w:ilvl w:val="0"/>
          <w:numId w:val="2"/>
        </w:numPr>
        <w:spacing w:after="40" w:before="40"/>
      </w:pPr>
      <w:r>
        <w:rPr>
          <w:rFonts w:ascii="Arial" w:cs="Arial" w:eastAsia="Arial" w:hAnsi="Arial"/>
          <w:b/>
          <w:bCs/>
          <w:sz w:val="22"/>
          <w:szCs w:val="22"/>
        </w:rPr>
        <w:t xml:space="preserve">Version Control + Diff View: </w:t>
      </w:r>
      <w:r>
        <w:rPr>
          <w:rFonts w:ascii="Arial" w:cs="Arial" w:eastAsia="Arial" w:hAnsi="Arial"/>
          <w:sz w:val="22"/>
          <w:szCs w:val="22"/>
        </w:rPr>
        <w:t xml:space="preserve">Every formal submission creates an immutable version. Side-by-side diff between versions at section and field level. Non-destructive restore of any previous version as a new draft.</w:t>
      </w:r>
    </w:p>
    <w:p>
      <w:pPr>
        <w:pStyle w:val="ListParagraph"/>
        <w:numPr>
          <w:ilvl w:val="0"/>
          <w:numId w:val="2"/>
        </w:numPr>
        <w:spacing w:after="40" w:before="40"/>
      </w:pPr>
      <w:r>
        <w:rPr>
          <w:rFonts w:ascii="Arial" w:cs="Arial" w:eastAsia="Arial" w:hAnsi="Arial"/>
          <w:b/>
          <w:bCs/>
          <w:sz w:val="22"/>
          <w:szCs w:val="22"/>
        </w:rPr>
        <w:t xml:space="preserve">4-Scenario Comparison: </w:t>
      </w:r>
      <w:r>
        <w:rPr>
          <w:rFonts w:ascii="Arial" w:cs="Arial" w:eastAsia="Arial" w:hAnsi="Arial"/>
          <w:sz w:val="22"/>
          <w:szCs w:val="22"/>
        </w:rPr>
        <w:t xml:space="preserve">Design alternatives (alignment options, structural configurations) can be created and compared side-by-side with key parameter and cost differences highlighted.</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M9 — Completeness Validation Engine</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"Is this DPR complete — structurally, logically, and from all required stakeholders?"</w:t>
      </w:r>
    </w:p>
    <w:p>
      <w:pPr>
        <w:spacing w:after="80" w:before="60"/>
      </w:pPr>
      <w:r>
        <w:rPr>
          <w:rFonts w:ascii="Arial" w:cs="Arial" w:eastAsia="Arial" w:hAnsi="Arial"/>
          <w:sz w:val="22"/>
          <w:szCs w:val="22"/>
        </w:rPr>
        <w:t xml:space="preserve">Five types of completeness check, each targeting a different category of gap found in real-world DPR appraisal: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Check Type</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Catches</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Enabled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Completeness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sections absent or empty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 Template Engine — mandatory field definitions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Field &amp; Table Completeness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Partially filled tables; mandatory fields blank; calculated fields with null dependencies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M3 table schema definitions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Completeness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Assigned departments have not submitted their sections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 Role-to-DPR Mapping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Attachment Completeness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Required supporting documents not uploaded</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M3 attachment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Dependency-Based Completeness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section present but prerequisite survey data absent — logically incomplete even if structurally present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M6 Ontology — dependency rules evaluated via SPARQL</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M10 — Technical Validation Engine</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"Are the technical inputs reasonable, correct, and consistent with applicable engineering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Validation Type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Range-Based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Steel reinforcement diameter outside IS 1786 standard series {8,10,12,16,20,25,32,40}mm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Drools DMN rules referencing M5 Parameter Ranges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only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Unit &amp; Format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Quantity entered in m² where mm² expected; mixing of incompatible units in cost calculation</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Units master (M2) + field-level unit validation in React forms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CPU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Contextual (Ontology-Driven)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 type = Shallow Isolated + Soil SBC &lt; 80 kN/m² → FLAG "Foundation inconsistent with SBC"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SPARQL query over M6 KG evaluating soil class + foundation type relationship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only — SPARQL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Standards-Based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Design wind speed below IS 875 Part 3 basic wind speed for the declared wind zone</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Drools rules referencing IS 875 Part 3 zone table in M5 Standards Library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CPU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Order-of-Magnitude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Steel diameter entered as 200mm vs expected 20mm (10× error); cost 10× benchmark for project type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Z-score check + benchmark comparison via M7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only</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M11 — Consistency Engine</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"Do different parts of the DPR agree with each other?"</w:t>
      </w:r>
    </w:p>
    <w:p>
      <w:pPr>
        <w:pStyle w:val="ListParagraph"/>
        <w:numPr>
          <w:ilvl w:val="0"/>
          <w:numId w:val="2"/>
        </w:numPr>
        <w:spacing w:after="40" w:before="40"/>
      </w:pPr>
      <w:r>
        <w:rPr>
          <w:rFonts w:ascii="Arial" w:cs="Arial" w:eastAsia="Arial" w:hAnsi="Arial"/>
          <w:b/>
          <w:bCs/>
          <w:sz w:val="22"/>
          <w:szCs w:val="22"/>
        </w:rPr>
        <w:t xml:space="preserve">Quantity &amp; Cost Cross-Verification: </w:t>
      </w:r>
      <w:r>
        <w:rPr>
          <w:rFonts w:ascii="Arial" w:cs="Arial" w:eastAsia="Arial" w:hAnsi="Arial"/>
          <w:sz w:val="22"/>
          <w:szCs w:val="22"/>
        </w:rPr>
        <w:t xml:space="preserve">BOQ line-item totals vs cost summary; section-wise quantities vs overall scope; unit rates consistent for the same item across sections. Flags exact mismatches and deviations beyond configurable tolerance.</w:t>
      </w:r>
    </w:p>
    <w:p>
      <w:pPr>
        <w:pStyle w:val="ListParagraph"/>
        <w:numPr>
          <w:ilvl w:val="0"/>
          <w:numId w:val="2"/>
        </w:numPr>
        <w:spacing w:after="40" w:before="40"/>
      </w:pPr>
      <w:r>
        <w:rPr>
          <w:rFonts w:ascii="Arial" w:cs="Arial" w:eastAsia="Arial" w:hAnsi="Arial"/>
          <w:b/>
          <w:bCs/>
          <w:sz w:val="22"/>
          <w:szCs w:val="22"/>
        </w:rPr>
        <w:t xml:space="preserve">Design vs Investigation Alignment: </w:t>
      </w:r>
      <w:r>
        <w:rPr>
          <w:rFonts w:ascii="Arial" w:cs="Arial" w:eastAsia="Arial" w:hAnsi="Arial"/>
          <w:sz w:val="22"/>
          <w:szCs w:val="22"/>
        </w:rPr>
        <w:t xml:space="preserve">Soil parameters in geotech report vs assumed values in structural design; river classification vs structural drawing span counts; traffic counts vs design-year traffic in pavement design.</w:t>
      </w:r>
    </w:p>
    <w:p>
      <w:pPr>
        <w:pStyle w:val="ListParagraph"/>
        <w:numPr>
          <w:ilvl w:val="0"/>
          <w:numId w:val="2"/>
        </w:numPr>
        <w:spacing w:after="40" w:before="40"/>
      </w:pPr>
      <w:r>
        <w:rPr>
          <w:rFonts w:ascii="Arial" w:cs="Arial" w:eastAsia="Arial" w:hAnsi="Arial"/>
          <w:b/>
          <w:bCs/>
          <w:sz w:val="22"/>
          <w:szCs w:val="22"/>
        </w:rPr>
        <w:t xml:space="preserve">Narrative vs Structured Data (NLP-assisted): </w:t>
      </w:r>
      <w:r>
        <w:rPr>
          <w:rFonts w:ascii="Arial" w:cs="Arial" w:eastAsia="Arial" w:hAnsi="Arial"/>
          <w:sz w:val="22"/>
          <w:szCs w:val="22"/>
        </w:rPr>
        <w:t xml:space="preserve">spaCy extracts numeric mentions from narrative text (project length, cost, capacity) and compares against structured fields. "Project length: 48 km" in narrative but 52.3 km in alignment data → FLAG.</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M12 — Anomaly Detection Engine</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"Does anything look suspicious — even if it doesn't strictly break a rule?"</w:t>
      </w:r>
    </w:p>
    <w:p>
      <w:pPr>
        <w:spacing w:after="80" w:before="60"/>
      </w:pPr>
      <w:r>
        <w:rPr>
          <w:rFonts w:ascii="Arial" w:cs="Arial" w:eastAsia="Arial" w:hAnsi="Arial"/>
          <w:sz w:val="22"/>
          <w:szCs w:val="22"/>
        </w:rPr>
        <w:t xml:space="preserve">This module layers three types of detection, escalating from fully deterministic to LLM-assisted only for the cases neither statistics nor rules can resolve:</w:t>
      </w:r>
    </w:p>
    <w:p>
      <w:pPr>
        <w:pStyle w:val="ListParagraph"/>
        <w:numPr>
          <w:ilvl w:val="0"/>
          <w:numId w:val="2"/>
        </w:numPr>
        <w:spacing w:after="40" w:before="40"/>
      </w:pPr>
      <w:r>
        <w:rPr>
          <w:rFonts w:ascii="Arial" w:cs="Arial" w:eastAsia="Arial" w:hAnsi="Arial"/>
          <w:b w:val="false"/>
          <w:bCs w:val="false"/>
          <w:sz w:val="22"/>
          <w:szCs w:val="22"/>
        </w:rPr>
        <w:t xml:space="preserve">Statistical detection (IQR, Z-score, percentile vs benchmark) — CPU only, always runs</w:t>
      </w:r>
    </w:p>
    <w:p>
      <w:pPr>
        <w:pStyle w:val="ListParagraph"/>
        <w:numPr>
          <w:ilvl w:val="0"/>
          <w:numId w:val="2"/>
        </w:numPr>
        <w:spacing w:after="40" w:before="40"/>
      </w:pPr>
      <w:r>
        <w:rPr>
          <w:rFonts w:ascii="Arial" w:cs="Arial" w:eastAsia="Arial" w:hAnsi="Arial"/>
          <w:b w:val="false"/>
          <w:bCs w:val="false"/>
          <w:sz w:val="22"/>
          <w:szCs w:val="22"/>
        </w:rPr>
        <w:t xml:space="preserve">Pattern-based detection (copy-paste errors, implausible distributions, round-number suspicion) — CPU only, always runs</w:t>
      </w:r>
    </w:p>
    <w:p>
      <w:pPr>
        <w:pStyle w:val="ListParagraph"/>
        <w:numPr>
          <w:ilvl w:val="0"/>
          <w:numId w:val="2"/>
        </w:numPr>
        <w:spacing w:after="40" w:before="40"/>
      </w:pPr>
      <w:r>
        <w:rPr>
          <w:rFonts w:ascii="Arial" w:cs="Arial" w:eastAsia="Arial" w:hAnsi="Arial"/>
          <w:b w:val="false"/>
          <w:bCs w:val="false"/>
          <w:sz w:val="22"/>
          <w:szCs w:val="22"/>
        </w:rPr>
        <w:t xml:space="preserve">Contextual + comparative detection (benchmark deviation narrative, geotechnical parameter plausibility for stated soil class) — CPU + optional KG lookup, always runs</w:t>
      </w:r>
    </w:p>
    <w:p>
      <w:pPr>
        <w:pStyle w:val="ListParagraph"/>
        <w:numPr>
          <w:ilvl w:val="0"/>
          <w:numId w:val="2"/>
        </w:numPr>
        <w:spacing w:after="40" w:before="40"/>
      </w:pPr>
      <w:r>
        <w:rPr>
          <w:rFonts w:ascii="Arial" w:cs="Arial" w:eastAsia="Arial" w:hAnsi="Arial"/>
          <w:b w:val="false"/>
          <w:bCs w:val="false"/>
          <w:sz w:val="22"/>
          <w:szCs w:val="22"/>
        </w:rPr>
        <w:t xml:space="preserve">AI-assisted detection (Gemma 4 26B MoE, for complex cross-parameter anomalies only) — GPU, triggered only for anomaly confidence score &gt; 0.85</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60"/>
            </w:tcMar>
          </w:tcPr>
          <w:p>
            <w:pPr>
              <w:spacing w:after="40" w:before="0"/>
            </w:pPr>
            <w:r>
              <w:rPr>
                <w:rFonts w:ascii="Arial" w:cs="Arial" w:eastAsia="Arial" w:hAnsi="Arial"/>
                <w:b/>
                <w:bCs/>
                <w:color w:val="2E75B6"/>
                <w:sz w:val="20"/>
                <w:szCs w:val="20"/>
              </w:rPr>
              <w:t xml:space="preserve">Human Confirmation Required</w:t>
            </w:r>
          </w:p>
          <w:p>
            <w:pPr>
              <w:spacing w:after="0" w:before="0"/>
            </w:pPr>
            <w:r>
              <w:rPr>
                <w:rFonts w:ascii="Arial" w:cs="Arial" w:eastAsia="Arial" w:hAnsi="Arial"/>
                <w:color w:val="000000"/>
                <w:sz w:val="20"/>
                <w:szCs w:val="20"/>
              </w:rPr>
              <w:t xml:space="preserve">All AI-assisted anomaly flags (Tier 3/4 model outputs) require explicit reviewer confirmation before being recorded in the appraisal log. Reviewers can: Accept (with optional comment), Reject (with mandatory rejection reason), or Modify (creates override record). All override actions logged in audit trail with original AI output, reviewer action, and timestamp.</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M13 — Review Workflow &amp; Scoring</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"How are reviewers' observations recorded, issues tracked, and DPR quality formally evaluated?"</w:t>
      </w:r>
    </w:p>
    <w:p>
      <w:pPr>
        <w:pStyle w:val="ListParagraph"/>
        <w:numPr>
          <w:ilvl w:val="0"/>
          <w:numId w:val="2"/>
        </w:numPr>
        <w:spacing w:after="40" w:before="40"/>
      </w:pPr>
      <w:r>
        <w:rPr>
          <w:rFonts w:ascii="Arial" w:cs="Arial" w:eastAsia="Arial" w:hAnsi="Arial"/>
          <w:b/>
          <w:bCs/>
          <w:sz w:val="22"/>
          <w:szCs w:val="22"/>
        </w:rPr>
        <w:t xml:space="preserve">Configurable State Machine (Flowable OSS BPMN): </w:t>
      </w:r>
      <w:r>
        <w:rPr>
          <w:rFonts w:ascii="Arial" w:cs="Arial" w:eastAsia="Arial" w:hAnsi="Arial"/>
          <w:sz w:val="22"/>
          <w:szCs w:val="22"/>
        </w:rPr>
        <w:t xml:space="preserve">DRAFT → SUBMITTED → UNDER_REVIEW → ADDITIONAL_INFO_REQUESTED → RESUBMITTED → FINAL_REVIEW → APPROVED / REJECTED / APPROVED_WITH_CONDITIONS. State machine definition editable by RITES administrators using drag-and-drop BPMN designer — no code deployment.</w:t>
      </w:r>
    </w:p>
    <w:p>
      <w:pPr>
        <w:pStyle w:val="ListParagraph"/>
        <w:numPr>
          <w:ilvl w:val="0"/>
          <w:numId w:val="2"/>
        </w:numPr>
        <w:spacing w:after="40" w:before="40"/>
      </w:pPr>
      <w:r>
        <w:rPr>
          <w:rFonts w:ascii="Arial" w:cs="Arial" w:eastAsia="Arial" w:hAnsi="Arial"/>
          <w:b/>
          <w:bCs/>
          <w:sz w:val="22"/>
          <w:szCs w:val="22"/>
        </w:rPr>
        <w:t xml:space="preserve">Parallel Review Tracks: </w:t>
      </w:r>
      <w:r>
        <w:rPr>
          <w:rFonts w:ascii="Arial" w:cs="Arial" w:eastAsia="Arial" w:hAnsi="Arial"/>
          <w:sz w:val="22"/>
          <w:szCs w:val="22"/>
        </w:rPr>
        <w:t xml:space="preserve">Multiple departments review simultaneously. Consolidation step merges parallel reviews. Critical path identification shows which department is the bottleneck.</w:t>
      </w:r>
    </w:p>
    <w:p>
      <w:pPr>
        <w:pStyle w:val="ListParagraph"/>
        <w:numPr>
          <w:ilvl w:val="0"/>
          <w:numId w:val="2"/>
        </w:numPr>
        <w:spacing w:after="40" w:before="40"/>
      </w:pPr>
      <w:r>
        <w:rPr>
          <w:rFonts w:ascii="Arial" w:cs="Arial" w:eastAsia="Arial" w:hAnsi="Arial"/>
          <w:b/>
          <w:bCs/>
          <w:sz w:val="22"/>
          <w:szCs w:val="22"/>
        </w:rPr>
        <w:t xml:space="preserve">Issue Lifecycle: </w:t>
      </w:r>
      <w:r>
        <w:rPr>
          <w:rFonts w:ascii="Arial" w:cs="Arial" w:eastAsia="Arial" w:hAnsi="Arial"/>
          <w:sz w:val="22"/>
          <w:szCs w:val="22"/>
        </w:rPr>
        <w:t xml:space="preserve">OPEN → ACKNOWLEDGED → IN_PROGRESS → RESOLVED_BY_AUTHOR → VERIFIED_BY_REVIEWER → CLOSED / DISPUTED. Resolution requires revision reference and optional attachment. Overdue issues trigger escalation notifications.</w:t>
      </w:r>
    </w:p>
    <w:p>
      <w:pPr>
        <w:pStyle w:val="ListParagraph"/>
        <w:numPr>
          <w:ilvl w:val="0"/>
          <w:numId w:val="2"/>
        </w:numPr>
        <w:spacing w:after="40" w:before="40"/>
      </w:pPr>
      <w:r>
        <w:rPr>
          <w:rFonts w:ascii="Arial" w:cs="Arial" w:eastAsia="Arial" w:hAnsi="Arial"/>
          <w:b/>
          <w:bCs/>
          <w:sz w:val="22"/>
          <w:szCs w:val="22"/>
        </w:rPr>
        <w:t xml:space="preserve">Configurable Scoring Frameworks: </w:t>
      </w:r>
      <w:r>
        <w:rPr>
          <w:rFonts w:ascii="Arial" w:cs="Arial" w:eastAsia="Arial" w:hAnsi="Arial"/>
          <w:sz w:val="22"/>
          <w:szCs w:val="22"/>
        </w:rPr>
        <w:t xml:space="preserve">Define scoring categories, weightages, and sub-criteria. Auto-scored from validation results (completeness score, technical pass rate, anomaly count). Human-scored criteria require mandatory justification. Multiple frameworks applicable simultaneously. All editable by administrators without code.</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M14 — Reporting &amp; Appraisal Dashboard</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"What is the current status and quality of this DPR, and what needs attention?"</w:t>
      </w:r>
    </w:p>
    <w:p>
      <w:pPr>
        <w:pStyle w:val="ListParagraph"/>
        <w:numPr>
          <w:ilvl w:val="0"/>
          <w:numId w:val="2"/>
        </w:numPr>
        <w:spacing w:after="40" w:before="40"/>
      </w:pPr>
      <w:r>
        <w:rPr>
          <w:rFonts w:ascii="Arial" w:cs="Arial" w:eastAsia="Arial" w:hAnsi="Arial"/>
          <w:b/>
          <w:bCs/>
          <w:sz w:val="22"/>
          <w:szCs w:val="22"/>
        </w:rPr>
        <w:t xml:space="preserve">DPR Dashboard: </w:t>
      </w:r>
      <w:r>
        <w:rPr>
          <w:rFonts w:ascii="Arial" w:cs="Arial" w:eastAsia="Arial" w:hAnsi="Arial"/>
          <w:sz w:val="22"/>
          <w:szCs w:val="22"/>
        </w:rPr>
        <w:t xml:space="preserve">Completeness %, section status by department, current review stage, issues by severity and status, appraisal score, validation flag summary. Risk indicators red/amber/green, clickable to the specific finding.</w:t>
      </w:r>
    </w:p>
    <w:p>
      <w:pPr>
        <w:pStyle w:val="ListParagraph"/>
        <w:numPr>
          <w:ilvl w:val="0"/>
          <w:numId w:val="2"/>
        </w:numPr>
        <w:spacing w:after="40" w:before="40"/>
      </w:pPr>
      <w:r>
        <w:rPr>
          <w:rFonts w:ascii="Arial" w:cs="Arial" w:eastAsia="Arial" w:hAnsi="Arial"/>
          <w:b/>
          <w:bCs/>
          <w:sz w:val="22"/>
          <w:szCs w:val="22"/>
        </w:rPr>
        <w:t xml:space="preserve">Portfolio Dashboard: </w:t>
      </w:r>
      <w:r>
        <w:rPr>
          <w:rFonts w:ascii="Arial" w:cs="Arial" w:eastAsia="Arial" w:hAnsi="Arial"/>
          <w:sz w:val="22"/>
          <w:szCs w:val="22"/>
        </w:rPr>
        <w:t xml:space="preserve">All active DPRs with status, filter by sector/project type/stage, overdue reviews, reviewer workload.</w:t>
      </w:r>
    </w:p>
    <w:p>
      <w:pPr>
        <w:pStyle w:val="ListParagraph"/>
        <w:numPr>
          <w:ilvl w:val="0"/>
          <w:numId w:val="2"/>
        </w:numPr>
        <w:spacing w:after="40" w:before="40"/>
      </w:pPr>
      <w:r>
        <w:rPr>
          <w:rFonts w:ascii="Arial" w:cs="Arial" w:eastAsia="Arial" w:hAnsi="Arial"/>
          <w:b/>
          <w:bCs/>
          <w:sz w:val="22"/>
          <w:szCs w:val="22"/>
        </w:rPr>
        <w:t xml:space="preserve">Five Report Types: </w:t>
      </w:r>
      <w:r>
        <w:rPr>
          <w:rFonts w:ascii="Arial" w:cs="Arial" w:eastAsia="Arial" w:hAnsi="Arial"/>
          <w:sz w:val="22"/>
          <w:szCs w:val="22"/>
        </w:rPr>
        <w:t xml:space="preserve">Completeness Report, Validation Summary Report, Appraisal Score Report, Issue Status Report, Audit Trail Report. Exportable as PDF (formatted), Word (.docx), Excel (.xlsx).</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M15 — Simulation &amp; Sensitivity Analysis</w:t>
      </w:r>
    </w:p>
    <w:p>
      <w:pPr>
        <w:spacing w:after="80" w:before="60"/>
      </w:pPr>
      <w:r>
        <w:rPr>
          <w:rFonts w:ascii="Arial" w:cs="Arial" w:eastAsia="Arial" w:hAnsi="Arial"/>
          <w:b/>
          <w:bCs/>
          <w:sz w:val="22"/>
          <w:szCs w:val="22"/>
        </w:rPr>
        <w:t xml:space="preserve">Answers: </w:t>
      </w:r>
      <w:r>
        <w:rPr>
          <w:rFonts w:ascii="Arial" w:cs="Arial" w:eastAsia="Arial" w:hAnsi="Arial"/>
          <w:sz w:val="22"/>
          <w:szCs w:val="22"/>
        </w:rPr>
        <w:t xml:space="preserve">"What happens to project cost, revenue, and feasibility if key assumptions change?"</w:t>
      </w:r>
    </w:p>
    <w:p>
      <w:pPr>
        <w:pStyle w:val="ListParagraph"/>
        <w:numPr>
          <w:ilvl w:val="0"/>
          <w:numId w:val="2"/>
        </w:numPr>
        <w:spacing w:after="40" w:before="40"/>
      </w:pPr>
      <w:r>
        <w:rPr>
          <w:rFonts w:ascii="Arial" w:cs="Arial" w:eastAsia="Arial" w:hAnsi="Arial"/>
          <w:b/>
          <w:bCs/>
          <w:sz w:val="22"/>
          <w:szCs w:val="22"/>
        </w:rPr>
        <w:t xml:space="preserve">Parameter Sensitivity: </w:t>
      </w:r>
      <w:r>
        <w:rPr>
          <w:rFonts w:ascii="Arial" w:cs="Arial" w:eastAsia="Arial" w:hAnsi="Arial"/>
          <w:sz w:val="22"/>
          <w:szCs w:val="22"/>
        </w:rPr>
        <w:t xml:space="preserve">Select parameters, define variation range (±X% or A to B), view effect on total cost / schedule / FIRR/EIRR. Tornado chart ranking parameters by impact. Sensitivity curve showing output vs input variation.</w:t>
      </w:r>
    </w:p>
    <w:p>
      <w:pPr>
        <w:pStyle w:val="ListParagraph"/>
        <w:numPr>
          <w:ilvl w:val="0"/>
          <w:numId w:val="2"/>
        </w:numPr>
        <w:spacing w:after="40" w:before="40"/>
      </w:pPr>
      <w:r>
        <w:rPr>
          <w:rFonts w:ascii="Arial" w:cs="Arial" w:eastAsia="Arial" w:hAnsi="Arial"/>
          <w:b/>
          <w:bCs/>
          <w:sz w:val="22"/>
          <w:szCs w:val="22"/>
        </w:rPr>
        <w:t xml:space="preserve">Scenario Modelling: </w:t>
      </w:r>
      <w:r>
        <w:rPr>
          <w:rFonts w:ascii="Arial" w:cs="Arial" w:eastAsia="Arial" w:hAnsi="Arial"/>
          <w:sz w:val="22"/>
          <w:szCs w:val="22"/>
        </w:rPr>
        <w:t xml:space="preserve">Up to 4 named scenarios with modified assumptions. Side-by-side comparison: cost breakdown, timeline Gantt, key parameter deviations. Scenarios stored linked to DPR, clearly marked as analysis constructs — never affecting submitted DPR data.</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M16 — Security, Audit &amp; Monitoring</w:t>
      </w:r>
    </w:p>
    <w:p>
      <w:pPr>
        <w:spacing w:after="80" w:before="60"/>
      </w:pPr>
      <w:r>
        <w:rPr>
          <w:rFonts w:ascii="Arial" w:cs="Arial" w:eastAsia="Arial" w:hAnsi="Arial"/>
          <w:sz w:val="22"/>
          <w:szCs w:val="22"/>
        </w:rPr>
        <w:t xml:space="preserve">Cross-cutting module applying to all 15 other modules. Full security architecture is described in §4.9. Key M16-specific capabilities:</w:t>
      </w:r>
    </w:p>
    <w:p>
      <w:pPr>
        <w:pStyle w:val="ListParagraph"/>
        <w:numPr>
          <w:ilvl w:val="0"/>
          <w:numId w:val="2"/>
        </w:numPr>
        <w:spacing w:after="40" w:before="40"/>
      </w:pPr>
      <w:r>
        <w:rPr>
          <w:rFonts w:ascii="Arial" w:cs="Arial" w:eastAsia="Arial" w:hAnsi="Arial"/>
          <w:b/>
          <w:bCs/>
          <w:sz w:val="22"/>
          <w:szCs w:val="22"/>
        </w:rPr>
        <w:t xml:space="preserve">Real-Time Audit Trail: </w:t>
      </w:r>
      <w:r>
        <w:rPr>
          <w:rFonts w:ascii="Arial" w:cs="Arial" w:eastAsia="Arial" w:hAnsi="Arial"/>
          <w:sz w:val="22"/>
          <w:szCs w:val="22"/>
        </w:rPr>
        <w:t xml:space="preserve">All actions streamed to OpenSearch SIEM. Immutable. Searchable and filterable by date range, user, action type, entity, project. Exportable to PDF/CSV. 2-year retention.</w:t>
      </w:r>
    </w:p>
    <w:p>
      <w:pPr>
        <w:pStyle w:val="ListParagraph"/>
        <w:numPr>
          <w:ilvl w:val="0"/>
          <w:numId w:val="2"/>
        </w:numPr>
        <w:spacing w:after="40" w:before="40"/>
      </w:pPr>
      <w:r>
        <w:rPr>
          <w:rFonts w:ascii="Arial" w:cs="Arial" w:eastAsia="Arial" w:hAnsi="Arial"/>
          <w:b/>
          <w:bCs/>
          <w:sz w:val="22"/>
          <w:szCs w:val="22"/>
        </w:rPr>
        <w:t xml:space="preserve">User Activity Monitoring: </w:t>
      </w:r>
      <w:r>
        <w:rPr>
          <w:rFonts w:ascii="Arial" w:cs="Arial" w:eastAsia="Arial" w:hAnsi="Arial"/>
          <w:sz w:val="22"/>
          <w:szCs w:val="22"/>
        </w:rPr>
        <w:t xml:space="preserve">Alerts on: &gt;3 failed logins in 5 min, &gt;10 project accesses in 1 min, unusual download volume, off-hours access. All alerts require human investigation before any action.</w:t>
      </w:r>
    </w:p>
    <w:p>
      <w:pPr>
        <w:pStyle w:val="ListParagraph"/>
        <w:numPr>
          <w:ilvl w:val="0"/>
          <w:numId w:val="2"/>
        </w:numPr>
        <w:spacing w:after="40" w:before="40"/>
      </w:pPr>
      <w:r>
        <w:rPr>
          <w:rFonts w:ascii="Arial" w:cs="Arial" w:eastAsia="Arial" w:hAnsi="Arial"/>
          <w:b/>
          <w:bCs/>
          <w:sz w:val="22"/>
          <w:szCs w:val="22"/>
        </w:rPr>
        <w:t xml:space="preserve">SBOM: </w:t>
      </w:r>
      <w:r>
        <w:rPr>
          <w:rFonts w:ascii="Arial" w:cs="Arial" w:eastAsia="Arial" w:hAnsi="Arial"/>
          <w:sz w:val="22"/>
          <w:szCs w:val="22"/>
        </w:rPr>
        <w:t xml:space="preserve">Syft/Grype generates SPDX 2.3 / CycloneDX 1.4 format at milestones M1, M2, M3, M4, and Go-Live. AI model weights included with provenance checksums. License register derived from SBOM.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1F3864" w:sz="1"/>
              <w:left w:val="single" w:color="1F3864" w:sz="1"/>
              <w:bottom w:val="single" w:color="1F3864" w:sz="1"/>
              <w:right w:val="single" w:color="1F3864" w:sz="1"/>
            </w:tcBorders>
            <w:shd w:fill="D6E4F0" w:val="clear"/>
            <w:tcMar>
              <w:top w:type="dxa" w:w="100"/>
              <w:left w:type="dxa" w:w="200"/>
              <w:bottom w:type="dxa" w:w="100"/>
              <w:right w:type="dxa" w:w="120"/>
            </w:tcMar>
            <w:vAlign w:val="center"/>
          </w:tcPr>
          <w:p>
            <w:r>
              <w:rPr>
                <w:rFonts w:ascii="Arial" w:cs="Arial" w:eastAsia="Arial" w:hAnsi="Arial"/>
                <w:b/>
                <w:bCs/>
                <w:color w:val="1F3864"/>
                <w:sz w:val="26"/>
                <w:szCs w:val="26"/>
              </w:rPr>
              <w:t xml:space="preserve">AI/ML Approach</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6.1  AI Architecture Principles</w:t>
      </w:r>
    </w:p>
    <w:p>
      <w:pPr>
        <w:spacing w:after="80" w:before="60"/>
      </w:pPr>
      <w:r>
        <w:rPr>
          <w:rFonts w:ascii="Arial" w:cs="Arial" w:eastAsia="Arial" w:hAnsi="Arial"/>
          <w:sz w:val="22"/>
          <w:szCs w:val="22"/>
        </w:rPr>
        <w:t xml:space="preserve">The PARAKH AI architecture follows five principles that together minimise compute cost, maximise explainability, and satisfy the ATC2 sovereign AI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Means</w:t>
            </w:r>
          </w:p>
        </w:tc>
        <w:tc>
          <w:tcPr>
            <w:tcW w:type="dxa" w:w="4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We Implement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KG-First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Knowledge Graph answers validation questions before any LLM is considered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SPARQL + Drools DMN runs first on every validation request. LLM called only when graph returns no deterministic answer.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Tiered Models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 the smallest sufficient model for every task</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LiteLLM Proxy routes based on task type: E2B for NLP assist, E4B for extraction, Sarvam-M for Indic, 26B MoE for reasoning. See §4.5.2.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Sovereign AI Boundary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external LLM API calls in Staging/UAT/Production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LiteLLM Proxy whitelist blocks all non-local model endpoints. Enforced in deployment config. Verified in VAPT.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Explainable by Design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Every AI output must be traceable to source data</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Mandatory JSON schema: finding, reasoning (chain-of-thought), sources (RAG citations), confidence, severity. No output displayed without citations.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Human-in-the-Loop Enforced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AI output auto-accepted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AI outputs require explicit reviewer confirmation. Override logic logs original AI output + reviewer decision.</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6.2  The DPR Appraisal Sequence — 5 Phases, 21 Steps</w:t>
      </w:r>
    </w:p>
    <w:p>
      <w:pPr>
        <w:spacing w:after="60" w:before="120"/>
        <w:jc w:val="center"/>
      </w:pPr>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0" cy="40005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6.1 — DPR Appraisal Sequence: 5 Phases, 21 Steps, 10 Actors (Human-in-the-loop at every decision point)</w:t>
      </w:r>
    </w:p>
    <w:p>
      <w:pPr>
        <w:spacing w:after="80" w:before="60"/>
      </w:pPr>
      <w:r>
        <w:rPr>
          <w:rFonts w:ascii="Arial" w:cs="Arial" w:eastAsia="Arial" w:hAnsi="Arial"/>
          <w:sz w:val="22"/>
          <w:szCs w:val="22"/>
        </w:rPr>
        <w:t xml:space="preserve">The sequence diagram above shows every handoff in the PARAKH appraisal workflow — from DPR author submitting a section to the RITES approver signing off the final appraisal. Key points:</w:t>
      </w:r>
    </w:p>
    <w:p>
      <w:pPr>
        <w:pStyle w:val="ListParagraph"/>
        <w:numPr>
          <w:ilvl w:val="0"/>
          <w:numId w:val="2"/>
        </w:numPr>
        <w:spacing w:after="40" w:before="40"/>
      </w:pPr>
      <w:r>
        <w:rPr>
          <w:rFonts w:ascii="Arial" w:cs="Arial" w:eastAsia="Arial" w:hAnsi="Arial"/>
          <w:b w:val="false"/>
          <w:bCs w:val="false"/>
          <w:sz w:val="22"/>
          <w:szCs w:val="22"/>
        </w:rPr>
        <w:t xml:space="preserve">Phases 1–3 (Ingest → Validate → Appraise) are system-automated and run without human involvement until the review stage</w:t>
      </w:r>
    </w:p>
    <w:p>
      <w:pPr>
        <w:pStyle w:val="ListParagraph"/>
        <w:numPr>
          <w:ilvl w:val="0"/>
          <w:numId w:val="2"/>
        </w:numPr>
        <w:spacing w:after="40" w:before="40"/>
      </w:pPr>
      <w:r>
        <w:rPr>
          <w:rFonts w:ascii="Arial" w:cs="Arial" w:eastAsia="Arial" w:hAnsi="Arial"/>
          <w:b w:val="false"/>
          <w:bCs w:val="false"/>
          <w:sz w:val="22"/>
          <w:szCs w:val="22"/>
        </w:rPr>
        <w:t xml:space="preserve">Phase 4 (Review) is entirely human-driven — the system surfaces findings, the reviewer interprets and decides</w:t>
      </w:r>
    </w:p>
    <w:p>
      <w:pPr>
        <w:pStyle w:val="ListParagraph"/>
        <w:numPr>
          <w:ilvl w:val="0"/>
          <w:numId w:val="2"/>
        </w:numPr>
        <w:spacing w:after="40" w:before="40"/>
      </w:pPr>
      <w:r>
        <w:rPr>
          <w:rFonts w:ascii="Arial" w:cs="Arial" w:eastAsia="Arial" w:hAnsi="Arial"/>
          <w:b w:val="false"/>
          <w:bCs w:val="false"/>
          <w:sz w:val="22"/>
          <w:szCs w:val="22"/>
        </w:rPr>
        <w:t xml:space="preserve">Phase 5 (Approve) is gated — the RITES approver can only approve when all Critical and High issues are CLOSED</w:t>
      </w:r>
    </w:p>
    <w:p>
      <w:pPr>
        <w:pStyle w:val="ListParagraph"/>
        <w:numPr>
          <w:ilvl w:val="0"/>
          <w:numId w:val="2"/>
        </w:numPr>
        <w:spacing w:after="40" w:before="40"/>
      </w:pPr>
      <w:r>
        <w:rPr>
          <w:rFonts w:ascii="Arial" w:cs="Arial" w:eastAsia="Arial" w:hAnsi="Arial"/>
          <w:b w:val="false"/>
          <w:bCs w:val="false"/>
          <w:sz w:val="22"/>
          <w:szCs w:val="22"/>
        </w:rPr>
        <w:t xml:space="preserve">Every AI output in Phases 1–3 carries a "PENDING HUMAN CONFIRMATION" status until the reviewer acts in Phase 4</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6.3  Document Parsing — Docling + Granite-Docling-258M</w:t>
      </w:r>
    </w:p>
    <w:p>
      <w:pPr>
        <w:spacing w:after="80" w:before="60"/>
      </w:pPr>
      <w:r>
        <w:rPr>
          <w:rFonts w:ascii="Arial" w:cs="Arial" w:eastAsia="Arial" w:hAnsi="Arial"/>
          <w:sz w:val="22"/>
          <w:szCs w:val="22"/>
        </w:rPr>
        <w:t xml:space="preserve">The IDP pipeline is the first and most critical AI stage — poor document parsing propagates errors through all downstream validation. We use Docling with the Granite-Docling-258M vision-language model (IBM Research, Apache 2.0, released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It Matters for RITES DPRs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structure understanding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Granite-Docling-258M understands document structure without traditional OCR. IBM Research: "Avoiding OCR reduces errors and speeds up time-to-solution by 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RITES DPRs contain complex table layouts (multiple nested headers, merged cells, rotated text) that traditional OCR misidentifies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Table extraction</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DocTags markup separates table structure from content. Row/column recognition with nested header support.</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BOQ tables, cost estimates, and engineering parameter tables are the primary input to M10/M11 validation — table accuracy is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Scanned document handling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VLM processes scanned pages directly. No intermediate OCR step. Confidence score per element.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NW-58 Kosi DPR sample: 203 pages, 100% scanned — Granite-Docling handles this without a preprocessing pipeline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Figure &amp; drawing references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Figures detected with caption extraction. Drawing references (number + title) extracted. Full drawing interpretation is out of scope (flagged for human review).</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RITES DPRs reference engineering drawings that must be manually reviewed — the system surfaces drawing references for reviewer attention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 script support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Sarvam Vision layer handles Hindi section headings, regional place names, transliterated terms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DPRs for state government projects often contain bilingual content — missed by Western VLMs</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6.4  Worked Example — NW-58 Kosi River IWT DPR</w:t>
      </w:r>
    </w:p>
    <w:p>
      <w:pPr>
        <w:spacing w:after="80" w:before="60"/>
      </w:pPr>
      <w:r>
        <w:rPr>
          <w:rFonts w:ascii="Arial" w:cs="Arial" w:eastAsia="Arial" w:hAnsi="Arial"/>
          <w:sz w:val="22"/>
          <w:szCs w:val="22"/>
        </w:rPr>
        <w:t xml:space="preserve">To make the AI pipeline concrete, we trace the NW-58 Kosi River Inland Waterway DPR (203 pages, 100% scanned) through PARAKH end to end:</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200"/>
        <w:gridCol w:w="800"/>
        <w:gridCol w:w="70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PARAKH Does</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GPU?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DPR uploaded. Format detected: scanned PDF, 203 pages, no text layer. Routed to IDP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SeaweedFS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sec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IDP Parsing</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Granite-Docling-258M processes all 203 pages in parallel batches. Extracts: narrative sections (hydrological analysis, traffic projections, engineering design), tables (BOQ, cost estimates, hydrological data), drawing references.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Granite-Docling-258M (258M VLM, CPU)</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6–10 min</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Mapping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spaCy maps extracted content to IWT DPR template sections: Project Context, Survey Data, Hydrological Analysis, Traffic Projections, Engineering Design, Cost Estimates, Environmental Assessment.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spaCy + LangChain, Tier 1 E4B for ambiguous sections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 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Completeness Check (M9)</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KG query: IWT sector → Hydrological Analysis mandatory. CHECK: present ✓. Environmental Clearance section: absent → FLAG (blocking). Geotechnical Investigation: 7 borehole locations required per IWT SOP; 4 present → FLAG (3 missing).</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SPARQL over M6 KG + M3 template definitions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10 sec</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Validation (M10)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discharge: 5,800 cumecs. SPARQL query: IWT Kosi basin → typical discharge range P10–P90: 2,200–4,800 cumecs. 5,800 &gt; P90 → FLAG "Design discharge above P90 benchmark — verify hydrological analysis." Foundation type: pile. SBC in geotech report: 85 kN/m². KG rule: SBC &lt; 100 kN/m² AND site = alluvial → pile foundation expected →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Drools DMN + SPARQL, XGBoost benchmark comparison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sec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Consistency (M11)</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BOQ total: ₹312.4 Cr. Cost summary: ₹315.1 Cr. Difference: 0.86% → within 1% tolerance → PASS. NLP extracts "project length: 48 km" from narrative. Alignment data: 51.3 km → MISMATCH → FLAG.</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query + spaCy NLP</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60 sec</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(M12)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Cost/km: ₹312.4 Cr / 51.3 km = ₹6.1 Cr/km. IWT benchmark P90 for Bihar alluvial terrain: ₹4.8 Cr/km. Ratio: 1.27× P90 → anomaly score: 0.71 (&lt; 0.85 threshold). Statistical flag only — no LLM called.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 M7 benchmark data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sec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Appraisal Summary</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Gemma 4 26B MoE reads: 3 critical flags, 2 high flags, 1 advisory. RAG retrieves 3 comparable IWT DPRs from benchmark database. Generates prioritised appraisal summary with: issue list, benchmark comparison table, recommended reviewer focus areas. All outputs carry chain-of-thought + RAG citations.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Gemma 4 26B MoE + Qdrant RAG</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8–12 min</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YES (1× A100)</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60"/>
            </w:tcMar>
          </w:tcPr>
          <w:p>
            <w:pPr>
              <w:spacing w:after="40" w:before="0"/>
            </w:pPr>
            <w:r>
              <w:rPr>
                <w:rFonts w:ascii="Arial" w:cs="Arial" w:eastAsia="Arial" w:hAnsi="Arial"/>
                <w:b/>
                <w:bCs/>
                <w:color w:val="2E75B6"/>
                <w:sz w:val="20"/>
                <w:szCs w:val="20"/>
              </w:rPr>
              <w:t xml:space="preserve">Key Insight from this Example</w:t>
            </w:r>
          </w:p>
          <w:p>
            <w:pPr>
              <w:spacing w:after="0" w:before="0"/>
            </w:pPr>
            <w:r>
              <w:rPr>
                <w:rFonts w:ascii="Arial" w:cs="Arial" w:eastAsia="Arial" w:hAnsi="Arial"/>
                <w:color w:val="000000"/>
                <w:sz w:val="20"/>
                <w:szCs w:val="20"/>
              </w:rPr>
              <w:t xml:space="preserve">7 of 8 pipeline stages ran with zero GPU usage. The GPU was used only once — for the final appraisal summary generation (8–12 min). The entire completeness, validation, consistency, and anomaly pipeline ran on CPU in under 3 minutes. This is the compute profile we commit to for all standard DPRs.</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6.5  RAG Pipeline — Grounded Generation</w:t>
      </w:r>
    </w:p>
    <w:p>
      <w:pPr>
        <w:spacing w:after="80" w:before="60"/>
      </w:pPr>
      <w:r>
        <w:rPr>
          <w:rFonts w:ascii="Arial" w:cs="Arial" w:eastAsia="Arial" w:hAnsi="Arial"/>
          <w:sz w:val="22"/>
          <w:szCs w:val="22"/>
        </w:rPr>
        <w:t xml:space="preserve">All LLM text generation in PARAKH is grounded in retrieved context from Qdrant. The model never generates from weights alone for validation-related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RAG Component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Choice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Qdrant (Apache 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filtering as first-class feature — essential for returning benchmarks from comparable projects only (same sector + terrain + geography). Sub-millisecond retrieval for real-time use.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nomic-embed-text / BGE-M3 (Apache 2.0)</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Both models produce high-quality embeddings for technical engineering text. BGE-M3 also handles multilingual content — important for Indic DPR sections.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 / LlamaIndex (MIT)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context window management for large DPRs (up to 5,000 pages via multi-pass retrieval and recursive summarisation). Both Apache 2.0/MIT licenced.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Knowledge Base Segments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DPR content, Engineering standards, Benchmarks, Validation rule rationale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Segmented retrieval ensures the model receives contextually appropriate grounding for each query type — standards content for compliance checks, benchmark data for anomaly context.</w:t>
            </w:r>
          </w:p>
        </w:tc>
      </w:tr>
    </w:tbl>
    <w:p>
      <w:pPr>
        <w:spacing w:after="60" w:before="0"/>
      </w:pPr>
      <w:r>
        <w:t xml:space="preserve"/>
      </w:r>
    </w:p>
    <w:p>
      <w:pPr>
        <w:spacing w:after="80" w:before="60"/>
      </w:pPr>
      <w:r>
        <w:rPr>
          <w:rFonts w:ascii="Arial" w:cs="Arial" w:eastAsia="Arial" w:hAnsi="Arial"/>
          <w:b/>
          <w:bCs/>
          <w:sz w:val="22"/>
          <w:szCs w:val="22"/>
        </w:rPr>
        <w:t xml:space="preserve">Citation requirement (enforced at API level): </w:t>
      </w:r>
      <w:r>
        <w:rPr>
          <w:rFonts w:ascii="Arial" w:cs="Arial" w:eastAsia="Arial" w:hAnsi="Arial"/>
          <w:sz w:val="22"/>
          <w:szCs w:val="22"/>
        </w:rPr>
        <w:t xml:space="preserve">Every RAG-assisted output includes structured citations — document name, section/page reference, text snippet. LiteLLM Proxy rejects outputs that do not include at least one citation. This is an API-level enforcement, not a prompt instruction.</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6.6  Hallucination Control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8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Control Layer</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Mechanism</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ATC2 SLA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 Reference Library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IS/IRC/RDSO/CPWD/AAI/MoPSW standard codes and clauses compiled into a verified lookup by M4 (D+7m). Every AI citation validated against this library before display. Citations not found flagged as "Unverified Reference — human confirmation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fabricated standard references post D+7</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RAG-Grounded Generation</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outputs grounded in retrieved context. Model cannot generate standards text not provided in context window.</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Structural prevention — not dependent on model 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Confirmation Gate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AI-sourced outputs require explicit reviewer confirmation before recording. Reviewer responsible for verifying citation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backstop for any slip-through</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Monthly Hallucination Audit</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Monthly AI Confidence and Hallucination Audit Report: counts of unverified citations, reviewer rejection rates, categories of corrections. Submitted to RITES within 5 working days of month end.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Ongoing monitoring throughout AMC</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6.7  AI Accuracy Commitment — ATC2 SLA Targets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400"/>
        <w:gridCol w:w="1800"/>
        <w:gridCol w:w="1800"/>
      </w:tblGrid>
      <w:tr>
        <w:trPr>
          <w:tblHeader/>
        </w:trPr>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M2 (D+3m)</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M3 (D+5m)</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M4 (D+7m)</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M5 (D+9m)</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text extraction (OCR)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r>
      <w:tr>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Tabular / financial data extraction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≥95%</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≥98%</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≥99%</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 clause identification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r>
      <w:tr>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Rule-based validation accuracy</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≥85%</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≥90%</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≥95%</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≥95%</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anomaly / red flag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r>
      <w:tr>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Cross-reference checking</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≥75%</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≥85%</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≥90%</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Appraisal summary quality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(with human validation)</w:t>
            </w:r>
          </w:p>
        </w:tc>
      </w:tr>
      <w:tr>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Engineering code hallucination rate</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 (validated lib)</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w:t>
            </w:r>
          </w:p>
        </w:tc>
      </w:tr>
    </w:tbl>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§7</w:t>
            </w:r>
          </w:p>
        </w:tc>
        <w:tc>
          <w:tcPr>
            <w:tcW w:type="dxa" w:w="8560"/>
            <w:tcBorders>
              <w:top w:val="single" w:color="1F3864" w:sz="1"/>
              <w:left w:val="single" w:color="1F3864" w:sz="1"/>
              <w:bottom w:val="single" w:color="1F3864" w:sz="1"/>
              <w:right w:val="single" w:color="1F3864" w:sz="1"/>
            </w:tcBorders>
            <w:shd w:fill="D6E4F0" w:val="clear"/>
            <w:tcMar>
              <w:top w:type="dxa" w:w="100"/>
              <w:left w:type="dxa" w:w="200"/>
              <w:bottom w:type="dxa" w:w="100"/>
              <w:right w:type="dxa" w:w="120"/>
            </w:tcMar>
            <w:vAlign w:val="center"/>
          </w:tcPr>
          <w:p>
            <w:r>
              <w:rPr>
                <w:rFonts w:ascii="Arial" w:cs="Arial" w:eastAsia="Arial" w:hAnsi="Arial"/>
                <w:b/>
                <w:bCs/>
                <w:color w:val="1F3864"/>
                <w:sz w:val="26"/>
                <w:szCs w:val="26"/>
              </w:rPr>
              <w:t xml:space="preserve">Implementation Methodology</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7.1  Milestone-Anchored Agile</w:t>
      </w:r>
    </w:p>
    <w:p>
      <w:pPr>
        <w:spacing w:after="80" w:before="60"/>
      </w:pPr>
      <w:r>
        <w:rPr>
          <w:rFonts w:ascii="Arial" w:cs="Arial" w:eastAsia="Arial" w:hAnsi="Arial"/>
          <w:sz w:val="22"/>
          <w:szCs w:val="22"/>
        </w:rPr>
        <w:t xml:space="preserve">We deliver working software at every milestone — not documentation. Two-week Scrum sprints nested within the ATC2 milestone framework. RITES PMU receives: weekly written status report, fortnightly sprint demo, milestone gate review with formal sign-off required before proceeding.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360"/>
        <w:gridCol w:w="16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Milestone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Deliverables</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 Inception &amp; Architecture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 month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 (all 16 modules), architecture document, Data Lake design, AI/ML strategy, GPU justification document, KG bootstrap plan (sector × SME assignments), RITES dependency SLA register, implementation roadmap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RITES written approval on SRS, architecture, and GPU procurement timeline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M2 — Draft Tool Version 1</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D+3 months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Core platform deployed to Staging: M8 (DPR authoring), M9 (completeness), M10 (rule-based validation), M1 RBAC, Data Lake ingestion pipeline, Docling IDP pipeline, API framework with OpenAPI docs, SBOM M2</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OCR ≥85% on scanned sample DPRs; completeness engine functional; API docs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 — Multi-Sector V2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D+5 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sector ontologies deployed (5 domains, RITES sign-off obtained), M6 dependency rules operational, M11 Consistency, M12 Anomaly Detection, M13 Workflow/Scoring, M14 Dashboard, GIS integration, full RBAC, audit trail, pre-UAT VAPT 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Critical/High VAPT findings remediated; 5 sector KGs RITES-approved; demo to evaluation committee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M4 — Production / UAT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D+7 months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16 modules UAT-accepted, all 8 sector KGs deployed, AI accuracy SLAs met (≥95% OCR, 0% hallucination), zero Critical/High VAPT, load test passed (20–50 concurrent users), source code + full documentation + SBOM handed over, runbook verified by RITES IT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Formal RITES UAT acceptance sign-off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 — Stabilisation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D+9 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resolution, AI fine-tuning on M4 reviewer feedback corpus, role-based training delivery (all role types), complete documentation set, 60-day KT to RITES IT team, operational readiness certificate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RITES IT team able to manage platform independently; training completion certificates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M6 — AMC (15 months)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D+10m to D+24m</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Ongoing monitoring (24×7), incident response per SLA, monthly SLA + Hallucination Audit reports, security patches, bug fixes. Billed 2%/quarter × 5 quarters.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Monthly reports submitted on time; SLA targets maintained</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7.2  RITES Dependencies — Formal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Dependency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Must Be Confirmed By</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RITES Action Required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 if Delayed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Infrastructure (UAT/Prod)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sign-off — Day 0 procurement initiation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 order for 1× NVIDIA A100 80GB. 3–4 month lead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M3→M4 transition blocked if GPU not available by D+5m. LD clock pauses.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Sector KG SME Sign-off × 8</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Staggered M2–M4</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Designated RITES SME per sector; 10 working days per sector from submission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Each sector KG unavailable in production until sign-off. Phased KG deployment planned.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 Environment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 completion (D+5m)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 MeghRaj or RITES DC environment provisioned with GPU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 UAT cannot begin without environment. LD clock pauses.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UAT Participation Team</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M3 sign-off</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Min 5 RITES staff across Author/Reviewer/Admin roles; 4-week UAT cycle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UAT sign-off delayed without adequate participation.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Document Approval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working days review and approval after submission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of M2 features begins after M1 approval.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Pre-Bid Clarifications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Pre-submission</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 Confirm GPU availability on NIC MeghRaj. (2) Confirm Go-Live definition (UAT acceptance vs production deployment). (3) Confirm RITES dependency SLA language acceptable.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Proposal assumptions subject to revision based on pre-bid responses.</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7.3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Likelihood</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5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procurement delay (RITES-side)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Staging A100 available as fallback for extended demo/testing. Gemma 4 26B MoE tested on CPU for UAT (degraded latency acceptable). LD clock pauses per dependency SLA.</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Sector KG sign-off bottleneck</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Medium</w:t>
            </w:r>
          </w:p>
        </w:tc>
        <w:tc>
          <w:tcPr>
            <w:tcW w:type="dxa" w:w="5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GenAI acceleration shortens our preparation time, maximising RITES review window. Parallel sector KG development (all 8 started simultaneously). Staggered deployment — each signed-off KG goes live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Scanned DPR accuracy below SLA at M2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 IDP pipeline (Granite-Docling-258M + Sarvam Vision for Indic). Human correction workflow for low-confidence pages. M2 target is ≥85% — conservative; Granite-Docling typically achieves ≥90% on clean scans.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Open-weight model landscape shifts during project</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Very Low</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Low</w:t>
            </w:r>
          </w:p>
        </w:tc>
        <w:tc>
          <w:tcPr>
            <w:tcW w:type="dxa" w:w="5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LLM-agnostic gateway (LiteLLM Proxy) means model upgrades are config changes, not code changes. Validated test suite ensures regression coverage for model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capital (pre-payment gap)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₹70L+ working capital provisioned for pre-M1 team ramp, Staging A100, and dev infrastructure. M2 payment (25%) arrives at D+3m.</w:t>
            </w:r>
          </w:p>
        </w:tc>
      </w:tr>
    </w:tbl>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§8</w:t>
            </w:r>
          </w:p>
        </w:tc>
        <w:tc>
          <w:tcPr>
            <w:tcW w:type="dxa" w:w="8560"/>
            <w:tcBorders>
              <w:top w:val="single" w:color="1F3864" w:sz="1"/>
              <w:left w:val="single" w:color="1F3864" w:sz="1"/>
              <w:bottom w:val="single" w:color="1F3864" w:sz="1"/>
              <w:right w:val="single" w:color="1F3864" w:sz="1"/>
            </w:tcBorders>
            <w:shd w:fill="D6E4F0" w:val="clear"/>
            <w:tcMar>
              <w:top w:type="dxa" w:w="100"/>
              <w:left w:type="dxa" w:w="200"/>
              <w:bottom w:type="dxa" w:w="100"/>
              <w:right w:type="dxa" w:w="120"/>
            </w:tcMar>
            <w:vAlign w:val="center"/>
          </w:tcPr>
          <w:p>
            <w:r>
              <w:rPr>
                <w:rFonts w:ascii="Arial" w:cs="Arial" w:eastAsia="Arial" w:hAnsi="Arial"/>
                <w:b/>
                <w:bCs/>
                <w:color w:val="1F3864"/>
                <w:sz w:val="26"/>
                <w:szCs w:val="26"/>
              </w:rPr>
              <w:t xml:space="preserve">Security, Compliance and Operations</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8.1  Security Architecture — Full OWASP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OWASP Standard</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Scope</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Our 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Top 10 (Web)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React web interfaces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validation + sanitisation on all form fields; CSP headers; CSRF token on all state-changing requests; SQL injection prevention via SQLAlchemy ORM; XSS prevention via React's JSX auto-escaping; prepared statements in all raw queries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OWASP API Security Top 10</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FastAPI endpoints exposed via APISIX</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JWT authentication on every endpoint; RBAC enforced at APISIX plugin level before request reaches application; rate limiting configurable per endpoint per role; all inputs validated against Pydantic schemas; no sensitive data in error messages; API versioning with deprecation policy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Top 10 for LLMs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LLM inference paths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LLM01 (Prompt Injection): input sanitisation + prompt structure hardening + output validation. LLM03 (Training Data Poisoning): controlled ingestion pipeline + data quality gates. LLM04 (Model DoS): rate limiting on inference API via LiteLLM Proxy. LLM06 (Sensitive Info Disclosure): DPR data never sent to external models. LLM08 (Excessive Agency): human confirmation gate on all AI outputs. LLM10 (Model Theft): self-hosted models with access controls on weight files.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OWASP ASVS Level 2</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Full platform</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Compliance documented and verified before Go-Live. Compliance certificate submitted with M4 deliverables.</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8.2  VAPT — Three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560"/>
        <w:gridCol w:w="22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Round</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Timing</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Scope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1 — Pre-UAT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M3 sign-off (D+5m)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layer, all APIs, data layer, containers, host OS, AI/ML inference paths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Critical/High remediated before UAT commencement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Round 2 — Pre-Go-Live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Before M4 acceptance (D+7m)</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Full scope including UAT environment. CERT-In aligned testing methodology.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Zero Critical or High vulnerabilities open at Go-Live. Compliance certificate submitted.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3 — Annual AMC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Annually during 15-month AMC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production scope. Scheduled with RITES IT in advance.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submitted within 30 days of testing. Remediation plan with timelines.</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8.3  Secure Development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SSDLC Control</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 Method</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Analysis (SAST)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Bandit (Python) + SonarQube — integrated in GitLab CE CI 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merge request — Critical findings block merge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Dependency Vulnerability Scanning</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Trivy scans all container images and Python/Node dependency manifests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Daily automated scan — Critical/High CVEs alert within 24 hours, must be remediated within 30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Scanning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GitLeaks in CI pipeline + OpenBao (HashiCorp Vault Apache 2.0 fork) for runtime secrets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commit — no hardcoded credentials in any branch</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 Scanning</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Trivy image scan in CI/CD before push to registry</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Every container build — no Critical/High CVEs in production images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SBOM Generation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Syft/Grype — SPDX 2.3 / CycloneDX 1.4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Milestones M1, M2, M3, M4, Go-Live, and on any dependency change during AMC</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AI Model Provenance</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Model weight checksums verified against HuggingFace/AIKosh published hashes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Before each model deployment — included in SBOM</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8.4  AMC — 15 Months from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1400"/>
        <w:gridCol w:w="16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Resolution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 — 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platform outage or AI generating materially incorrect financial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 after resolution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S2 — High</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Major module unavailable, no workaround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 min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 hours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48 hours after resolution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 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degradation, workaround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working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request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S4 — Low</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Minor defect, cosmetic issue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 hours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 working days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Not applicable</w:t>
            </w:r>
          </w:p>
        </w:tc>
      </w:tr>
    </w:tbl>
    <w:p>
      <w:pPr>
        <w:spacing w:after="60" w:before="0"/>
      </w:pPr>
      <w:r>
        <w:t xml:space="preserve"/>
      </w:r>
    </w:p>
    <w:p>
      <w:pPr>
        <w:spacing w:after="80" w:before="60"/>
      </w:pPr>
      <w:r>
        <w:rPr>
          <w:rFonts w:ascii="Arial" w:cs="Arial" w:eastAsia="Arial" w:hAnsi="Arial"/>
          <w:sz w:val="22"/>
          <w:szCs w:val="22"/>
        </w:rPr>
        <w:t xml:space="preserve">Monthly reporting: (1) SLA Performance Report — submitted within 5 working days of month end. (2) AI Confidence &amp; Hallucination Audit Report — covering low-confidence outputs, reviewer corrections, false positives/negatives, hallucinated references, and corrective actions taken. (3) SBOM update when any dependency changes.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8.5  IP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IP Category</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Ownership</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custom-developed code, configs, AI models, model weights, documentation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RITES Ltd. exclusively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source code handover at M4 and project completion</w:t>
            </w:r>
          </w:p>
        </w:tc>
      </w:tr>
      <w:tr>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Ontology structures, validation rules, benchmarking datasets, appraisal methodologies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RITES Ltd. exclusively</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These are RITES institutional knowledge assets, not service provider deliverables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patents arising from work under this contract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RITES Ltd.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ATC2 Section 6.7.11</w:t>
            </w:r>
          </w:p>
        </w:tc>
      </w:tr>
      <w:tr>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Bidder's pre-existing IP</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Bidder</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RITES receives perpetual, irrevocable, royalty-free, non-exclusive, transferable licence to use within PARAKH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DPR data, historical datasets, derived intelligence outputs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RITES Ltd.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Bidder shall not use RITES data for other clients, model training outside this project, or any purpose beyond this contract</w:t>
            </w:r>
          </w:p>
        </w:tc>
      </w:tr>
    </w:tbl>
    <w:p>
      <w:pPr>
        <w:spacing w:after="60" w:before="0"/>
      </w:pPr>
      <w:r>
        <w:t xml:space="preserve"/>
      </w:r>
    </w:p>
    <w:p>
      <w:pPr>
        <w:pStyle w:val="Heading2"/>
        <w:spacing w:after="100" w:before="280"/>
      </w:pPr>
      <w:r>
        <w:rPr>
          <w:rFonts w:ascii="Arial" w:cs="Arial" w:eastAsia="Arial" w:hAnsi="Arial"/>
          <w:b/>
          <w:bCs/>
          <w:color w:val="2E75B6"/>
          <w:sz w:val="26"/>
          <w:szCs w:val="26"/>
        </w:rPr>
        <w:t xml:space="preserve">8.6  Open-Source Licence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Permitted</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Prohibited in Staging/UAT/Production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licences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2.0, MIT, BSD (2-clause, 3-clause), MPL 2.0, EPL 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GPL (any version), AGPL (any version), SSPL, CC Non-Commercial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SeaweedFS (Apache 2.0)</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MinIO (AGPL/SSPL) — excluded per ATC2 licence policy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management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OpenBao (Apache 2.0 — HashiCorp Vault fork)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HashiCorp Vault commercial (BSL since 2023)</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LLM Models</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Gemma 4 (Apache 2.0), Sarvam-M (Apache 2.0)</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Any model with data-use restrictions or closed-source licence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LLM API calls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environment only (Claude API, GPT-4, Gemini — developer tools)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PROHIBITED in Staging, UAT, Production — ATC2 Clause 5.18 disqualification risk</w:t>
            </w:r>
          </w:p>
        </w:tc>
      </w:tr>
    </w:tbl>
    <w:p>
      <w:pPr>
        <w:spacing w:after="60" w:before="0"/>
      </w:pPr>
      <w:r>
        <w:t xml:space="preserve"/>
      </w:r>
    </w:p>
    <w:p>
      <w:pPr>
        <w:spacing w:after="60" w:before="0"/>
      </w:pPr>
      <w:r>
        <w:t xml:space="preserve"/>
      </w:r>
    </w:p>
    <w:p>
      <w:pPr>
        <w:pBdr>
          <w:bottom w:val="single" w:color="2E75B6" w:sz="6" w:space="1"/>
        </w:pBdr>
        <w:spacing w:after="120" w:before="120"/>
      </w:pPr>
    </w:p>
    <w:p>
      <w:pPr>
        <w:spacing w:after="60" w:before="120"/>
        <w:jc w:val="center"/>
      </w:pPr>
      <w:r>
        <w:rPr>
          <w:rFonts w:ascii="Arial" w:cs="Arial" w:eastAsia="Arial" w:hAnsi="Arial"/>
          <w:color w:val="595959"/>
          <w:sz w:val="18"/>
          <w:szCs w:val="18"/>
        </w:rPr>
        <w:t xml:space="preserve">PARAKH Technical Proposal  ·  RITES/ITES/APR/2026  ·  Sections 3–8  ·  CONFIDENTIAL</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pPr>
    <w:r>
      <w:rPr>
        <w:rFonts w:ascii="Arial" w:cs="Arial" w:eastAsia="Arial" w:hAnsi="Arial"/>
        <w:color w:val="595959"/>
        <w:sz w:val="16"/>
        <w:szCs w:val="16"/>
      </w:rPr>
      <w:t xml:space="preserve">CONFIDENTIAL — Submitted to RITES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595959"/>
        <w:sz w:val="16"/>
        <w:szCs w:val="16"/>
      </w:rPr>
      <w:t xml:space="preserve">PARAKH — AI-Based DPR Appraisal Platform  |  Technical Proposal  |  RITES/ITES/APR/2026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8c25074cf53df0843282fae07d1d4ce7c33d17.png"/><Relationship Id="rId10" Type="http://schemas.openxmlformats.org/officeDocument/2006/relationships/image" Target="media/28b64d4ab1dd791fd927cdcaf319095827b9c806.png"/><Relationship Id="rId11" Type="http://schemas.openxmlformats.org/officeDocument/2006/relationships/image" Target="media/bed939cc130697c48308f1bdd94768c0555f1af7.png"/><Relationship Id="rId12" Type="http://schemas.openxmlformats.org/officeDocument/2006/relationships/image" Target="media/b16fef740d5cb86080304c259c987cbc6a39a3d8.png"/><Relationship Id="rId13" Type="http://schemas.openxmlformats.org/officeDocument/2006/relationships/image" Target="media/3787a4c62e5e6aad4e2664ce700e8c48f4183cd0.png"/><Relationship Id="rId14" Type="http://schemas.openxmlformats.org/officeDocument/2006/relationships/image" Target="media/fa926846cf2d941739728f12b5e361b19f97e87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2026-05-06T17:12:42.947Z</dcterms:created>
  <dcterms:modified xsi:type="dcterms:W3CDTF">2026-05-06T17:12:42.962Z</dcterms:modified>
</cp:coreProperties>
</file>

<file path=docProps/custom.xml><?xml version="1.0" encoding="utf-8"?>
<Properties xmlns="http://schemas.openxmlformats.org/officeDocument/2006/custom-properties" xmlns:vt="http://schemas.openxmlformats.org/officeDocument/2006/docPropsVTypes"/>
</file>