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240" w:line="300" w:lineRule="auto"/>
        <w:jc w:val="center"/>
      </w:pPr>
      <w:r>
        <w:rPr>
          <w:rFonts w:ascii="黑体" w:eastAsia="黑体" w:hAnsi="黑体" w:cs="黑体" w:hint="eastAsia"/>
          <w:sz w:val="40"/>
          <w:szCs w:val="40"/>
        </w:rPr>
        <w:t xml:space="preserve">Playwright 测试自愈隐性误修复检测与防范方法</w:t>
      </w:r>
    </w:p>
    <w:p>
      <w:pPr>
        <w:spacing w:before="0" w:after="80" w:line="300" w:lineRule="auto"/>
        <w:jc w:val="center"/>
      </w:pPr>
      <w:r>
        <w:rPr>
          <w:rFonts w:ascii="Times New Roman" w:eastAsia="楷体" w:hAnsi="Times New Roman" w:cs="Times New Roman" w:hint="eastAsia"/>
          <w:sz w:val="28"/>
          <w:szCs w:val="28"/>
        </w:rPr>
        <w:t xml:space="preserve">高东彪</w:t>
      </w:r>
    </w:p>
    <w:p>
      <w:pPr>
        <w:spacing w:before="0" w:after="240" w:line="300" w:lineRule="auto"/>
        <w:jc w:val="center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软视软件（苏州）有限公司，江苏 苏州 215000</w:t>
      </w:r>
    </w:p>
    <w:p>
      <w:pPr>
        <w:spacing w:before="0" w:after="100" w:line="280" w:lineRule="auto"/>
        <w:jc w:val="both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摘要：</w:t>
      </w:r>
      <w:r>
        <w:rPr>
          <w:rFonts w:ascii="Times New Roman" w:eastAsia="宋体" w:hAnsi="Times New Roman" w:cs="Times New Roman" w:hint="eastAsia"/>
          <w:sz w:val="18"/>
          <w:szCs w:val="18"/>
        </w:rPr>
        <w:t xml:space="preserve">针对大语言模型驱动的 Playwright 测试自愈可能把测试改写到错误元素的问题，研究设计了一种基于候选移除探针的隐性误修复检测方法，并给出确定性后置过滤与行为重放验证相结合的防范思路。在 ReproBreak 数据集 koenig 项目的 75 个可达失效用例上，qwen2.5-coder:7b 的隐性误修复率为 78.7%，加入放弃提示后逐例判定没有变化；gpt-4o 与 deepseek-v4-flash 分别由 84.0%、80.0% 降至 68.0%、70.7%，仍有过半用例被静默改写。强锚点后置过滤带来零回归的局部改进，但收益随模型和候选分布变化。在 payloadcms/payload 的 319 个失效对上，静态可达率由 80.6% 降至 3.8%，原因指向 BEM 模板字面量类名。实验表明，仅靠提示文本难以形成可审计的安全边界，需要在模型之外增加确定性拒绝与行为重放验证。</w:t>
      </w:r>
    </w:p>
    <w:p>
      <w:pPr>
        <w:spacing w:before="0" w:after="240" w:line="280" w:lineRule="auto"/>
        <w:jc w:val="both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关键词：</w:t>
      </w:r>
      <w:r>
        <w:rPr>
          <w:rFonts w:ascii="Times New Roman" w:eastAsia="宋体" w:hAnsi="Times New Roman" w:cs="Times New Roman" w:hint="eastAsia"/>
          <w:sz w:val="18"/>
          <w:szCs w:val="18"/>
        </w:rPr>
        <w:t xml:space="preserve">测试自愈；Playwright；大语言模型；隐性误修复；行为重放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1 概述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Playwright 测试对页面结构变化很敏感。一次 CSS 类名重命名、一次组件重新嵌套，或者一次行为不变的处理函数重构，都可能让一批端到端测试找不到原来的元素。GUI 测试领域的研究把界面变更引起的脆弱性列为关键挑战[1-2]。常见的应对是测试自愈：定位器失效后，自动把它改写成指向新文档对象模型（Document Object Model，DOM）中“等价”元素的选择器。Healenium 依靠 DOM 相似度修复 Selenium 选择器，HealReact 则用可访问性树做确定性重抽取，并在单个演示站点上报告了 100% 通过率[3]。近年来，大语言模型被用于缺陷检测、修复和模糊测试，定位器修复是其中较直接的一类应用[4-5]。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现有评测大多看补丁能否让测试重新通过，很少检查补丁是否指向开发者真正期望的元素。修复器只要找到一个能解析的 CSS 或 Playwright 选择器，测试就会“变绿”；如果这个选择器落到了相邻的按钮、标题或容器上，真实 UI 变更就被掩盖了。研究把这种情况称为隐性误修复。它不会报错，也不会让构建失败，因此比一次显式的测试失败更难发现。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围绕这一问题，研究做了三件事：设计候选移除探针，在 ReproBreak 数据集[6]的真实 React 代码库上测量隐性误修复率；比较本地 7B 模型与两个 API 模型在放弃提示下的表现；给出确定性后置过滤与行为重放验证的工程防范思路，并用第二个 React 项目检查方法的跨应用适应性。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2 检测方法与测量平台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2.1 候选移除探针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探针的思路很直接。对每一个可达的失效用例，先从候选集中删掉 ground truth 元素，再让修复器在剩余候选里选。此时正确行为是放弃，即输出 CANDIDATE_IDX: -1；只要模型给出一个能解析的选择器，这个选择器就一定指向了错误元素，记为一次隐性误修复。这样构造的好处是判定不依赖人工标注：解析器能把选择器映射到 LocatorSheet 中的哪条记录，结果是确定的。ground truth 来自 ReproBreak 的 new_locator，经解析器映射到 LocatorSheet 中的元素；移除之后，模型没有任何合法答案可选。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实验使用 ReproBreak 中 koenig 项目的 75 个可达失效用例。ReproBreak 的 93 个失效目标里有 18 个在静态层面无法到达，既构造不出候选池，也无从判断修复器选得对不对，因此测量只覆盖其余用例。候选来自 L1 静态基底，修复器分别使用 qwen2.5-coder:7b[7]、gpt-4o 和 deepseek-v4-flash，temperature 均为 0。提示有两种：Vanilla 与 L3 基线相同；Abstain 在同一提示后加一条“如无候选契合则放弃”的规则。两种提示共用同一候选集、同一解析器和同一判定标准。模型被要求输出 SELECTOR、CANDIDATE_IDX 和 RATIONALE 三行纯文本。早期版本试过 JSON，但模型在 selector 中反复输出未转义引号，解析经常失败，后来改成了纯文本。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2.2 L1/L3 静态基底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L1 层用 ts-morph 遍历 .tsx/.jsx 文件，为每个交互式 JSX 元素生成一条 LocatorSheet 记录，字段包括标签、父链、role、data-testid、aria-label、id、className 以及任意 data-* 属性。抽取器把带有稳定锚点的元素都视为可交互，而不只认标准 HTML 标签；在 koenig 上，这一改动把锚点覆盖率从 22% 提高到 48%，解析器命中率从 0 提高到 71%。每个 commit 平均得到约 400 条记录，静态层面能到达 93 个真实失效目标中的 75 个，可达率 80.6%。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L3 层在 L1 产出的候选上调用代码模型，要求输出三行：SELECTOR、CANDIDATE_IDX 和 RATIONALE。候选按 token 重叠打分检索，testId 权重为 3，data 属性为 2，aria/id/class/text/path 为 1。解析器把模型给出的选择器与 LocatorSheet 记录做匹配，以此判断它是精确命中、误修复还是无法解析。解析器要处理引号感知的嵌套参数、动态 JS 表达式属性值和裸属性选择器；早期版本曾因解析缺陷把可达率虚抬到 85%–98%，修正后统一采用 80.6% 这一较保守的数字。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各项指标都在选择器解析层面计算：可达率是断裂选择器能否解析到某条记录；top-1 精确匹配是修复后的选择器与 ground truth 是否落到同一条记录；隐性误修复率是在目标被移除的用例中，模型给出可解析但错误选择器的比例。它们不是端到端 Playwright 通过率。检测与防范的总体流程如图 1 所示。</w:t>
      </w:r>
    </w:p>
    <w:p>
      <w:pPr>
        <w:keepNext/>
        <w:spacing w:before="120" w:after="60" w:line="240" w:lineRule="auto"/>
        <w:jc w:val="center"/>
      </w:pPr>
      <w:r>
        <w:drawing>
          <wp:inline distT="0" distB="0" distL="0" distR="0">
            <wp:extent cx="5652000" cy="2260800"/>
            <wp:effectExtent l="0" t="0" r="0" b="0"/>
            <wp:docPr id="1" name="图1 隐性误修复检测与防范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g1_workflow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2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80" w:line="240" w:lineRule="auto"/>
        <w:jc w:val="center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图 1 隐性误修复检测与防范流程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3 实验与结果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3.1 三种模型的误修复率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表 1 给出 75 个可达用例上的结果。qwen2.5-coder:7b 在 Vanilla 下有 59 个用例给出错误但可解析的选择器，误修复率 78.7%；13 个用例放弃，3 个无法解析。加上放弃规则后，三个数字都没有变化，逐用例配对也完全一致，说明这个 7B 模型没有把“必要时放弃”的提示转化为可观察行为。78.7% 是在目标被强制移除的对抗性条件下得到的上界，不是日常部署中的误修复率。</w:t>
      </w:r>
    </w:p>
    <w:p>
      <w:pPr>
        <w:keepNext/>
        <w:spacing w:before="120" w:after="60" w:line="240" w:lineRule="auto"/>
        <w:jc w:val="center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表 1 候选移除探针下三种模型的误修复率</w:t>
      </w:r>
    </w:p>
    <w:tbl>
      <w:tblPr>
        <w:tblW w:w="5000" w:type="pct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3400"/>
        <w:gridCol w:w="1900"/>
        <w:gridCol w:w="1900"/>
        <w:gridCol w:w="1800"/>
      </w:tblGrid>
      <w:tr>
        <w:trPr>
          <w:cantSplit/>
          <w:tblHeader/>
        </w:trPr>
        <w:tc>
          <w:tcPr>
            <w:tcW w:w="34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模型</w:t>
            </w:r>
          </w:p>
        </w:tc>
        <w:tc>
          <w:tcPr>
            <w:tcW w:w="19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提示</w:t>
            </w:r>
          </w:p>
        </w:tc>
        <w:tc>
          <w:tcPr>
            <w:tcW w:w="19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误修复用例数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误修复率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qwen2.5-coder:7b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Vanilla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59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78.7%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qwen2.5-coder:7b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Abstain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59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78.7%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gpt-4o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Vanilla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63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84.0%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gpt-4o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Abstain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51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68.0%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deepseek-v4-flash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Vanilla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60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80.0%</w:t>
            </w:r>
          </w:p>
        </w:tc>
      </w:tr>
      <w:tr>
        <w:trPr>
          <w:cantSplit/>
        </w:trPr>
        <w:tc>
          <w:tcPr>
            <w:tcW w:w="3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deepseek-v4-flash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Abstain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53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70.7%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eastAsia="宋体" w:hAnsi="Times New Roman" w:cs="Times New Roman" w:hint="eastAsia"/>
          <w:sz w:val="16"/>
          <w:szCs w:val="16"/>
        </w:rPr>
        <w:t xml:space="preserve">注：分母均为 75 个可达用例。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两个 API 模型的反应不同。gpt-4o 从 63/75（84.0%）降到 51/75（68.0%），deepseek-v4-flash 从 60/75（80.0%）降到 53/75（70.7%）。逐例看，gpt-4o 有 12 个原本误修复的用例改成了放弃，deepseek-v4-flash 有 8 个改成放弃，另有 1 个未解析转为误修复。McNemar 精确检验的 p 值分别为 0.0005 和 0.039，说明放弃提示确实起了作用；但两个模型仍有超过一半的用例输出了错误但可解析的选择器。一种可能的解释是，模型越强，越能在“生成一个看起来合理的答案”和“承认没有答案”之间做权衡，但后者始终没有确定性保证。Qwen 为什么完全不响应，研究没有做消融来分离原因。一个合理的猜测是，7B 模型在正确候选项被删除后，仍会从剩余候选里挑一个最接近的；放弃规则要求它先承认“没有答案”，这一步对该模型偏难。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3.2 后置过滤的有限收益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在 L3 基线上，研究比较了两个低开销的确定性手段：testId 加权检索和强锚点后置过滤。Qwen 上两杠杆全开时，top-1 精确匹配从 55/75（73.3%）提高到 58/75（77.3%），新增 3 个正确用例，没有回归。单开任一杠杆都是 +2/-0，两杠杆同开为 +3/-0，McNemar 检验的 p 值均不低于 0.25。DeepSeek 上的结果更集中：基线为 68/75（90.7%）；仅后置过滤为 72/75（96.0%，+4/-0），testId 加权为 68/75（+5/-5）的净零交换，两者同开反而低于仅过滤。所有差异在 n=75 下都没有达到统计显著。表 2 汇总了静态基底与后置过滤的主要数字。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如果按完整的 93 个失效目标计算，把不可达用例一并计入分母，两杠杆全开的 top-1 精确匹配从 59.1% 升到 62.4%。77.3% 描述的只是工具在“看得见”的目标里的表现，这两个数字应当分开使用。</w:t>
      </w:r>
    </w:p>
    <w:p>
      <w:pPr>
        <w:keepNext/>
        <w:spacing w:before="120" w:after="60" w:line="240" w:lineRule="auto"/>
        <w:jc w:val="center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表 2 静态基底与确定性杠杆的主要结果</w:t>
      </w:r>
    </w:p>
    <w:tbl>
      <w:tblPr>
        <w:tblW w:w="5000" w:type="pct"/>
        <w:jc w:val="center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0" w:type="dxa"/>
          <w:left w:w="108" w:type="dxa"/>
          <w:bottom w:w="20" w:type="dxa"/>
          <w:right w:w="108" w:type="dxa"/>
        </w:tblCellMar>
      </w:tblPr>
      <w:tblGrid>
        <w:gridCol w:w="3500"/>
        <w:gridCol w:w="2500"/>
        <w:gridCol w:w="3000"/>
      </w:tblGrid>
      <w:tr>
        <w:trPr>
          <w:cantSplit/>
          <w:tblHeader/>
        </w:trPr>
        <w:tc>
          <w:tcPr>
            <w:tcW w:w="35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w="25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设置</w:t>
            </w:r>
          </w:p>
        </w:tc>
        <w:tc>
          <w:tcPr>
            <w:tcW w:w="3000" w:type="dxa"/>
            <w:tcBorders>
              <w:bottom w:val="single" w:sz="6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eastAsia="黑体" w:hAnsi="黑体" w:cs="黑体" w:hint="eastAsia"/>
                <w:b/>
                <w:bCs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L1 静态可达率（koenig）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宽松解析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75/93（80.6%）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L1 静态可达率（koenig）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收紧解析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51/93（54.8%）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L1 静态可达率（payload）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宽松解析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12/319（3.8%）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qwen，无杠杆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55/75（73.3%）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qwen，两杠杆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58/75（77.3%）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deepseek，无杠杆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68/75（90.7%）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deepseek，仅过滤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72/75（96.0%）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deepseek，仅加权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68/75（90.7%）</w:t>
            </w:r>
          </w:p>
        </w:tc>
      </w:tr>
      <w:tr>
        <w:trPr>
          <w:cantSplit/>
        </w:trPr>
        <w:tc>
          <w:tcPr>
            <w:tcW w:w="3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L3 top-1 精确匹配</w:t>
            </w:r>
          </w:p>
        </w:tc>
        <w:tc>
          <w:tcPr>
            <w:tcW w:w="2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deepseek，两杠杆</w:t>
            </w:r>
          </w:p>
        </w:tc>
        <w:tc>
          <w:tcPr>
            <w:tcW w:w="3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69/75（92.0%）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eastAsia="宋体" w:hAnsi="Times New Roman" w:cs="Times New Roman" w:hint="eastAsia"/>
          <w:sz w:val="16"/>
          <w:szCs w:val="16"/>
        </w:rPr>
        <w:t xml:space="preserve">注：L3 指标以 75 个可达用例为分母；L1 可达率以各项目的失效目标总数为分母。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因此，研究把后置过滤看作一条低开销、零回归的工程线索，而不是已经统计确立的性能提升。它不依赖模型偏好，只按锚点类别做输出约束；加权检索则会重排候选，收益随底层模型和候选分布变化。DeepSeek 的复现说明，后置过滤的可迁移性比 testId 加权更好；加权会改变候选顺序，而过滤已经剔除弱锚点，重排不再带来稳定收益。</w:t>
      </w:r>
    </w:p>
    <w:p>
      <w:pPr>
        <w:keepNext/>
        <w:spacing w:before="120" w:after="60" w:line="300" w:lineRule="auto"/>
        <w:jc w:val="left"/>
      </w:pPr>
      <w:r>
        <w:rPr>
          <w:rFonts w:ascii="黑体" w:eastAsia="黑体" w:hAnsi="黑体" w:cs="黑体" w:hint="eastAsia"/>
          <w:sz w:val="21"/>
          <w:szCs w:val="21"/>
        </w:rPr>
        <w:t xml:space="preserve">3.3 跨应用的可达率下降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为了检查方法是否只在 koenig 上成立，研究在 payloadcms/payload 上运行了未修改的 L1 抽取器。payload 是 ReproBreak 中第二大的 Playwright 案例组，包含 319 个失效配对；在 HEAD 版本上抽取到 457 条记录，ReproBreak 标注的 319 个新定位器中只有 12 个能被静态解析，即 3.8%；koenig 是 75/93，即 80.6%。80.6% 是宽松解析器假设下的上界，收紧假设后会降到 54.8%。payload 的 457 条是 HEAD 单次抽取的结果；koenig 的约 400 条是每个 commit 的平均值。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下降的原因在锚点约定，不在抽取器本身。payload 使用 BEM：组件先声明 const baseClass = 'dashboard'，再用模板字面量拼出 className={`${baseClass}__add-button`}。测试引用的是渲染后的 .dashboard__add-button，而只处理字面量的 AST 抽取器看不到这个类名。未命中的 307 个用例做过非系统抽样，看到的是同一类问题。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这一结果暴露的是一处范围明确的盲区，L1 的设计本身并未被否证。跨应用泛化的第一道关卡很可能在锚点约定这一层。一个只在单一应用上测过的修复工具，很容易高估自己的适用范围。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工程团队在引入自愈工具前，应先统计自己代码库的锚点写法：data-testid 占多少，className 是静态字符串还是模板拼接，组件库有没有封装测试属性。锚点越接近静态字面量，L1 类方法的覆盖越高；如果大量使用 BEM 或 CSS Modules，就需要先补展开器，否则工具会把大批用例判为不可达。把 baseClass 常量回溯并展开模板字面量，再补一个 CSS Modules 等价的展开器，是确定性的修复方向，研究把它留作后续工作。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4 工程防范建议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把上述结果放回持续集成（Continuous Integration，CI）场景，最直接的建议是不要自动合并大语言模型提出的选择器补丁。修复器让构建失败并不可怕，测试本来就该在 UI 变更时失败；危险的是它让构建通过，但通过对的是错误的目标。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一层防线是确定性后置过滤：优先保留 data-testid、data-kg-* 这类强锚点，弱锚点候选只在没有强锚点时使用。这个手段开销低，不改变模型，也不依赖提示，适合放在补丁生成和合并之间。另一层是行为重放：在真实浏览器里重放打过补丁的测试，比较目标元素的可见文本、role、可交互性和网络请求；如果补丁指向的元素与失败前的行为不一致，就拒绝。研究没有实现完整的重放验证器，只在 3 个静态精确匹配用例（编号 615、702、703）上做了 Docker 重放，其中 615 和 703 通过，702 因等待 color-picker-toggle 超时失败。这个样本很小，只能说明静态匹配与运行时结果之间确实存在差距：静态精确匹配既有可迁移的案例，也会因可见性、时序或上下文差异而失败。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候选移除探针本身也可以作为自愈工具的回归测试。更换模型、调整提示或修改检索权重后，在一个固定的可达用例集上跑一遍探针，比较误修复率，就能看出改动是否只是把错误答案换了个写法。这项检查不需要人工标注，适合跟着模型升级周期定期执行；它不替代行为重放，但成本更低，能在早期拦住明显退化的版本。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在无人值守流水线里，比较稳妥的做法是把 LLM 补丁当作候选，经过后置过滤和行为重放，再由人确认是否合并。把 78.7% 与 18/93 的不可达比例相乘，可以得到约 15% 的粗略风险上界；这不是实测部署率，但足以说明为什么不能只看“测试是否变绿”。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5 结语</w:t>
      </w:r>
    </w:p>
    <w:p>
      <w:pPr>
        <w:spacing w:before="0" w:after="0" w:line="300" w:lineRule="auto"/>
        <w:ind w:firstLine="420"/>
        <w:jc w:val="both"/>
      </w:pPr>
      <w:r>
        <w:rPr>
          <w:rFonts w:ascii="Times New Roman" w:eastAsia="宋体" w:hAnsi="Times New Roman" w:cs="Times New Roman" w:hint="eastAsia"/>
          <w:sz w:val="21"/>
          <w:szCs w:val="21"/>
        </w:rPr>
        <w:t xml:space="preserve">研究用候选移除探针测量了大语言模型测试自愈的隐性误修复。结果表明，本地 7B 模型对放弃提示不敏感，两个 API 模型能部分响应，但仍有过半错误补丁可解析；确定性后置过滤能带来零回归的局部改进，跨应用的可达率则受锚点文化制约。无人值守 CI 中，更可靠的路线是在模型之外增加确定性拒绝和行为重放验证，而不是继续加长提示词。后续工作包括把运行时 DOM 捕获和行为重放接入流水线，并在更多 React 项目上验证锚点文化的分布。</w:t>
      </w:r>
    </w:p>
    <w:p>
      <w:pPr>
        <w:keepNext/>
        <w:spacing w:before="240" w:after="120" w:line="300" w:lineRule="auto"/>
        <w:jc w:val="left"/>
      </w:pPr>
      <w:r>
        <w:rPr>
          <w:rFonts w:ascii="黑体" w:eastAsia="黑体" w:hAnsi="黑体" w:cs="黑体" w:hint="eastAsia"/>
          <w:sz w:val="28"/>
          <w:szCs w:val="28"/>
        </w:rPr>
        <w:t xml:space="preserve">参考文献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[1] 李聪, 蒋炎岩, 许畅. 基于GUI事件的安卓应用录制重放关键技术综述[J]. 软件学报, 2022, 33(5): 1612-1634.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[2] 王博, 陈冲, 邓明, 等. 移动应用GUI测试自动生成技术综述[J]. 软件学报, 2025, 36(6): 2713-2746.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[3] JOSEPH R N. Beyond LLM-based test automation: a zero-cost self-healing approach using DOM accessibility tree extraction[EB/OL]. arXiv:2603.20358, 2026[2026-06-20]. https://arxiv.org/abs/2603.20358.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[4] 香佳宏, 徐霄阳, 孔繁初, 等. 大模型在软件缺陷检测与修复的应用发展综述[J]. 软件学报, 2025, 36(4): 1489-1529.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[5] 李斌, 贺也平, 马恒太. 程序自动修复: 关键问题及技术[J]. 软件学报, 2019, 30(2): 244-265.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[6] DE MOURA T S, ADAMIETZ L, MEHBOOB S, et al. ReproBreak: a dataset of reproducible web locator breaks[EB/OL]. arXiv:2605.12158, 2026[2026-06-20]. https://arxiv.org/abs/2605.12158.</w:t>
      </w:r>
    </w:p>
    <w:p>
      <w:pPr>
        <w:spacing w:before="0" w:after="60" w:line="260" w:lineRule="auto"/>
        <w:ind w:left="360" w:hanging="360"/>
        <w:jc w:val="both"/>
      </w:pPr>
      <w:r>
        <w:rPr>
          <w:rFonts w:ascii="Times New Roman" w:eastAsia="宋体" w:hAnsi="Times New Roman" w:cs="Times New Roman" w:hint="eastAsia"/>
          <w:sz w:val="18"/>
          <w:szCs w:val="18"/>
        </w:rPr>
        <w:t xml:space="preserve">[7] HUI B, YANG J, CUI Z, et al. Qwen2.5-Coder technical report[EB/OL]. arXiv:2409.12186, 2024[2026-06-20]. https://arxiv.org/abs/2409.12186.</w:t>
      </w:r>
    </w:p>
    <w:p>
      <w:pPr>
        <w:spacing w:before="240" w:after="0" w:line="280" w:lineRule="auto"/>
        <w:jc w:val="both"/>
      </w:pPr>
      <w:r>
        <w:rPr>
          <w:rFonts w:ascii="黑体" w:eastAsia="黑体" w:hAnsi="黑体" w:cs="黑体" w:hint="eastAsia"/>
          <w:b/>
          <w:bCs/>
          <w:sz w:val="18"/>
          <w:szCs w:val="18"/>
        </w:rPr>
        <w:t xml:space="preserve">作者简介：</w:t>
      </w:r>
      <w:r>
        <w:rPr>
          <w:rFonts w:ascii="Times New Roman" w:eastAsia="宋体" w:hAnsi="Times New Roman" w:cs="Times New Roman" w:hint="eastAsia"/>
          <w:sz w:val="18"/>
          <w:szCs w:val="18"/>
        </w:rPr>
        <w:t xml:space="preserve">高东彪（1986—），男，工程师，学士，研究方向为 AI 在软件测试中的应用。</w:t>
      </w:r>
    </w:p>
    <w:sectPr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  <w:lang w:val="en-US" w:eastAsia="zh-CN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fig1_workflow.png"/><Relationship Id="rId2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软视软件（苏州）有限公司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测试自愈隐性误修复检测与防范方法</dc:title>
  <dc:creator>高东彪</dc:creator>
  <cp:lastModifiedBy>高东彪</cp:lastModifiedBy>
  <dcterms:created xsi:type="dcterms:W3CDTF">2026-10-19T00:00:00Z</dcterms:created>
  <dcterms:modified xsi:type="dcterms:W3CDTF">2026-10-19T00:00:00Z</dcterms:modified>
</cp:coreProperties>
</file>