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240" w:line="300" w:lineRule="auto"/>
        <w:jc w:val="center"/>
      </w:pPr>
      <w:r>
        <w:rPr>
          <w:rFonts w:hint="eastAsia" w:ascii="黑体" w:hAnsi="黑体" w:eastAsia="黑体" w:cs="黑体"/>
          <w:sz w:val="40"/>
          <w:szCs w:val="40"/>
        </w:rPr>
        <w:t>Playwright 测试自愈隐性误修复检测与防范方法</w:t>
      </w:r>
    </w:p>
    <w:p>
      <w:pPr>
        <w:spacing w:before="0" w:after="80" w:line="300" w:lineRule="auto"/>
        <w:jc w:val="center"/>
      </w:pPr>
      <w:r>
        <w:rPr>
          <w:rFonts w:hint="eastAsia" w:ascii="Times New Roman" w:hAnsi="Times New Roman" w:eastAsia="楷体" w:cs="Times New Roman"/>
          <w:sz w:val="28"/>
          <w:szCs w:val="28"/>
        </w:rPr>
        <w:t>高东彪</w:t>
      </w:r>
    </w:p>
    <w:p>
      <w:pPr>
        <w:spacing w:before="0" w:after="240" w:line="300" w:lineRule="auto"/>
        <w:jc w:val="center"/>
      </w:pPr>
      <w:r>
        <w:rPr>
          <w:rFonts w:hint="eastAsia" w:ascii="Times New Roman" w:hAnsi="Times New Roman" w:eastAsia="宋体" w:cs="Times New Roman"/>
          <w:sz w:val="18"/>
          <w:szCs w:val="18"/>
        </w:rPr>
        <w:t>软视软件（苏州）有限公司，江苏 苏州 215000</w:t>
      </w:r>
    </w:p>
    <w:p>
      <w:pPr>
        <w:spacing w:before="0" w:after="100" w:line="280" w:lineRule="auto"/>
        <w:jc w:val="both"/>
      </w:pPr>
      <w:r>
        <w:rPr>
          <w:rFonts w:hint="eastAsia" w:ascii="黑体" w:hAnsi="黑体" w:eastAsia="黑体" w:cs="黑体"/>
          <w:b/>
          <w:bCs/>
          <w:sz w:val="18"/>
          <w:szCs w:val="18"/>
        </w:rPr>
        <w:t>摘要：</w:t>
      </w:r>
      <w:r>
        <w:rPr>
          <w:rFonts w:hint="eastAsia" w:ascii="Times New Roman" w:hAnsi="Times New Roman" w:eastAsia="宋体" w:cs="Times New Roman"/>
          <w:sz w:val="18"/>
          <w:szCs w:val="18"/>
        </w:rPr>
        <w:t>大语言模型驱动的 Playwright 测试自愈可能把测试改写到错误的元素上。针对这一问题，研究设计了一种基于真实目标移除对照实验的隐性误修复检测方法，并给出确定性后置过滤与行为重放验证相结合的防范思路。在 ReproBreak 数据集 koenig 项目的 75 个可解析的失败用例上，qwen2.5-coder:7b 的隐性误修复率为 78.7%，加入弃权提示后，逐用例判定结果没有变化；gpt-4o 与 deepseek-v4-flash 分别由 84.0%、80.0% 降至 68.0%、70.7%，仍有过半用例被改写成错误选择器。强锚点后置过滤带来未引入回归的局部改进，但收益随模型和候选分布变化。在 payloadcms/payload 的 319 个失效样本对上，静态可解析率由 80.6% 降至 3.8%，主要原因是块—元素—修饰符（BEM）风格的模板字符串类名。实验表明，仅靠提示文本难以形成可审计的安全边界，需要在模型之外增加确定性拒绝与行为重放验证。</w:t>
      </w:r>
    </w:p>
    <w:p>
      <w:pPr>
        <w:spacing w:before="0" w:after="240" w:line="280" w:lineRule="auto"/>
        <w:jc w:val="both"/>
      </w:pPr>
      <w:r>
        <w:rPr>
          <w:rFonts w:hint="eastAsia" w:ascii="黑体" w:hAnsi="黑体" w:eastAsia="黑体" w:cs="黑体"/>
          <w:b/>
          <w:bCs/>
          <w:sz w:val="18"/>
          <w:szCs w:val="18"/>
        </w:rPr>
        <w:t>关键词：</w:t>
      </w:r>
      <w:r>
        <w:rPr>
          <w:rFonts w:hint="eastAsia" w:ascii="Times New Roman" w:hAnsi="Times New Roman" w:eastAsia="宋体" w:cs="Times New Roman"/>
          <w:sz w:val="18"/>
          <w:szCs w:val="18"/>
        </w:rPr>
        <w:t>测试自愈；Playwright；大语言模型；隐性误修复；行为重放</w:t>
      </w:r>
    </w:p>
    <w:p>
      <w:pPr>
        <w:keepNext/>
        <w:spacing w:before="240" w:after="120" w:line="300" w:lineRule="auto"/>
        <w:jc w:val="left"/>
      </w:pPr>
      <w:r>
        <w:rPr>
          <w:rFonts w:hint="eastAsia" w:ascii="黑体" w:hAnsi="黑体" w:eastAsia="黑体" w:cs="黑体"/>
          <w:sz w:val="28"/>
          <w:szCs w:val="28"/>
        </w:rPr>
        <w:t>1 概述</w:t>
      </w:r>
    </w:p>
    <w:p>
      <w:pPr>
        <w:spacing w:before="0" w:after="0" w:line="300" w:lineRule="auto"/>
        <w:ind w:firstLine="420"/>
        <w:jc w:val="both"/>
      </w:pPr>
      <w:r>
        <w:rPr>
          <w:rFonts w:hint="eastAsia" w:ascii="Times New Roman" w:hAnsi="Times New Roman" w:eastAsia="宋体" w:cs="Times New Roman"/>
          <w:sz w:val="21"/>
          <w:szCs w:val="21"/>
        </w:rPr>
        <w:t>Playwright 测试对页面结构变化很敏感。一次 CSS 类名重命名、一次组件重新嵌套，或者一次不改变行为的事件处理函数重构，都可能让一批端到端测试找不到原来的元素。GUI 测试领域的研究把界面变更引起的脆弱性列为关键挑战[1-2]。常见的应对是测试自愈：定位器（locator）失效后，自动把它改写成指向新文档对象模型（Document Object Model，DOM）中“等价”元素的选择器（selector）。Healenium 依靠 DOM 相似度修复 Selenium 选择器。HealReact 则用可访问性树确定性地重新抽取元素，并在单个演示站点上报告了 100% 通过率[3]。近年来，大语言模型被用于缺陷检测、修复和模糊测试，定位器修复是其中较直接的一类应用[4-5]。</w:t>
      </w:r>
    </w:p>
    <w:p>
      <w:pPr>
        <w:spacing w:before="0" w:after="0" w:line="300" w:lineRule="auto"/>
        <w:ind w:firstLine="420"/>
        <w:jc w:val="both"/>
      </w:pPr>
      <w:r>
        <w:rPr>
          <w:rFonts w:hint="eastAsia" w:ascii="Times New Roman" w:hAnsi="Times New Roman" w:eastAsia="宋体" w:cs="Times New Roman"/>
          <w:sz w:val="21"/>
          <w:szCs w:val="21"/>
        </w:rPr>
        <w:t>现有评测大多只检查补丁能否让测试重新通过，很少检查补丁是否指向开发者真正期望的元素。修复模型只要找到一个能解析的 CSS 或 Playwright 选择器，测试就会“变绿”。如果这个选择器落到了相邻的按钮、标题或容器上，真实 UI 变更就被掩盖了。研究把这种情况称为隐性误修复。它不会报错，也不会让构建失败，因此比显性的测试失败更难发现。在持续集成中，这类补丁往往被当作普通代码变更合并，直到后续断言或人工巡检才暴露问题，排查成本会沿着提交历史向后转移。</w:t>
      </w:r>
    </w:p>
    <w:p>
      <w:pPr>
        <w:spacing w:before="0" w:after="0" w:line="300" w:lineRule="auto"/>
        <w:ind w:firstLine="420"/>
        <w:jc w:val="both"/>
      </w:pPr>
      <w:r>
        <w:rPr>
          <w:rFonts w:hint="eastAsia" w:ascii="Times New Roman" w:hAnsi="Times New Roman" w:eastAsia="宋体" w:cs="Times New Roman"/>
          <w:sz w:val="21"/>
          <w:szCs w:val="21"/>
        </w:rPr>
        <w:t>围绕这一问题，研究做了三件事：一是设计真实目标移除对照实验，在 ReproBreak 数据集[6]的真实 React 代码库上测量隐性误修复率；二是比较本地 7B 模型与两个 API 模型在弃权提示下的表现；三是给出确定性后置过滤与行为重放验证的工程防范思路，并用第二个 React 项目检查方法的跨应用适用性。</w:t>
      </w:r>
    </w:p>
    <w:p>
      <w:pPr>
        <w:keepNext/>
        <w:spacing w:before="240" w:after="120" w:line="300" w:lineRule="auto"/>
        <w:jc w:val="left"/>
      </w:pPr>
      <w:r>
        <w:rPr>
          <w:rFonts w:hint="eastAsia" w:ascii="黑体" w:hAnsi="黑体" w:eastAsia="黑体" w:cs="黑体"/>
          <w:sz w:val="28"/>
          <w:szCs w:val="28"/>
        </w:rPr>
        <w:t>2 检测方法与测量平台</w:t>
      </w:r>
    </w:p>
    <w:p>
      <w:pPr>
        <w:keepNext/>
        <w:spacing w:before="120" w:after="60" w:line="300" w:lineRule="auto"/>
        <w:jc w:val="left"/>
      </w:pPr>
      <w:r>
        <w:rPr>
          <w:rFonts w:hint="eastAsia" w:ascii="黑体" w:hAnsi="黑体" w:eastAsia="黑体" w:cs="黑体"/>
          <w:sz w:val="21"/>
          <w:szCs w:val="21"/>
        </w:rPr>
        <w:t>2.1 真实目标移除对照实验</w:t>
      </w:r>
    </w:p>
    <w:p>
      <w:pPr>
        <w:spacing w:before="0" w:after="0" w:line="300" w:lineRule="auto"/>
        <w:ind w:firstLine="420"/>
        <w:jc w:val="both"/>
      </w:pPr>
      <w:r>
        <w:rPr>
          <w:rFonts w:hint="eastAsia" w:ascii="Times New Roman" w:hAnsi="Times New Roman" w:eastAsia="宋体" w:cs="Times New Roman"/>
          <w:sz w:val="21"/>
          <w:szCs w:val="21"/>
        </w:rPr>
        <w:t>对照实验的思路很直接。对每一个可解析的失败用例，先从候选集中移除真实目标元素（ground truth），再让修复模型在剩余候选中选择。此时正确行为是弃权，即输出 CANDIDATE_IDX: -1。只要模型给出一个能解析的选择器，这个选择器就一定指向错误元素，记为一次隐性误修复。这样构造的好处是判定不依赖人工标注：选择器对应定位器记录表（LocatorSheet）中的哪条记录，由解析器确定，没有歧义。真实目标取自 ReproBreak 的 new_locator 字段，经解析器映射到 LocatorSheet 中的元素。移除之后，模型没有任何合法答案可选。移除的是候选列表中的正确记录，不是页面 DOM 节点，也不是旧定位器；因此实验测的是模型在“没有正确答案”时的选择行为，而不是页面的可操作性。</w:t>
      </w:r>
    </w:p>
    <w:p>
      <w:pPr>
        <w:spacing w:before="0" w:after="0" w:line="300" w:lineRule="auto"/>
        <w:ind w:firstLine="420"/>
        <w:jc w:val="both"/>
      </w:pPr>
      <w:r>
        <w:rPr>
          <w:rFonts w:hint="eastAsia" w:ascii="Times New Roman" w:hAnsi="Times New Roman" w:eastAsia="宋体" w:cs="Times New Roman"/>
          <w:sz w:val="21"/>
          <w:szCs w:val="21"/>
        </w:rPr>
        <w:t>实验使用 ReproBreak 中 koenig 项目的 75 个可解析的失败用例。选择 koenig 是因为它覆盖 CSS 类名、data-testid 等多种定位属性写法，且每个失效样本都带有可复现的提交对，便于把旧定位器、新定位器和源码快照对齐。ReproBreak 的 93 个定位失败目标里，有 18 个无法被静态解析。这些目标大多需要运行时 DOM：例如 Lexical 编辑器渲染的段落节点在静态抽象语法树中只有容器节点，抽取器看不到对应的可交互元素。这 18 个用例既构造不出候选集，也无从判断修复模型选得对不对，因此测量只覆盖其余用例。候选来自 L1 静态抽取层。修复模型分别使用 qwen2.5-coder:7b[7]（下称 Qwen）、gpt-4o 和 deepseek-v4-flash（下称 DeepSeek），温度参数（temperature）均为 0。每个用例只调用一次模型，不进行多次采样或投票，以避免把模型随机性混入误修复率。提示有两种：原始提示（Vanilla）与 L3 基线相同；弃权提示（Abstain）在同一提示后加一条“若无合适候选则弃权”的规则。两种提示共用同一候选集、同一解析器和同一判定标准。要求模型输出 SELECTOR、CANDIDATE_IDX 和 RATIONALE 三行纯文本。早期版本试过 JSON，但模型在 SELECTOR 字段里反复输出未转义的引号，解析经常失败，后来改成了纯文本。</w:t>
      </w:r>
    </w:p>
    <w:p>
      <w:pPr>
        <w:keepNext/>
        <w:spacing w:before="120" w:after="60" w:line="300" w:lineRule="auto"/>
        <w:jc w:val="left"/>
      </w:pPr>
      <w:r>
        <w:rPr>
          <w:rFonts w:hint="eastAsia" w:ascii="黑体" w:hAnsi="黑体" w:eastAsia="黑体" w:cs="黑体"/>
          <w:sz w:val="21"/>
          <w:szCs w:val="21"/>
        </w:rPr>
        <w:t>2.2 L1 静态抽取层与 L3 基线</w:t>
      </w:r>
    </w:p>
    <w:p>
      <w:pPr>
        <w:spacing w:before="0" w:after="0" w:line="300" w:lineRule="auto"/>
        <w:ind w:firstLine="420"/>
        <w:jc w:val="both"/>
      </w:pPr>
      <w:r>
        <w:rPr>
          <w:rFonts w:hint="eastAsia" w:ascii="Times New Roman" w:hAnsi="Times New Roman" w:eastAsia="宋体" w:cs="Times New Roman"/>
          <w:sz w:val="21"/>
          <w:szCs w:val="21"/>
        </w:rPr>
        <w:t>L1 层用 ts-morph 遍历 .tsx/.jsx 文件，为每个可交互 JSX 元素生成一条 LocatorSheet 记录，字段包括标签、父链、role、data-testid、aria-label、id、className 以及任意 data-* 属性。抽取器把带有稳定定位属性（下称锚点）的元素都视为可交互元素，而不只检查标准 HTML 标签。这样做的原因是，真实项目常把按钮、输入框封装在自定义组件里，最终渲染出的标签可能是 div 或 span；如果只按标签白名单抽取，会漏掉大量实际可操作的元素。在 koenig 上，这一改动把定位属性覆盖率从 22% 提高到 48%，解析成功率从 0 提高到 71%。每个提交（commit）平均得到约 400 条记录，静态层面能解析 93 个定位失败目标中的 75 个，静态可解析率 80.6%。</w:t>
      </w:r>
    </w:p>
    <w:p>
      <w:pPr>
        <w:spacing w:before="0" w:after="0" w:line="300" w:lineRule="auto"/>
        <w:ind w:firstLine="420"/>
        <w:jc w:val="both"/>
      </w:pPr>
      <w:r>
        <w:rPr>
          <w:rFonts w:hint="eastAsia" w:ascii="Times New Roman" w:hAnsi="Times New Roman" w:eastAsia="宋体" w:cs="Times New Roman"/>
          <w:sz w:val="21"/>
          <w:szCs w:val="21"/>
        </w:rPr>
        <w:t>L3 层在 L1 产出的候选上调用修复模型。候选按词元（token）重叠度评分检索，testId（即 data-testid）权重为 3，data-* 属性为 2，aria/id/class/text/path 为 1。解析器把模型给出的选择器与 LocatorSheet 记录做匹配，以此判断它是精确匹配、误修复还是无法解析。解析器要处理三类情况：带引号的嵌套参数、属性值里的动态 JS 表达式，以及不带标签名的属性选择器。早期版本曾因解析缺陷把静态可解析率高估到 85%–98%，修正后统一采用 80.6% 这一较保守的数字。</w:t>
      </w:r>
    </w:p>
    <w:p>
      <w:pPr>
        <w:spacing w:before="0" w:after="0" w:line="300" w:lineRule="auto"/>
        <w:ind w:firstLine="420"/>
        <w:jc w:val="both"/>
      </w:pPr>
      <w:r>
        <w:rPr>
          <w:rFonts w:hint="eastAsia" w:ascii="Times New Roman" w:hAnsi="Times New Roman" w:eastAsia="宋体" w:cs="Times New Roman"/>
          <w:sz w:val="21"/>
          <w:szCs w:val="21"/>
        </w:rPr>
        <w:t>各项指标都在选择器解析层面计算：静态可解析率是 ReproBreak 标注的新定位器（new_locator）能被解析器匹配到至少一条 LocatorSheet 记录的比例；Top-1 精确匹配率是修复后的选择器与真实目标落到同一条记录的比例；隐性误修复率（下称误修复率）是在目标被移除的用例中，模型给出可解析但错误选择器的比例。宽松解析下，75 个可解析用例中有 46 个能匹配到多条 LocatorSheet 记录，解析器按 (componentFile, line) 的顺序取第一条；严格解析不再把动态属性值视为可能匹配，也不再通过同文件关联确认祖先约束，可解析用例降为 51 个。它们不是端到端 Playwright 通过率。检测与防范的总体流程如图 1 所示。</w:t>
      </w:r>
    </w:p>
    <w:p>
      <w:pPr>
        <w:keepNext/>
        <w:spacing w:before="120" w:after="60" w:line="240" w:lineRule="auto"/>
        <w:jc w:val="center"/>
      </w:pPr>
      <w:r>
        <w:drawing>
          <wp:inline distT="0" distB="0" distL="0" distR="0">
            <wp:extent cx="5651500" cy="2260600"/>
            <wp:effectExtent l="0" t="0" r="0" b="0"/>
            <wp:docPr id="1" name="图1 隐性误修复检测与防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1 隐性误修复检测与防范流程"/>
                    <pic:cNvPicPr>
                      <a:picLocks noChangeAspect="1"/>
                    </pic:cNvPicPr>
                  </pic:nvPicPr>
                  <pic:blipFill>
                    <a:blip r:embed="rId6"/>
                    <a:stretch>
                      <a:fillRect/>
                    </a:stretch>
                  </pic:blipFill>
                  <pic:spPr>
                    <a:xfrm>
                      <a:off x="0" y="0"/>
                      <a:ext cx="5652000" cy="2260800"/>
                    </a:xfrm>
                    <a:prstGeom prst="rect">
                      <a:avLst/>
                    </a:prstGeom>
                  </pic:spPr>
                </pic:pic>
              </a:graphicData>
            </a:graphic>
          </wp:inline>
        </w:drawing>
      </w:r>
    </w:p>
    <w:p>
      <w:pPr>
        <w:spacing w:before="60" w:after="180" w:line="240" w:lineRule="auto"/>
        <w:jc w:val="center"/>
      </w:pPr>
      <w:r>
        <w:rPr>
          <w:rFonts w:hint="eastAsia" w:ascii="Times New Roman" w:hAnsi="Times New Roman" w:eastAsia="宋体" w:cs="Times New Roman"/>
          <w:sz w:val="18"/>
          <w:szCs w:val="18"/>
        </w:rPr>
        <w:t>图 1 隐性误修复检测与防范流程</w:t>
      </w:r>
    </w:p>
    <w:p>
      <w:pPr>
        <w:keepNext/>
        <w:spacing w:before="240" w:after="120" w:line="300" w:lineRule="auto"/>
        <w:jc w:val="left"/>
      </w:pPr>
      <w:r>
        <w:rPr>
          <w:rFonts w:hint="eastAsia" w:ascii="黑体" w:hAnsi="黑体" w:eastAsia="黑体" w:cs="黑体"/>
          <w:sz w:val="28"/>
          <w:szCs w:val="28"/>
        </w:rPr>
        <w:t>3 实验与结果</w:t>
      </w:r>
    </w:p>
    <w:p>
      <w:pPr>
        <w:keepNext/>
        <w:spacing w:before="120" w:after="60" w:line="300" w:lineRule="auto"/>
        <w:jc w:val="left"/>
      </w:pPr>
      <w:r>
        <w:rPr>
          <w:rFonts w:hint="eastAsia" w:ascii="黑体" w:hAnsi="黑体" w:eastAsia="黑体" w:cs="黑体"/>
          <w:sz w:val="21"/>
          <w:szCs w:val="21"/>
        </w:rPr>
        <w:t>3.1 三种模型的误修复率</w:t>
      </w:r>
    </w:p>
    <w:p>
      <w:pPr>
        <w:spacing w:before="0" w:after="0" w:line="300" w:lineRule="auto"/>
        <w:ind w:firstLine="420"/>
        <w:jc w:val="both"/>
      </w:pPr>
      <w:r>
        <w:rPr>
          <w:rFonts w:hint="eastAsia" w:ascii="Times New Roman" w:hAnsi="Times New Roman" w:eastAsia="宋体" w:cs="Times New Roman"/>
          <w:sz w:val="21"/>
          <w:szCs w:val="21"/>
        </w:rPr>
        <w:t>表 1 给出 75 个可解析用例上的结果。qwen2.5-coder:7b 在原始提示下，有 59 个用例给出错误但可解析的选择器，误修复率 78.7%；13 个用例弃权，3 个无法解析。加上弃权规则后，三个数字都没有变化，逐用例对比也完全一致，可见这个 7B 模型没有把“必要时弃权”的提示转化为可观察的行为。78.7% 是在强制移除目标的条件下得到的上界，不是日常部署中的误修复率。</w:t>
      </w:r>
    </w:p>
    <w:p>
      <w:pPr>
        <w:keepNext/>
        <w:spacing w:before="120" w:after="60" w:line="240" w:lineRule="auto"/>
        <w:jc w:val="center"/>
      </w:pPr>
      <w:r>
        <w:rPr>
          <w:rFonts w:hint="eastAsia" w:ascii="黑体" w:hAnsi="黑体" w:eastAsia="黑体" w:cs="黑体"/>
          <w:b/>
          <w:bCs/>
          <w:sz w:val="18"/>
          <w:szCs w:val="18"/>
        </w:rPr>
        <w:t>表 1 真实目标移除对照实验下三种模型的误修复率</w:t>
      </w:r>
    </w:p>
    <w:tbl>
      <w:tblPr>
        <w:tblStyle w:val="2"/>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20" w:type="dxa"/>
          <w:left w:w="108" w:type="dxa"/>
          <w:bottom w:w="20" w:type="dxa"/>
          <w:right w:w="108" w:type="dxa"/>
        </w:tblCellMar>
      </w:tblPr>
      <w:tblGrid>
        <w:gridCol w:w="3491"/>
        <w:gridCol w:w="1951"/>
        <w:gridCol w:w="1951"/>
        <w:gridCol w:w="1848"/>
      </w:tblGrid>
      <w:tr>
        <w:trPr>
          <w:cantSplit/>
          <w:tblHeader/>
          <w:jc w:val="center"/>
        </w:trPr>
        <w:tc>
          <w:tcPr>
            <w:tcW w:w="34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模型</w:t>
            </w:r>
          </w:p>
        </w:tc>
        <w:tc>
          <w:tcPr>
            <w:tcW w:w="19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提示</w:t>
            </w:r>
          </w:p>
        </w:tc>
        <w:tc>
          <w:tcPr>
            <w:tcW w:w="19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误修复用例数</w:t>
            </w:r>
          </w:p>
        </w:tc>
        <w:tc>
          <w:tcPr>
            <w:tcW w:w="18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误修复率</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qwen2.5-coder:7b</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原始提示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59</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78.7%</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qwen2.5-coder:7b</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弃权提示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59</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78.7%</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gpt-4o</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原始提示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63</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84.0%</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gpt-4o</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弃权提示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51</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68.0%</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deepseek-v4-flash</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原始提示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60</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80.0%</w:t>
            </w:r>
          </w:p>
        </w:tc>
      </w:tr>
      <w:tr>
        <w:trPr>
          <w:cantSplit/>
          <w:jc w:val="center"/>
        </w:trPr>
        <w:tc>
          <w:tcPr>
            <w:tcW w:w="3400" w:type="dxa"/>
            <w:vAlign w:val="center"/>
          </w:tcPr>
          <w:p>
            <w:pPr>
              <w:spacing w:before="0" w:after="0" w:line="240" w:lineRule="auto"/>
              <w:jc w:val="center"/>
            </w:pPr>
            <w:r>
              <w:rPr>
                <w:rFonts w:hint="eastAsia" w:ascii="Times New Roman" w:hAnsi="Times New Roman" w:eastAsia="宋体" w:cs="Times New Roman"/>
                <w:sz w:val="18"/>
                <w:szCs w:val="18"/>
              </w:rPr>
              <w:t>deepseek-v4-flash</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弃权提示</w:t>
            </w:r>
          </w:p>
        </w:tc>
        <w:tc>
          <w:tcPr>
            <w:tcW w:w="1900" w:type="dxa"/>
            <w:vAlign w:val="center"/>
          </w:tcPr>
          <w:p>
            <w:pPr>
              <w:spacing w:before="0" w:after="0" w:line="240" w:lineRule="auto"/>
              <w:jc w:val="center"/>
            </w:pPr>
            <w:r>
              <w:rPr>
                <w:rFonts w:hint="eastAsia" w:ascii="Times New Roman" w:hAnsi="Times New Roman" w:eastAsia="宋体" w:cs="Times New Roman"/>
                <w:sz w:val="18"/>
                <w:szCs w:val="18"/>
              </w:rPr>
              <w:t>53</w:t>
            </w:r>
          </w:p>
        </w:tc>
        <w:tc>
          <w:tcPr>
            <w:tcW w:w="1800" w:type="dxa"/>
            <w:vAlign w:val="center"/>
          </w:tcPr>
          <w:p>
            <w:pPr>
              <w:spacing w:before="0" w:after="0" w:line="240" w:lineRule="auto"/>
              <w:jc w:val="center"/>
            </w:pPr>
            <w:r>
              <w:rPr>
                <w:rFonts w:hint="eastAsia" w:ascii="Times New Roman" w:hAnsi="Times New Roman" w:eastAsia="宋体" w:cs="Times New Roman"/>
                <w:sz w:val="18"/>
                <w:szCs w:val="18"/>
              </w:rPr>
              <w:t>70.7%</w:t>
            </w:r>
          </w:p>
        </w:tc>
      </w:tr>
    </w:tbl>
    <w:p>
      <w:pPr>
        <w:spacing w:before="60" w:after="120" w:line="240" w:lineRule="auto"/>
        <w:jc w:val="both"/>
      </w:pPr>
      <w:r>
        <w:rPr>
          <w:rFonts w:hint="eastAsia" w:ascii="Times New Roman" w:hAnsi="Times New Roman" w:eastAsia="宋体" w:cs="Times New Roman"/>
          <w:sz w:val="16"/>
          <w:szCs w:val="16"/>
        </w:rPr>
        <w:t>注：分母均为 75 个可解析用例。</w:t>
      </w:r>
    </w:p>
    <w:p>
      <w:pPr>
        <w:spacing w:before="0" w:after="0" w:line="300" w:lineRule="auto"/>
        <w:ind w:firstLine="420"/>
        <w:jc w:val="both"/>
      </w:pPr>
      <w:r>
        <w:rPr>
          <w:rFonts w:hint="eastAsia" w:ascii="Times New Roman" w:hAnsi="Times New Roman" w:eastAsia="宋体" w:cs="Times New Roman"/>
          <w:sz w:val="21"/>
          <w:szCs w:val="21"/>
        </w:rPr>
        <w:t>两个 API 模型的反应不同。gpt-4o 从 63/75（84.0%）降到 51/75（68.0%），deepseek-v4-flash 从 60/75（80.0%）降到 53/75（70.7%）。逐用例看，gpt-4o 有 12 个原本误修复的用例改为弃权，deepseek-v4-flash 有 8 个改成弃权，另有 1 个原本无法解析的用例转为误修复。McNemar 精确检验的 p 值分别为 0.0005 和 0.039，说明弃权提示确实起了作用。从逐用例变化看，弃权提示带来的是双向调整：既有误修复转为弃权，也有无法解析转为误修复，因此不能只看总误修复率的下降。但两个模型仍有过半用例输出错误但可解析的选择器。一种可能的解释是，模型越强，越能在“生成看似合理的答案”和“承认没有答案”之间权衡，但后者始终没有确定性保证。Qwen 为什么完全不响应，研究没有做对照实验来分离原因。一个合理的猜测是，7B 模型在正确候选被移除后，仍会从剩余候选里挑一个最接近的；弃权规则要求它先承认“没有答案”，这一步对该模型较难。这一解释只是事后推测，研究没有采集模型的中间推理或注意力分布，因此不能把它当作因果结论。</w:t>
      </w:r>
    </w:p>
    <w:p>
      <w:pPr>
        <w:keepNext/>
        <w:spacing w:before="120" w:after="60" w:line="300" w:lineRule="auto"/>
        <w:jc w:val="left"/>
      </w:pPr>
      <w:r>
        <w:rPr>
          <w:rFonts w:hint="eastAsia" w:ascii="黑体" w:hAnsi="黑体" w:eastAsia="黑体" w:cs="黑体"/>
          <w:sz w:val="21"/>
          <w:szCs w:val="21"/>
        </w:rPr>
        <w:t>3.2 后置过滤的有限收益</w:t>
      </w:r>
    </w:p>
    <w:p>
      <w:pPr>
        <w:spacing w:before="0" w:after="0" w:line="300" w:lineRule="auto"/>
        <w:ind w:firstLine="420"/>
        <w:jc w:val="both"/>
      </w:pPr>
      <w:r>
        <w:rPr>
          <w:rFonts w:hint="eastAsia" w:ascii="Times New Roman" w:hAnsi="Times New Roman" w:eastAsia="宋体" w:cs="Times New Roman"/>
          <w:sz w:val="21"/>
          <w:szCs w:val="21"/>
        </w:rPr>
        <w:t>在 L3 基线上，研究比较了两个低开销的确定性手段：data-testid 加权检索和强锚点后置过滤。Qwen 上两个手段全开时，Top-1 精确匹配率从 55/75（73.3%）提高到 58/75（77.3%），新增 3 个正确用例，没有回归。单独开启任一手段都是 +2/-0，同时开启为 +3/-0，McNemar 检验的 p 值均不低于 0.25。DeepSeek 上的结果更集中：基线为 68/75（90.7%）；仅开后置过滤为 72/75（96.0%，+4/-0）；仅开 data-testid 加权仍为 68/75（+5/-5），净增为零；两者同开反而低于仅开过滤。所有差异在 n=75 下都没有达到统计显著水平。对工程团队而言，+4/-0 的价值在于它没有把原本正确的用例改坏；在模型升级频繁的场景里，这种不回归比单次多修几个用例更重要。表 2 汇总了静态抽取层与后置过滤的主要数字。</w:t>
      </w:r>
    </w:p>
    <w:p>
      <w:pPr>
        <w:spacing w:before="0" w:after="0" w:line="300" w:lineRule="auto"/>
        <w:ind w:firstLine="420"/>
        <w:jc w:val="both"/>
      </w:pPr>
      <w:r>
        <w:rPr>
          <w:rFonts w:hint="eastAsia" w:ascii="Times New Roman" w:hAnsi="Times New Roman" w:eastAsia="宋体" w:cs="Times New Roman"/>
          <w:sz w:val="21"/>
          <w:szCs w:val="21"/>
        </w:rPr>
        <w:t>如果按完整的 93 个定位失败目标计算，把无法静态解析的用例一并计入分母，两个手段全开的 Top-1 精确匹配率从 59.1% 升到 62.4%。77.3% 描述的只是工具在“看得见”的目标里的表现，这两个数字应当分开使用。L3 只把检索得分最高的 10 条记录交给修复模型，因此 Top-1 精确匹配率还受检索召回约束：真实目标没有进入前 10 条时，模型再强也无法选中。可见，Top-1 指标同时受检索召回和模型选择两个环节影响，后文比较的两种手段也分别作用在这两个环节上。</w:t>
      </w:r>
    </w:p>
    <w:p>
      <w:pPr>
        <w:keepNext/>
        <w:spacing w:before="120" w:after="60" w:line="240" w:lineRule="auto"/>
        <w:jc w:val="center"/>
      </w:pPr>
      <w:r>
        <w:rPr>
          <w:rFonts w:hint="eastAsia" w:ascii="黑体" w:hAnsi="黑体" w:eastAsia="黑体" w:cs="黑体"/>
          <w:b/>
          <w:bCs/>
          <w:sz w:val="18"/>
          <w:szCs w:val="18"/>
        </w:rPr>
        <w:t>表 2 静态抽取层与确定性手段的主要结果</w:t>
      </w:r>
    </w:p>
    <w:tbl>
      <w:tblPr>
        <w:tblStyle w:val="2"/>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20" w:type="dxa"/>
          <w:left w:w="108" w:type="dxa"/>
          <w:bottom w:w="20" w:type="dxa"/>
          <w:right w:w="108" w:type="dxa"/>
        </w:tblCellMar>
      </w:tblPr>
      <w:tblGrid>
        <w:gridCol w:w="3594"/>
        <w:gridCol w:w="2567"/>
        <w:gridCol w:w="3081"/>
      </w:tblGrid>
      <w:tr>
        <w:trPr>
          <w:cantSplit/>
          <w:tblHeader/>
          <w:jc w:val="center"/>
        </w:trPr>
        <w:tc>
          <w:tcPr>
            <w:tcW w:w="35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指标</w:t>
            </w:r>
          </w:p>
        </w:tc>
        <w:tc>
          <w:tcPr>
            <w:tcW w:w="25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设置</w:t>
            </w:r>
          </w:p>
        </w:tc>
        <w:tc>
          <w:tcPr>
            <w:tcW w:w="3000" w:type="dxa"/>
            <w:tcBorders>
              <w:bottom w:val="single" w:color="000000" w:sz="6" w:space="0"/>
            </w:tcBorders>
            <w:vAlign w:val="center"/>
          </w:tcPr>
          <w:p>
            <w:pPr>
              <w:spacing w:before="0" w:after="0" w:line="240" w:lineRule="auto"/>
              <w:jc w:val="center"/>
            </w:pPr>
            <w:r>
              <w:rPr>
                <w:rFonts w:hint="eastAsia" w:ascii="黑体" w:hAnsi="黑体" w:eastAsia="黑体" w:cs="黑体"/>
                <w:b/>
                <w:bCs/>
                <w:sz w:val="18"/>
                <w:szCs w:val="18"/>
              </w:rPr>
              <w:t>结果</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L1 静态可解析率（koenig）</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宽松解析</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75/93（80.6%）</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L1 静态可解析率（koenig）</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严格解析</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51/93（54.8%）</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L1 静态可解析率（payload）</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宽松解析</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12/319（3.8%）</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Qwen，未开启</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55/75（73.3%）</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Qwen，全开</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58/75（77.3%）</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DeepSeek，未开启</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68/75（90.7%）</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DeepSeek，仅过滤</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72/75（96.0%）</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DeepSeek，仅加权</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68/75（90.7%）</w:t>
            </w:r>
          </w:p>
        </w:tc>
      </w:tr>
      <w:tr>
        <w:trPr>
          <w:cantSplit/>
          <w:jc w:val="center"/>
        </w:trPr>
        <w:tc>
          <w:tcPr>
            <w:tcW w:w="3500" w:type="dxa"/>
            <w:vAlign w:val="center"/>
          </w:tcPr>
          <w:p>
            <w:pPr>
              <w:spacing w:before="0" w:after="0" w:line="240" w:lineRule="auto"/>
              <w:jc w:val="center"/>
            </w:pPr>
            <w:r>
              <w:rPr>
                <w:rFonts w:hint="eastAsia" w:ascii="Times New Roman" w:hAnsi="Times New Roman" w:eastAsia="宋体" w:cs="Times New Roman"/>
                <w:sz w:val="18"/>
                <w:szCs w:val="18"/>
              </w:rPr>
              <w:t>L3 Top-1 精确匹配率</w:t>
            </w:r>
          </w:p>
        </w:tc>
        <w:tc>
          <w:tcPr>
            <w:tcW w:w="2500" w:type="dxa"/>
            <w:vAlign w:val="center"/>
          </w:tcPr>
          <w:p>
            <w:pPr>
              <w:spacing w:before="0" w:after="0" w:line="240" w:lineRule="auto"/>
              <w:jc w:val="center"/>
            </w:pPr>
            <w:r>
              <w:rPr>
                <w:rFonts w:hint="eastAsia" w:ascii="Times New Roman" w:hAnsi="Times New Roman" w:eastAsia="宋体" w:cs="Times New Roman"/>
                <w:sz w:val="18"/>
                <w:szCs w:val="18"/>
              </w:rPr>
              <w:t>DeepSeek，全开</w:t>
            </w:r>
          </w:p>
        </w:tc>
        <w:tc>
          <w:tcPr>
            <w:tcW w:w="3000" w:type="dxa"/>
            <w:vAlign w:val="center"/>
          </w:tcPr>
          <w:p>
            <w:pPr>
              <w:spacing w:before="0" w:after="0" w:line="240" w:lineRule="auto"/>
              <w:jc w:val="center"/>
            </w:pPr>
            <w:r>
              <w:rPr>
                <w:rFonts w:hint="eastAsia" w:ascii="Times New Roman" w:hAnsi="Times New Roman" w:eastAsia="宋体" w:cs="Times New Roman"/>
                <w:sz w:val="18"/>
                <w:szCs w:val="18"/>
              </w:rPr>
              <w:t>69/75（92.0%）</w:t>
            </w:r>
          </w:p>
        </w:tc>
      </w:tr>
    </w:tbl>
    <w:p>
      <w:pPr>
        <w:spacing w:before="60" w:after="120" w:line="240" w:lineRule="auto"/>
        <w:jc w:val="both"/>
      </w:pPr>
      <w:r>
        <w:rPr>
          <w:rFonts w:hint="eastAsia" w:ascii="Times New Roman" w:hAnsi="Times New Roman" w:eastAsia="宋体" w:cs="Times New Roman"/>
          <w:sz w:val="16"/>
          <w:szCs w:val="16"/>
        </w:rPr>
        <w:t>注：L3 指标以 75 个可解析用例为分母；L1 静态可解析率以各项目的定位失败目标总数为分母。</w:t>
      </w:r>
    </w:p>
    <w:p>
      <w:pPr>
        <w:spacing w:before="0" w:after="0" w:line="300" w:lineRule="auto"/>
        <w:ind w:firstLine="420"/>
        <w:jc w:val="both"/>
      </w:pPr>
      <w:r>
        <w:rPr>
          <w:rFonts w:hint="eastAsia" w:ascii="Times New Roman" w:hAnsi="Times New Roman" w:eastAsia="宋体" w:cs="Times New Roman"/>
          <w:sz w:val="21"/>
          <w:szCs w:val="21"/>
        </w:rPr>
        <w:t>因此，研究把后置过滤看作一种低开销、零回归的工程手段，而不是已被统计验证的性能提升。它不依赖模型偏好，只按锚点类别做输出约束。加权检索则会重排候选，收益随底层模型和候选分布变化。DeepSeek 上的结果说明，后置过滤的跨模型稳定性比 data-testid 加权更好：加权会改变候选顺序，而过滤已经剔除弱锚点，重排不再带来稳定收益。</w:t>
      </w:r>
    </w:p>
    <w:p>
      <w:pPr>
        <w:keepNext/>
        <w:spacing w:before="120" w:after="60" w:line="300" w:lineRule="auto"/>
        <w:jc w:val="left"/>
      </w:pPr>
      <w:r>
        <w:rPr>
          <w:rFonts w:hint="eastAsia" w:ascii="黑体" w:hAnsi="黑体" w:eastAsia="黑体" w:cs="黑体"/>
          <w:sz w:val="21"/>
          <w:szCs w:val="21"/>
        </w:rPr>
        <w:t>3.3 跨应用的静态可解析率下降</w:t>
      </w:r>
    </w:p>
    <w:p>
      <w:pPr>
        <w:spacing w:before="0" w:after="0" w:line="300" w:lineRule="auto"/>
        <w:ind w:firstLine="420"/>
        <w:jc w:val="both"/>
      </w:pPr>
      <w:r>
        <w:rPr>
          <w:rFonts w:hint="eastAsia" w:ascii="Times New Roman" w:hAnsi="Times New Roman" w:eastAsia="宋体" w:cs="Times New Roman"/>
          <w:sz w:val="21"/>
          <w:szCs w:val="21"/>
        </w:rPr>
        <w:t>为了检查方法是否只在 koenig 上成立，研究在 payloadcms/payload 上运行了未修改的 L1 抽取器。payload 是 ReproBreak 中第二大的 Playwright 案例组，包含 319 个失效样本对（旧定位器与新定位器成对标注）。在 HEAD 版本上，抽取器得到 457 条记录；ReproBreak 标注的 319 个新定位器中，只有 12 个能被静态解析，即 3.8%；koenig 是 75/93，即 80.6%。80.6% 是宽松解析假设下的上界，严格假设后会降到 54.8%。payload 的 457 条是 HEAD 单次抽取的结果，koenig 的约 400 条是每个提交的平均值。</w:t>
      </w:r>
    </w:p>
    <w:p>
      <w:pPr>
        <w:spacing w:before="0" w:after="0" w:line="300" w:lineRule="auto"/>
        <w:ind w:firstLine="420"/>
        <w:jc w:val="both"/>
      </w:pPr>
      <w:r>
        <w:rPr>
          <w:rFonts w:hint="eastAsia" w:ascii="Times New Roman" w:hAnsi="Times New Roman" w:eastAsia="宋体" w:cs="Times New Roman"/>
          <w:sz w:val="21"/>
          <w:szCs w:val="21"/>
        </w:rPr>
        <w:t>下降的原因在定位属性约定，不在抽取器本身。payload 使用块—元素—修饰符（BEM）：组件先声明 const baseClass = 'dashboard'，再用模板字符串拼出 className={`${baseClass}__add-button`}。测试引用的是渲染后的 .dashboard__add-button，而只识别字面量类名的抽象语法树（AST）抽取器看不到这个类名。研究对未命中的 307 个用例做了非随机抽样，看到的都是同一类问题。</w:t>
      </w:r>
    </w:p>
    <w:p>
      <w:pPr>
        <w:spacing w:before="0" w:after="0" w:line="300" w:lineRule="auto"/>
        <w:ind w:firstLine="420"/>
        <w:jc w:val="both"/>
      </w:pPr>
      <w:r>
        <w:rPr>
          <w:rFonts w:hint="eastAsia" w:ascii="Times New Roman" w:hAnsi="Times New Roman" w:eastAsia="宋体" w:cs="Times New Roman"/>
          <w:sz w:val="21"/>
          <w:szCs w:val="21"/>
        </w:rPr>
        <w:t>这一结果暴露的是一处范围明确的盲区，L1 的设计本身并未被否定。跨应用适用性的第一道关卡很可能在定位属性约定这一层。一个只在单一应用上测过的自愈工具，很容易高估自己的适用范围。</w:t>
      </w:r>
    </w:p>
    <w:p>
      <w:pPr>
        <w:spacing w:before="0" w:after="0" w:line="300" w:lineRule="auto"/>
        <w:ind w:firstLine="420"/>
        <w:jc w:val="both"/>
      </w:pPr>
      <w:r>
        <w:rPr>
          <w:rFonts w:hint="eastAsia" w:ascii="Times New Roman" w:hAnsi="Times New Roman" w:eastAsia="宋体" w:cs="Times New Roman"/>
          <w:sz w:val="21"/>
          <w:szCs w:val="21"/>
        </w:rPr>
        <w:t>工程团队在引入自愈工具前，应先统计自己代码库的定位属性写法：data-testid 占多少，className 是静态字符串还是模板拼接，组件库有没有封装测试属性。锚点越接近静态字面量，L1 这类方法的覆盖越高；如果大量使用 BEM 或 CSS Modules，就需要先补静态展开器，否则工具会把大批用例判为无法静态解析。回溯 baseClass 常量、展开模板字符串，再补一个处理 CSS Modules 的等价静态展开器，是确定性的修复方向，研究留作后续工作。这类展开不需要运行应用，也不会引入模型判断，适合放在 L1 抽取之前作为源码预处理。展开器只处理可判定的常量与模板拼接，遇到运行时计算的类名仍判为不可解析，不会把不确定性带入后续步骤。</w:t>
      </w:r>
    </w:p>
    <w:p>
      <w:pPr>
        <w:keepNext/>
        <w:spacing w:before="240" w:after="120" w:line="300" w:lineRule="auto"/>
        <w:jc w:val="left"/>
      </w:pPr>
      <w:r>
        <w:rPr>
          <w:rFonts w:hint="eastAsia" w:ascii="黑体" w:hAnsi="黑体" w:eastAsia="黑体" w:cs="黑体"/>
          <w:sz w:val="28"/>
          <w:szCs w:val="28"/>
        </w:rPr>
        <w:t>4 工程防范建议</w:t>
      </w:r>
    </w:p>
    <w:p>
      <w:pPr>
        <w:spacing w:before="0" w:after="0" w:line="300" w:lineRule="auto"/>
        <w:ind w:firstLine="420"/>
        <w:jc w:val="both"/>
      </w:pPr>
      <w:r>
        <w:rPr>
          <w:rFonts w:hint="eastAsia" w:ascii="Times New Roman" w:hAnsi="Times New Roman" w:eastAsia="宋体" w:cs="Times New Roman"/>
          <w:sz w:val="21"/>
          <w:szCs w:val="21"/>
        </w:rPr>
        <w:t>把上述结果放回持续集成（Continuous Integration，CI）场景，最直接的建议是不要自动合并大语言模型提出的选择器补丁。修复模型让构建失败并不可怕，测试本来就该在 UI 变更时失败。危险的是它让构建通过，而通过的却是错误的目标。</w:t>
      </w:r>
    </w:p>
    <w:p>
      <w:pPr>
        <w:spacing w:before="0" w:after="0" w:line="300" w:lineRule="auto"/>
        <w:ind w:firstLine="420"/>
        <w:jc w:val="both"/>
      </w:pPr>
      <w:r>
        <w:rPr>
          <w:rFonts w:hint="eastAsia" w:ascii="Times New Roman" w:hAnsi="Times New Roman" w:eastAsia="宋体" w:cs="Times New Roman"/>
          <w:sz w:val="21"/>
          <w:szCs w:val="21"/>
        </w:rPr>
        <w:t>一层防线是确定性后置过滤：优先保留 data-testid、data-kg-* 这类强锚点，弱锚点候选只在没有强锚点时使用。这个手段开销低，不改变模型，也不依赖提示，适合放在补丁生成和合并之间。每条补丁应记录候选序号、选择器、解析到的记录和过滤结果，便于事后审计。另一层是行为重放：在真实浏览器里重放打过补丁的测试，比较目标元素的可见文本、role、可交互性和网络请求。如果补丁指向的元素与失败前的行为不一致，就拒绝。研究没有实现完整的重放验证器，只在 3 个静态精确匹配用例（编号 615、702、703）上做了 Docker 重放，其中 615 和 703 通过，702 因等待 color-picker-toggle 超时失败。这个样本很小，只能说明静态匹配与运行时结果之间确实存在差距：静态精确匹配有的能复现到运行时，有的会因可见性、时序或上下文差异而失败。</w:t>
      </w:r>
    </w:p>
    <w:p>
      <w:pPr>
        <w:spacing w:before="0" w:after="0" w:line="300" w:lineRule="auto"/>
        <w:ind w:firstLine="420"/>
        <w:jc w:val="both"/>
      </w:pPr>
      <w:r>
        <w:rPr>
          <w:rFonts w:hint="eastAsia" w:ascii="Times New Roman" w:hAnsi="Times New Roman" w:eastAsia="宋体" w:cs="Times New Roman"/>
          <w:sz w:val="21"/>
          <w:szCs w:val="21"/>
        </w:rPr>
        <w:t>真实目标移除对照实验本身也可以作为自愈工具的回归测试。更换模型、调整提示或修改检索权重后，在一个固定的可解析用例集上跑一遍对照实验，比较误修复率，就能看出改动是否只是把错误答案换了个写法。这项检查不需要人工标注，适合跟着模型升级周期定期执行。它不替代行为重放，但成本更低，能在早期拦住明显退化的版本。</w:t>
      </w:r>
    </w:p>
    <w:p>
      <w:pPr>
        <w:spacing w:before="0" w:after="0" w:line="300" w:lineRule="auto"/>
        <w:ind w:firstLine="420"/>
        <w:jc w:val="both"/>
      </w:pPr>
      <w:r>
        <w:rPr>
          <w:rFonts w:hint="eastAsia" w:ascii="Times New Roman" w:hAnsi="Times New Roman" w:eastAsia="宋体" w:cs="Times New Roman"/>
          <w:sz w:val="21"/>
          <w:szCs w:val="21"/>
        </w:rPr>
        <w:t>在无人值守流水线里，比较稳妥的做法是把大语言模型补丁当作候选，经过后置过滤和行为重放，再由人确认是否合并。落地时可以把这套检查拆成两级：提交前只跑静态过滤和对照实验，成本低、反馈快；合并前再跑行为重放，覆盖可见性、时序和网络请求。把 78.7% 与 18/93 的无法静态解析比例相乘，可以得到约 15% 的粗略风险上界。这不是实际部署中的实测值，但足以说明为什么不能只看“测试是否变绿”。</w:t>
      </w:r>
    </w:p>
    <w:p>
      <w:pPr>
        <w:keepNext/>
        <w:spacing w:before="240" w:after="120" w:line="300" w:lineRule="auto"/>
        <w:jc w:val="left"/>
      </w:pPr>
      <w:r>
        <w:rPr>
          <w:rFonts w:hint="eastAsia" w:ascii="黑体" w:hAnsi="黑体" w:eastAsia="黑体" w:cs="黑体"/>
          <w:sz w:val="28"/>
          <w:szCs w:val="28"/>
        </w:rPr>
        <w:t>5 结语</w:t>
      </w:r>
    </w:p>
    <w:p>
      <w:pPr>
        <w:spacing w:before="0" w:after="0" w:line="300" w:lineRule="auto"/>
        <w:ind w:firstLine="420"/>
        <w:jc w:val="both"/>
      </w:pPr>
      <w:r>
        <w:rPr>
          <w:rFonts w:hint="eastAsia" w:ascii="Times New Roman" w:hAnsi="Times New Roman" w:eastAsia="宋体" w:cs="Times New Roman"/>
          <w:sz w:val="21"/>
          <w:szCs w:val="21"/>
        </w:rPr>
        <w:t>研究用真实目标移除对照实验测量了大语言模型测试自愈的隐性误修复。结果表明，本地 7B 模型对弃权提示不敏感，两个 API 模型能部分响应，但仍有过半错误补丁可解析。确定性后置过滤能带来未引入回归的局部改进，跨应用的静态可解析率则受定位属性写法制约。无人值守 CI 中，更可靠的路线是在模型之外增加确定性拒绝和行为重放验证，而不是继续加长提示词。这些结果把“测试是否变绿”与“修复是否正确”分开，为自愈工具的评价提供了一个可复用的对照条件。研究目前只覆盖 React 与 Playwright，结论对 Vue、Selenium 等其他技术栈仍需验证；75 个可解析用例的样本量也有限，对小幅提升的统计检验力不足。后续工作包括把运行时 DOM 捕获和行为重放接入流水线，并在更多 React 项目上验证定位属性写法的分布。</w:t>
      </w:r>
    </w:p>
    <w:p>
      <w:pPr>
        <w:keepNext/>
        <w:spacing w:before="240" w:after="120" w:line="300" w:lineRule="auto"/>
        <w:jc w:val="left"/>
      </w:pPr>
      <w:r>
        <w:rPr>
          <w:rFonts w:hint="eastAsia" w:ascii="黑体" w:hAnsi="黑体" w:eastAsia="黑体" w:cs="黑体"/>
          <w:sz w:val="28"/>
          <w:szCs w:val="28"/>
        </w:rPr>
        <w:t>参考文献</w:t>
      </w:r>
    </w:p>
    <w:p>
      <w:pPr>
        <w:spacing w:before="0" w:after="60" w:line="260" w:lineRule="auto"/>
        <w:ind w:left="360" w:hanging="360"/>
        <w:jc w:val="both"/>
      </w:pPr>
      <w:r>
        <w:rPr>
          <w:rFonts w:hint="eastAsia" w:ascii="Times New Roman" w:hAnsi="Times New Roman" w:eastAsia="宋体" w:cs="Times New Roman"/>
          <w:sz w:val="18"/>
          <w:szCs w:val="18"/>
        </w:rPr>
        <w:t>[1] 李聪, 蒋炎岩, 许畅. 基于GUI事件的安卓应用录制重放关键技术综述[J]. 软件学报, 2022, 33(5): 1612-1634.</w:t>
      </w:r>
    </w:p>
    <w:p>
      <w:pPr>
        <w:spacing w:before="0" w:after="60" w:line="260" w:lineRule="auto"/>
        <w:ind w:left="360" w:hanging="360"/>
        <w:jc w:val="both"/>
      </w:pPr>
      <w:r>
        <w:rPr>
          <w:rFonts w:hint="eastAsia" w:ascii="Times New Roman" w:hAnsi="Times New Roman" w:eastAsia="宋体" w:cs="Times New Roman"/>
          <w:sz w:val="18"/>
          <w:szCs w:val="18"/>
        </w:rPr>
        <w:t>[2] 王博, 陈冲, 邓明, 等. 移动应用GUI测试自动生成技术综述[J]. 软件学报, 2025, 36(6): 2713-2746.</w:t>
      </w:r>
    </w:p>
    <w:p>
      <w:pPr>
        <w:spacing w:before="0" w:after="60" w:line="260" w:lineRule="auto"/>
        <w:ind w:left="360" w:hanging="360"/>
        <w:jc w:val="both"/>
      </w:pPr>
      <w:r>
        <w:rPr>
          <w:rFonts w:hint="eastAsia" w:ascii="Times New Roman" w:hAnsi="Times New Roman" w:eastAsia="宋体" w:cs="Times New Roman"/>
          <w:sz w:val="18"/>
          <w:szCs w:val="18"/>
        </w:rPr>
        <w:t>[3] JOSEPH R N. Beyond LLM-based test automation: a zero-cost self-healing approach using DOM accessibility tree extraction[EB/OL]. arXiv:2603.20358, 2026[2026-06-20]. https://arxiv.org/abs/2603.20358.</w:t>
      </w:r>
    </w:p>
    <w:p>
      <w:pPr>
        <w:spacing w:before="0" w:after="60" w:line="260" w:lineRule="auto"/>
        <w:ind w:left="360" w:hanging="360"/>
        <w:jc w:val="both"/>
      </w:pPr>
      <w:r>
        <w:rPr>
          <w:rFonts w:hint="eastAsia" w:ascii="Times New Roman" w:hAnsi="Times New Roman" w:eastAsia="宋体" w:cs="Times New Roman"/>
          <w:sz w:val="18"/>
          <w:szCs w:val="18"/>
        </w:rPr>
        <w:t>[4] 香佳宏, 徐霄阳, 孔繁初, 等. 大模型在软件缺陷检测与修复的应用发展综述[J]. 软件学报, 2025, 36(4): 1489-1529.</w:t>
      </w:r>
    </w:p>
    <w:p>
      <w:pPr>
        <w:spacing w:before="0" w:after="60" w:line="260" w:lineRule="auto"/>
        <w:ind w:left="360" w:hanging="360"/>
        <w:jc w:val="both"/>
      </w:pPr>
      <w:r>
        <w:rPr>
          <w:rFonts w:hint="eastAsia" w:ascii="Times New Roman" w:hAnsi="Times New Roman" w:eastAsia="宋体" w:cs="Times New Roman"/>
          <w:sz w:val="18"/>
          <w:szCs w:val="18"/>
        </w:rPr>
        <w:t>[5] 李斌, 贺也平, 马恒太. 程序自动修复: 关键问题及技术[J]. 软件学报, 2019, 30(2): 244-265.</w:t>
      </w:r>
    </w:p>
    <w:p>
      <w:pPr>
        <w:spacing w:before="0" w:after="60" w:line="260" w:lineRule="auto"/>
        <w:ind w:left="360" w:hanging="360"/>
        <w:jc w:val="both"/>
      </w:pPr>
      <w:r>
        <w:rPr>
          <w:rFonts w:hint="eastAsia" w:ascii="Times New Roman" w:hAnsi="Times New Roman" w:eastAsia="宋体" w:cs="Times New Roman"/>
          <w:sz w:val="18"/>
          <w:szCs w:val="18"/>
        </w:rPr>
        <w:t>[6] DE MOURA T S, ADAMIETZ L, MEHBOOB S, et al. ReproBreak: a dataset of reproducible web locator breaks[EB/OL]. arXiv:2605.12158, 2026[2026-06-20]. https://arxiv.org/abs/2605.12158.</w:t>
      </w:r>
    </w:p>
    <w:p>
      <w:pPr>
        <w:spacing w:before="0" w:after="60" w:line="260" w:lineRule="auto"/>
        <w:ind w:left="360" w:hanging="360"/>
        <w:jc w:val="both"/>
      </w:pPr>
      <w:r>
        <w:rPr>
          <w:rFonts w:hint="eastAsia" w:ascii="Times New Roman" w:hAnsi="Times New Roman" w:eastAsia="宋体" w:cs="Times New Roman"/>
          <w:sz w:val="18"/>
          <w:szCs w:val="18"/>
        </w:rPr>
        <w:t>[7] HUI B, YANG J, CUI Z, et al. Qwen2.5-Coder technical report[EB/OL]. arXiv:2409.12186, 2024[2026-06-20]. https://arxiv.org/abs/2409.12186.</w:t>
      </w:r>
      <w:bookmarkStart w:id="0" w:name="_GoBack"/>
      <w:bookmarkEnd w:id="0"/>
    </w:p>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楷体">
    <w:altName w:val="汉仪楷体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7F710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00" w:lineRule="auto"/>
    </w:pPr>
    <w:rPr>
      <w:rFonts w:ascii="Times New Roman" w:hAnsi="Times New Roman" w:eastAsia="宋体" w:cs="Times New Roman"/>
      <w:sz w:val="21"/>
      <w:szCs w:val="21"/>
      <w:lang w:val="en-US" w:eastAsia="zh-CN"/>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软视软件（苏州）有限公司</Company>
  <Pages>7</Pages>
  <TotalTime>0</TotalTime>
  <ScaleCrop>false</ScaleCrop>
  <LinksUpToDate>false</LinksUpToDate>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2026-10-19T08:00:00Z</dcterms:created>
  <dc:creator>高东彪</dc:creator>
  <cp:lastModifiedBy>高东彪</cp:lastModifiedBy>
  <dcterms:modified xsi:type="dcterms:W3CDTF">2026-10-21T19:55:32Z</dcterms:modified>
  <dc:title>Playwright 测试自愈隐性误修复检测与防范方法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74266607C18DF72D34A8D86A33BD9B77_42</vt:lpwstr>
  </property>
</Properties>
</file>