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0.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08,</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49"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1"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4"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3"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p>
      <w:pPr>
        <w:numPr>
          <w:ilvl w:val="0"/>
          <w:numId w:val="1029"/>
        </w:numPr>
        <w:pStyle w:val="Compact"/>
      </w:pPr>
      <w:r>
        <w:t xml:space="preserve">Evaluate what proportion of data was taxonomically classified.</w:t>
      </w:r>
    </w:p>
    <w:p>
      <w:pPr>
        <w:numPr>
          <w:ilvl w:val="0"/>
          <w:numId w:val="1030"/>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0"/>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1"/>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2"/>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3"/>
        </w:numPr>
        <w:pStyle w:val="Compact"/>
      </w:pPr>
      <w:r>
        <w:t xml:space="preserve">Identify abundant taxa (those at &gt;1%).</w:t>
      </w:r>
    </w:p>
    <w:p>
      <w:pPr>
        <w:numPr>
          <w:ilvl w:val="0"/>
          <w:numId w:val="1034"/>
        </w:numPr>
        <w:pStyle w:val="Compact"/>
      </w:pPr>
      <w:r>
        <w:t xml:space="preserve">Select columns B through I</w:t>
      </w:r>
    </w:p>
    <w:p>
      <w:pPr>
        <w:numPr>
          <w:ilvl w:val="0"/>
          <w:numId w:val="1034"/>
        </w:numPr>
        <w:pStyle w:val="Compact"/>
      </w:pPr>
      <w:r>
        <w:t xml:space="preserve">In the Data menu, select</w:t>
      </w:r>
      <w:r>
        <w:t xml:space="preserve"> </w:t>
      </w:r>
      <w:r>
        <w:t xml:space="preserve">“</w:t>
      </w:r>
      <w:r>
        <w:t xml:space="preserve">Sort range by column B (Z to A)</w:t>
      </w:r>
      <w:r>
        <w:t xml:space="preserve">”</w:t>
      </w:r>
    </w:p>
    <w:p>
      <w:pPr>
        <w:numPr>
          <w:ilvl w:val="0"/>
          <w:numId w:val="1034"/>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4"/>
        </w:numPr>
        <w:pStyle w:val="Compact"/>
      </w:pPr>
      <w:r>
        <w:t xml:space="preserve">In new column C, calculate % abundance for each row by dividing each count value by the total number of reads and multiplying by 100.</w:t>
      </w:r>
    </w:p>
    <w:p>
      <w:pPr>
        <w:numPr>
          <w:ilvl w:val="0"/>
          <w:numId w:val="1034"/>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5"/>
        </w:numPr>
        <w:pStyle w:val="Compact"/>
      </w:pPr>
      <w:r>
        <w:t xml:space="preserve">List abundant taxa you identified in a table below.</w:t>
      </w:r>
    </w:p>
    <w:p>
      <w:pPr>
        <w:numPr>
          <w:ilvl w:val="0"/>
          <w:numId w:val="1036"/>
        </w:numPr>
        <w:pStyle w:val="Compact"/>
      </w:pPr>
      <w:r>
        <w:t xml:space="preserve">To consolidate the different abundant taxa, in e.g. new column D, copy the lower taxonomic rank identified for the abundant (at &gt;1%) taxa.</w:t>
      </w:r>
    </w:p>
    <w:p>
      <w:pPr>
        <w:numPr>
          <w:ilvl w:val="0"/>
          <w:numId w:val="1036"/>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7"/>
        </w:numPr>
        <w:pStyle w:val="Compact"/>
      </w:pPr>
      <w:r>
        <w:t xml:space="preserve">Overall compare your results with the expected taxa and abundance for</w:t>
      </w:r>
      <w:r>
        <w:t xml:space="preserve"> </w:t>
      </w:r>
      <w:hyperlink r:id="rId82">
        <w:r>
          <w:rPr>
            <w:rStyle w:val="Hyperlink"/>
          </w:rPr>
          <w:t xml:space="preserve">Zymo gut standard documentation</w:t>
        </w:r>
      </w:hyperlink>
      <w:r>
        <w:t xml:space="preserve">?</w:t>
      </w:r>
    </w:p>
    <w:p>
      <w:pPr>
        <w:numPr>
          <w:ilvl w:val="0"/>
          <w:numId w:val="1038"/>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9"/>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0"/>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3"/>
    <w:bookmarkEnd w:id="84"/>
    <w:bookmarkStart w:id="87"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6"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1"/>
        </w:numPr>
        <w:pStyle w:val="Compact"/>
      </w:pPr>
      <w:r>
        <w:t xml:space="preserve">In this activity, repeat steps of the Activity 1 above, but now using</w:t>
      </w:r>
      <w:r>
        <w:t xml:space="preserve"> </w:t>
      </w:r>
      <w:hyperlink r:id="rId85">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6"/>
    <w:bookmarkEnd w:id="87"/>
    <w:bookmarkStart w:id="88"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88"/>
    <w:bookmarkStart w:id="90"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2">
        <w:r>
          <w:rPr>
            <w:rStyle w:val="Hyperlink"/>
          </w:rPr>
          <w:t xml:space="preserve">D6331 Zymo Gut Microbiome Standard documentation</w:t>
        </w:r>
      </w:hyperlink>
    </w:p>
    <w:p>
      <w:pPr>
        <w:numPr>
          <w:ilvl w:val="0"/>
          <w:numId w:val="1044"/>
        </w:numPr>
        <w:pStyle w:val="Compact"/>
      </w:pPr>
      <w:hyperlink r:id="rId89">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0"/>
    <w:bookmarkEnd w:id="91"/>
    <w:bookmarkStart w:id="107" w:name="activity-a-short-introduction-to-galaxy"/>
    <w:p>
      <w:pPr>
        <w:pStyle w:val="Heading2"/>
      </w:pPr>
      <w:r>
        <w:rPr>
          <w:rStyle w:val="SectionNumber"/>
        </w:rPr>
        <w:t xml:space="preserve">2.3</w:t>
      </w:r>
      <w:r>
        <w:tab/>
      </w:r>
      <w:r>
        <w:t xml:space="preserve">Activity: A short introduction to Galaxy</w:t>
      </w:r>
    </w:p>
    <w:bookmarkStart w:id="99"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2">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3">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4">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5">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6">
        <w:r>
          <w:rPr>
            <w:rStyle w:val="Hyperlink"/>
          </w:rPr>
          <w:t xml:space="preserve">reference data</w:t>
        </w:r>
      </w:hyperlink>
    </w:p>
    <w:p>
      <w:pPr>
        <w:numPr>
          <w:ilvl w:val="0"/>
          <w:numId w:val="1046"/>
        </w:numPr>
        <w:pStyle w:val="Compact"/>
      </w:pPr>
      <w:r>
        <w:t xml:space="preserve">Extensive training</w:t>
      </w:r>
      <w:r>
        <w:t xml:space="preserve"> </w:t>
      </w:r>
      <w:hyperlink r:id="rId97">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98">
        <w:r>
          <w:rPr>
            <w:rStyle w:val="Hyperlink"/>
          </w:rPr>
          <w:t xml:space="preserve">community</w:t>
        </w:r>
      </w:hyperlink>
      <w:r>
        <w:t xml:space="preserve"> </w:t>
      </w:r>
      <w:r>
        <w:t xml:space="preserve">of users and developers</w:t>
      </w:r>
    </w:p>
    <w:bookmarkEnd w:id="99"/>
    <w:bookmarkStart w:id="103"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2"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0">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1">
        <w:r>
          <w:rPr>
            <w:rStyle w:val="Hyperlink"/>
          </w:rPr>
          <w:t xml:space="preserve">training.galaxyproject.org/training-material/topics/introduction/tutorials/galaxy-intro-short/tutorial.html</w:t>
        </w:r>
      </w:hyperlink>
    </w:p>
    <w:bookmarkEnd w:id="102"/>
    <w:bookmarkEnd w:id="103"/>
    <w:bookmarkStart w:id="104"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4"/>
    <w:bookmarkStart w:id="106"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5">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6"/>
    <w:bookmarkEnd w:id="107"/>
    <w:bookmarkStart w:id="121" w:name="homework-scientific-literature-prelab"/>
    <w:p>
      <w:pPr>
        <w:pStyle w:val="Heading2"/>
      </w:pPr>
      <w:r>
        <w:rPr>
          <w:rStyle w:val="SectionNumber"/>
        </w:rPr>
        <w:t xml:space="preserve">2.4</w:t>
      </w:r>
      <w:r>
        <w:tab/>
      </w:r>
      <w:r>
        <w:t xml:space="preserve">Homework: Scientific Literature Prelab</w:t>
      </w:r>
    </w:p>
    <w:bookmarkStart w:id="109"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8">
        <w:r>
          <w:rPr>
            <w:rStyle w:val="Hyperlink"/>
          </w:rPr>
          <w:t xml:space="preserve">(pubmed.gov/19146522)</w:t>
        </w:r>
      </w:hyperlink>
    </w:p>
    <w:bookmarkEnd w:id="109"/>
    <w:bookmarkStart w:id="110"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0"/>
    <w:bookmarkStart w:id="114"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1">
        <w:r>
          <w:rPr>
            <w:rStyle w:val="Hyperlink"/>
          </w:rPr>
          <w:t xml:space="preserve">(K.G. Lloyd et al, 2019)</w:t>
        </w:r>
      </w:hyperlink>
      <w:r>
        <w:t xml:space="preserve">. Additionally, in complex environments like soil and water, most micro-organisms remain unidentified</w:t>
      </w:r>
      <w:r>
        <w:t xml:space="preserve"> </w:t>
      </w:r>
      <w:hyperlink r:id="rId112">
        <w:r>
          <w:rPr>
            <w:rStyle w:val="Hyperlink"/>
          </w:rPr>
          <w:t xml:space="preserve">(M. Delgado-Baquerizo, 2019)</w:t>
        </w:r>
      </w:hyperlink>
      <w:r>
        <w:t xml:space="preserve">. The field of metagenomics is a culture-independend approach which aims to remedy these gaps in knowledge</w:t>
      </w:r>
      <w:r>
        <w:t xml:space="preserve"> </w:t>
      </w:r>
      <w:hyperlink r:id="rId113">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4"/>
    <w:bookmarkStart w:id="118"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5"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5"/>
    <w:bookmarkStart w:id="116" w:name="questions-1"/>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6"/>
    <w:bookmarkStart w:id="117"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7"/>
    <w:bookmarkEnd w:id="118"/>
    <w:bookmarkStart w:id="120"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19">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0"/>
    <w:bookmarkEnd w:id="121"/>
    <w:bookmarkStart w:id="126" w:name="discussion-scientific-literature-prelab"/>
    <w:p>
      <w:pPr>
        <w:pStyle w:val="Heading2"/>
      </w:pPr>
      <w:r>
        <w:rPr>
          <w:rStyle w:val="SectionNumber"/>
        </w:rPr>
        <w:t xml:space="preserve">2.5</w:t>
      </w:r>
      <w:r>
        <w:tab/>
      </w:r>
      <w:r>
        <w:t xml:space="preserve">Discussion: Scientific Literature Prelab</w:t>
      </w:r>
    </w:p>
    <w:bookmarkStart w:id="125"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4"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2">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3">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4"/>
    <w:bookmarkEnd w:id="125"/>
    <w:bookmarkEnd w:id="126"/>
    <w:bookmarkStart w:id="131"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28" name="Picture"/>
            <a:graphic>
              <a:graphicData uri="http://schemas.openxmlformats.org/drawingml/2006/picture">
                <pic:pic>
                  <pic:nvPicPr>
                    <pic:cNvPr descr="scientific-literature_files/figure-docx//1zbjroITjBYmu-oxFT0qmOCx9LeEcSoaYrp_sWuy1OLM_g35f391192_00.png" id="129" name="Picture"/>
                    <pic:cNvPicPr>
                      <a:picLocks noChangeArrowheads="1" noChangeAspect="1"/>
                    </pic:cNvPicPr>
                  </pic:nvPicPr>
                  <pic:blipFill>
                    <a:blip r:embed="rId1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0">
        <w:r>
          <w:rPr>
            <w:rStyle w:val="Hyperlink"/>
          </w:rPr>
          <w:t xml:space="preserve">Slides: Scientific Literature</w:t>
        </w:r>
      </w:hyperlink>
    </w:p>
    <w:bookmarkEnd w:id="131"/>
    <w:bookmarkStart w:id="147" w:name="homework-scientific-literature-activity"/>
    <w:p>
      <w:pPr>
        <w:pStyle w:val="Heading2"/>
      </w:pPr>
      <w:r>
        <w:rPr>
          <w:rStyle w:val="SectionNumber"/>
        </w:rPr>
        <w:t xml:space="preserve">2.7</w:t>
      </w:r>
      <w:r>
        <w:tab/>
      </w:r>
      <w:r>
        <w:t xml:space="preserve">Homework: Scientific Literature Activity</w:t>
      </w:r>
    </w:p>
    <w:bookmarkStart w:id="133"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2">
        <w:r>
          <w:rPr>
            <w:rStyle w:val="Hyperlink"/>
          </w:rPr>
          <w:t xml:space="preserve">(pubmed.gov/37563185)</w:t>
        </w:r>
      </w:hyperlink>
    </w:p>
    <w:bookmarkEnd w:id="133"/>
    <w:bookmarkStart w:id="134"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4"/>
    <w:bookmarkStart w:id="135"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2">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5"/>
    <w:bookmarkStart w:id="140"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6"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6"/>
    <w:bookmarkStart w:id="137"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7"/>
    <w:bookmarkStart w:id="138"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38"/>
    <w:bookmarkStart w:id="139"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39"/>
    <w:bookmarkEnd w:id="140"/>
    <w:bookmarkStart w:id="143"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1"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1"/>
    <w:bookmarkStart w:id="142"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2"/>
    <w:bookmarkEnd w:id="143"/>
    <w:bookmarkStart w:id="144"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4"/>
    <w:bookmarkStart w:id="146"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5">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6"/>
    <w:bookmarkEnd w:id="147"/>
    <w:bookmarkStart w:id="148" w:name="X6c0938f9d10d790bcb5b944e99587472d5b0fe8"/>
    <w:p>
      <w:pPr>
        <w:pStyle w:val="Heading2"/>
      </w:pPr>
      <w:r>
        <w:rPr>
          <w:rStyle w:val="SectionNumber"/>
        </w:rPr>
        <w:t xml:space="preserve">2.8</w:t>
      </w:r>
      <w:r>
        <w:tab/>
      </w:r>
      <w:r>
        <w:t xml:space="preserve">Presentation: Scientific Literature Activity</w:t>
      </w:r>
    </w:p>
    <w:bookmarkEnd w:id="148"/>
    <w:bookmarkEnd w:id="149"/>
    <w:bookmarkStart w:id="150" w:name="microbial-genomes"/>
    <w:p>
      <w:pPr>
        <w:pStyle w:val="Heading1"/>
      </w:pPr>
      <w:r>
        <w:rPr>
          <w:rStyle w:val="SectionNumber"/>
        </w:rPr>
        <w:t xml:space="preserve">3</w:t>
      </w:r>
      <w:r>
        <w:tab/>
      </w:r>
      <w:r>
        <w:t xml:space="preserve">Microbial Genomes</w:t>
      </w:r>
    </w:p>
    <w:bookmarkEnd w:id="150"/>
    <w:bookmarkStart w:id="151" w:name="taxonomy-profiling"/>
    <w:p>
      <w:pPr>
        <w:pStyle w:val="Heading1"/>
      </w:pPr>
      <w:r>
        <w:rPr>
          <w:rStyle w:val="SectionNumber"/>
        </w:rPr>
        <w:t xml:space="preserve">4</w:t>
      </w:r>
      <w:r>
        <w:tab/>
      </w:r>
      <w:r>
        <w:t xml:space="preserve">Taxonomy Profiling</w:t>
      </w:r>
    </w:p>
    <w:bookmarkEnd w:id="151"/>
    <w:bookmarkStart w:id="159" w:name="about-the-authors"/>
    <w:p>
      <w:pPr>
        <w:pStyle w:val="Heading1"/>
      </w:pPr>
      <w:r>
        <w:t xml:space="preserve">About the Authors</w:t>
      </w:r>
    </w:p>
    <w:p>
      <w:pPr>
        <w:pStyle w:val="FirstParagraph"/>
      </w:pPr>
      <w:r>
        <w:t xml:space="preserve">These credits are based on our</w:t>
      </w:r>
      <w:r>
        <w:t xml:space="preserve"> </w:t>
      </w:r>
      <w:hyperlink r:id="rId15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5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4">
              <w:r>
                <w:rPr>
                  <w:rStyle w:val="Hyperlink"/>
                </w:rPr>
                <w:t xml:space="preserve">Candace Savonen</w:t>
              </w:r>
            </w:hyperlink>
            <w:r>
              <w:t xml:space="preserve">,</w:t>
            </w:r>
            <w:r>
              <w:t xml:space="preserve"> </w:t>
            </w:r>
            <w:hyperlink r:id="rId155">
              <w:r>
                <w:rPr>
                  <w:rStyle w:val="Hyperlink"/>
                </w:rPr>
                <w:t xml:space="preserve">Carrie Wright</w:t>
              </w:r>
            </w:hyperlink>
            <w:r>
              <w:t xml:space="preserve">,</w:t>
            </w:r>
            <w:r>
              <w:t xml:space="preserve"> </w:t>
            </w:r>
            <w:hyperlink r:id="rId15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5">
              <w:r>
                <w:rPr>
                  <w:rStyle w:val="Hyperlink"/>
                </w:rPr>
                <w:t xml:space="preserve">Carrie Wright</w:t>
              </w:r>
            </w:hyperlink>
            <w:r>
              <w:t xml:space="preserve">,</w:t>
            </w:r>
            <w:r>
              <w:t xml:space="preserve"> </w:t>
            </w:r>
            <w:hyperlink r:id="rId156">
              <w:r>
                <w:rPr>
                  <w:rStyle w:val="Hyperlink"/>
                </w:rPr>
                <w:t xml:space="preserve">Ava Hoffman</w:t>
              </w:r>
            </w:hyperlink>
            <w:r>
              <w:t xml:space="preserve">,</w:t>
            </w:r>
            <w:r>
              <w:t xml:space="preserve"> </w:t>
            </w:r>
            <w:hyperlink r:id="rId154">
              <w:r>
                <w:rPr>
                  <w:rStyle w:val="Hyperlink"/>
                </w:rPr>
                <w:t xml:space="preserve">Candace Savonen</w:t>
              </w:r>
            </w:hyperlink>
          </w:p>
        </w:tc>
      </w:tr>
      <w:tr>
        <w:tc>
          <w:tcPr/>
          <w:p>
            <w:pPr>
              <w:pStyle w:val="Compact"/>
              <w:jc w:val="left"/>
            </w:pPr>
            <w:r>
              <w:t xml:space="preserve">Package Developers (</w:t>
            </w:r>
            <w:hyperlink r:id="rId157">
              <w:r>
                <w:rPr>
                  <w:rStyle w:val="Hyperlink"/>
                </w:rPr>
                <w:t xml:space="preserve">ottrpal</w:t>
              </w:r>
            </w:hyperlink>
            <w:r>
              <w:t xml:space="preserve">)</w:t>
            </w:r>
            <w:r>
              <w:t xml:space="preserve"> </w:t>
            </w:r>
            <w:hyperlink r:id="rId154">
              <w:r>
                <w:rPr>
                  <w:rStyle w:val="Hyperlink"/>
                </w:rPr>
                <w:t xml:space="preserve">Candace Savonen</w:t>
              </w:r>
            </w:hyperlink>
            <w:r>
              <w:t xml:space="preserve">,</w:t>
            </w:r>
            <w:r>
              <w:t xml:space="preserve"> </w:t>
            </w:r>
            <w:hyperlink r:id="rId158">
              <w:r>
                <w:rPr>
                  <w:rStyle w:val="Hyperlink"/>
                </w:rPr>
                <w:t xml:space="preserve">John Muschelli</w:t>
              </w:r>
            </w:hyperlink>
            <w:r>
              <w:t xml:space="preserve">,</w:t>
            </w:r>
            <w:r>
              <w:t xml:space="preserve"> </w:t>
            </w:r>
            <w:hyperlink r:id="rId15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9"/>
    <w:bookmarkStart w:id="160" w:name="references"/>
    <w:p>
      <w:pPr>
        <w:pStyle w:val="Heading1"/>
      </w:pPr>
      <w:r>
        <w:t xml:space="preserve">References</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1"/>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1"/>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image" Id="rId127" Target="media/rId127.png" /><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7"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8"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52"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53"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7"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8"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52"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53"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2025-05-08T18:00:44Z</dcterms:created>
  <dcterms:modified xsi:type="dcterms:W3CDTF">2025-05-08T18:00:44Z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08,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