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Analysis notes for storyboard v4</w:t>
      </w:r>
    </w:p>
    <w:p>
      <w:r>
        <w:t xml:space="preserve">Companion to Storyboard_v4.docx: decisions, data changes, how results moved from v3, open items, and how to rerun everything. Generated from the results in the repository on branch manuscript-v4-analysis.</w:t>
      </w:r>
    </w:p>
    <w:p>
      <w:pPr>
        <w:pStyle w:val="Heading2"/>
      </w:pPr>
      <w:r>
        <w:t xml:space="preserve">1. Items that need your attention</w:t>
      </w:r>
    </w:p>
    <w:p>
      <w:pPr>
        <w:pStyle w:val="ListBullet"/>
        <w:numPr>
          <w:ilvl w:val="0"/>
          <w:numId w:val="1"/>
        </w:numPr>
      </w:pPr>
      <w:r>
        <w:rPr>
          <w:b/>
        </w:rPr>
        <w:t xml:space="preserve">BRITE C provenance (needs your input). </w:t>
      </w:r>
      <w:r>
        <w:t xml:space="preserve">No code in the repository creates Data/brite_C_expression.csv (committed 2026-07-07). Values are non-integer and per-sample totals vary 2.9-fold over the 325 analysed categories, so they are not raw counts or TPM summing to a constant. For Methods, the upstream pipeline (read mapping, normalization, KO to BRITE roll-up, handling of KOs in several categories) should be added to the repository or cited. Whoever produced it can add the script under Scripts/upstream/</w:t>
      </w:r>
    </w:p>
    <w:p>
      <w:pPr>
        <w:pStyle w:val="ListBullet"/>
        <w:numPr>
          <w:ilvl w:val="0"/>
          <w:numId w:val="1"/>
        </w:numPr>
      </w:pPr>
      <w:r>
        <w:rPr>
          <w:b/>
        </w:rPr>
        <w:t xml:space="preserve">Raw data are not on GitHub. </w:t>
      </w:r>
      <w:r>
        <w:t xml:space="preserve">DataHub March/ and Archive/ are in .gitignore. Data/README.md lists each source file with an MD5 checksum, so results can be traced to exact files, but anyone cloning the repository needs the DataHub package. Decide whether to keep this (sensible until the DataHub packages are public) or add the files.</w:t>
      </w:r>
    </w:p>
    <w:p>
      <w:pPr>
        <w:pStyle w:val="ListBullet"/>
        <w:numPr>
          <w:ilvl w:val="0"/>
          <w:numId w:val="1"/>
        </w:numPr>
      </w:pPr>
      <w:r>
        <w:rPr>
          <w:b/>
        </w:rPr>
        <w:t xml:space="preserve">For S. Bell. </w:t>
      </w:r>
      <w:r>
        <w:t xml:space="preserve">(1) Reference for the season definition; (2) harvest, fall-saturation, and irrigation start/stop dates for the Fig. 1 timeline; (3) rhizotron root data if they should appear in Fig. 1 or S1; (4) whether field concentrations of any assay substrates are known, to benchmark the MicroResp dose (KH comment).</w:t>
      </w:r>
    </w:p>
    <w:p>
      <w:pPr>
        <w:pStyle w:val="ListBullet"/>
        <w:numPr>
          <w:ilvl w:val="0"/>
          <w:numId w:val="1"/>
        </w:numPr>
      </w:pPr>
      <w:r>
        <w:rPr>
          <w:b/>
        </w:rPr>
        <w:t xml:space="preserve">Data package README errors to report. </w:t>
      </w:r>
      <w:r>
        <w:t xml:space="preserve">Soil Phenotypes README: collection-date line reads 2024-06-07 to 2024-07-03 (should be 2023-06-07 to 2024-06-05); EEA text says six MUB and four MUC enzymes but lists five and two; EEA file has Collection_date = #N/A for SM1502.</w:t>
      </w:r>
    </w:p>
    <w:p>
      <w:pPr>
        <w:pStyle w:val="ListBullet"/>
        <w:numPr>
          <w:ilvl w:val="0"/>
          <w:numId w:val="1"/>
        </w:numPr>
      </w:pPr>
      <w:r>
        <w:rPr>
          <w:b/>
        </w:rPr>
        <w:t xml:space="preserve">Microbial biomass C. </w:t>
      </w:r>
      <w:r>
        <w:t xml:space="preserve">Two very low MBC values (0.07 and 0.14 ug C/g) remain after LOD/2 replacement of zeros; visible in Fig. 1F. They do not affect the season test (log-scale mixed model, p = 0.86) but are worth checking against lab records.</w:t>
      </w:r>
    </w:p>
    <w:p>
      <w:pPr>
        <w:pStyle w:val="ListBullet"/>
        <w:numPr>
          <w:ilvl w:val="0"/>
          <w:numId w:val="1"/>
        </w:numPr>
      </w:pPr>
      <w:r>
        <w:rPr>
          <w:b/>
        </w:rPr>
        <w:t xml:space="preserve">AI-use statement. </w:t>
      </w:r>
      <w:r>
        <w:t xml:space="preserve">The manuscript needs an AI-use statement covering ChatGPT (v3 storyboard) and Claude (v4 analysis code and text); check SBB policy.</w:t>
      </w:r>
    </w:p>
    <w:p>
      <w:pPr>
        <w:pStyle w:val="ListBullet"/>
        <w:numPr>
          <w:ilvl w:val="0"/>
          <w:numId w:val="1"/>
        </w:numPr>
      </w:pPr>
      <w:r>
        <w:rPr>
          <w:b/>
        </w:rPr>
        <w:t xml:space="preserve">Not pushed. </w:t>
      </w:r>
      <w:r>
        <w:t xml:space="preserve">All work is committed on the local branch manuscript-v4-analysis and has not been pushed to GitHub.</w:t>
      </w:r>
    </w:p>
    <w:p>
      <w:pPr>
        <w:pStyle w:val="Heading2"/>
      </w:pPr>
      <w:r>
        <w:t xml:space="preserve">2. Interpretation cautions</w:t>
      </w:r>
    </w:p>
    <w:p>
      <w:pPr>
        <w:pStyle w:val="ListBullet"/>
        <w:numPr>
          <w:ilvl w:val="0"/>
          <w:numId w:val="1"/>
        </w:numPr>
      </w:pPr>
      <w:r>
        <w:t xml:space="preserve">H1a: with dates as replicates the SIR profile test is not significant (p = 0.11). The robust seasonal SIR result is the shared increase across all substrates in dormancy (p = 0.045), which composition-based tests (Bray-Curtis on profiles) partly remove. Frame Q1 around level and variability, not composition.</w:t>
      </w:r>
    </w:p>
    <w:p>
      <w:pPr>
        <w:pStyle w:val="ListBullet"/>
        <w:numPr>
          <w:ilvl w:val="0"/>
          <w:numId w:val="1"/>
        </w:numPr>
      </w:pPr>
      <w:r>
        <w:t xml:space="preserve">H1b direction matches the prediction for complex substrates (largest dormancy increase), but the predicted active-season advantage for readily available substrates is absent: they also rose in dormancy. Results differ between 5 h, 24 h, and per-g-soil normalizations (Fig. S2b), so report the 5-h result as primary and the others transparently.</w:t>
      </w:r>
    </w:p>
    <w:p>
      <w:pPr>
        <w:pStyle w:val="ListBullet"/>
        <w:numPr>
          <w:ilvl w:val="0"/>
          <w:numId w:val="1"/>
        </w:numPr>
      </w:pPr>
      <w:r>
        <w:t xml:space="preserve">H2: p = 0.048 is the smallest value possible with 5 active and 2 dormant dates; report it with that context. The effect size (R² = 0.52 on date means) is the more informative number.</w:t>
      </w:r>
    </w:p>
    <w:p>
      <w:pPr>
        <w:pStyle w:val="ListBullet"/>
        <w:numPr>
          <w:ilvl w:val="0"/>
          <w:numId w:val="1"/>
        </w:numPr>
      </w:pPr>
      <w:r>
        <w:t xml:space="preserve">Q3: correlations rest on seven dates; with n = 7, |rho| must exceed about 0.79 to reach p </w:t>
      </w:r>
      <w:r>
        <w:t xml:space="preserve">&lt; 0.05, which no class does, so present them as descriptive. The lag comparison mixes 28-day intervals with one 41-day interval (January to February, which also lacks plot 27).</w:t>
      </w:r>
    </w:p>
    <w:p>
      <w:pPr>
        <w:pStyle w:val="ListBullet"/>
        <w:numPr>
          <w:ilvl w:val="0"/>
          <w:numId w:val="1"/>
        </w:numPr>
      </w:pPr>
      <w:r>
        <w:t xml:space="preserve">MicroResp reflects potential capacity after a resource pulse at 60% WHC and room temperature. Higher dormant SIR could partly reflect a rewetting or warming response of winter soils (Birch effect, KH comment); field water content was the variable most aligned with the SIR ordination (exploratory envfit).</w:t>
      </w:r>
    </w:p>
    <w:p>
      <w:pPr>
        <w:pStyle w:val="Heading2"/>
      </w:pPr>
      <w:r>
        <w:t xml:space="preserve">3. How results changed from storyboard v3</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2340"/>
        <w:gridCol w:w="2340"/>
        <w:gridCol w:w="2340"/>
        <w:gridCol w:w="2340"/>
      </w:tblGrid>
      <w:tr>
        <w:tc>
          <w:tcPr>
            <w:tcW w:w="2340" w:type="dxa"/>
            <w:shd w:val="clear" w:color="auto" w:fill="E7ECF5"/>
          </w:tcPr>
          <w:p>
            <w:r>
              <w:rPr>
                <w:b/>
                <w:sz w:val="18"/>
              </w:rPr>
              <w:t xml:space="preserve">Result</w:t>
            </w:r>
          </w:p>
        </w:tc>
        <w:tc>
          <w:tcPr>
            <w:tcW w:w="2340" w:type="dxa"/>
            <w:shd w:val="clear" w:color="auto" w:fill="E7ECF5"/>
          </w:tcPr>
          <w:p>
            <w:r>
              <w:rPr>
                <w:b/>
                <w:sz w:val="18"/>
              </w:rPr>
              <w:t xml:space="preserve">Storyboard v3</w:t>
            </w:r>
          </w:p>
        </w:tc>
        <w:tc>
          <w:tcPr>
            <w:tcW w:w="2340" w:type="dxa"/>
            <w:shd w:val="clear" w:color="auto" w:fill="E7ECF5"/>
          </w:tcPr>
          <w:p>
            <w:r>
              <w:rPr>
                <w:b/>
                <w:sz w:val="18"/>
              </w:rPr>
              <w:t xml:space="preserve">v4 (this analysis)</w:t>
            </w:r>
          </w:p>
        </w:tc>
        <w:tc>
          <w:tcPr>
            <w:tcW w:w="2340" w:type="dxa"/>
            <w:shd w:val="clear" w:color="auto" w:fill="E7ECF5"/>
          </w:tcPr>
          <w:p>
            <w:r>
              <w:rPr>
                <w:b/>
                <w:sz w:val="18"/>
              </w:rPr>
              <w:t xml:space="preserve">Why it changed</w:t>
            </w:r>
          </w:p>
        </w:tc>
      </w:tr>
      <w:tr>
        <w:tc>
          <w:tcPr>
            <w:tcW w:w="2340" w:type="dxa"/>
          </w:tcPr>
          <w:p>
            <w:r>
              <w:rPr>
                <w:sz w:val="18"/>
              </w:rPr>
              <w:t xml:space="preserve">SIR season PERMANOVA (H1a)</w:t>
            </w:r>
          </w:p>
        </w:tc>
        <w:tc>
          <w:tcPr>
            <w:tcW w:w="2340" w:type="dxa"/>
          </w:tcPr>
          <w:p>
            <w:r>
              <w:rPr>
                <w:sz w:val="18"/>
              </w:rPr>
              <w:t xml:space="preserve">R² = 0.097, p = 0.002</w:t>
            </w:r>
          </w:p>
        </w:tc>
        <w:tc>
          <w:tcPr>
            <w:tcW w:w="2340" w:type="dxa"/>
          </w:tcPr>
          <w:p>
            <w:r>
              <w:rPr>
                <w:sz w:val="18"/>
              </w:rPr>
              <w:t xml:space="preserve">Date level R² = 0.17, p = 0.112; sample level with date-wise permutation p = 0.079</w:t>
            </w:r>
          </w:p>
        </w:tc>
        <w:tc>
          <w:tcPr>
            <w:tcW w:w="2340" w:type="dxa"/>
          </w:tcPr>
          <w:p>
            <w:r>
              <w:rPr>
                <w:sz w:val="18"/>
              </w:rPr>
              <w:t xml:space="preserve">v3 permuted samples within plot, which treats the six plots on a date as independent replicates of season. Season is assigned to dates, so v4 permutes season labels across dates. Also uses MicroResp v3 (77 samples instead of 78 with a duplicate).</w:t>
            </w:r>
          </w:p>
        </w:tc>
      </w:tr>
      <w:tr>
        <w:tc>
          <w:tcPr>
            <w:tcW w:w="2340" w:type="dxa"/>
          </w:tcPr>
          <w:p>
            <w:r>
              <w:rPr>
                <w:sz w:val="18"/>
              </w:rPr>
              <w:t xml:space="preserve">SIR dispersion</w:t>
            </w:r>
          </w:p>
        </w:tc>
        <w:tc>
          <w:tcPr>
            <w:tcW w:w="2340" w:type="dxa"/>
          </w:tcPr>
          <w:p>
            <w:r>
              <w:rPr>
                <w:sz w:val="18"/>
              </w:rPr>
              <w:t xml:space="preserve">F = 9.22, p = 0.007</w:t>
            </w:r>
          </w:p>
        </w:tc>
        <w:tc>
          <w:tcPr>
            <w:tcW w:w="2340" w:type="dxa"/>
          </w:tcPr>
          <w:p>
            <w:r>
              <w:rPr>
                <w:sz w:val="18"/>
              </w:rPr>
              <w:t xml:space="preserve">p = 0.037</w:t>
            </w:r>
          </w:p>
        </w:tc>
        <w:tc>
          <w:tcPr>
            <w:tcW w:w="2340" w:type="dxa"/>
          </w:tcPr>
          <w:p>
            <w:r>
              <w:rPr>
                <w:sz w:val="18"/>
              </w:rPr>
              <w:t xml:space="preserve">Same reason; dispersion still differs at the date level.</w:t>
            </w:r>
          </w:p>
        </w:tc>
      </w:tr>
      <w:tr>
        <w:tc>
          <w:tcPr>
            <w:tcW w:w="2340" w:type="dxa"/>
          </w:tcPr>
          <w:p>
            <w:r>
              <w:rPr>
                <w:sz w:val="18"/>
              </w:rPr>
              <w:t xml:space="preserve">Transcript season PERMANOVA (H2)</w:t>
            </w:r>
          </w:p>
        </w:tc>
        <w:tc>
          <w:tcPr>
            <w:tcW w:w="2340" w:type="dxa"/>
          </w:tcPr>
          <w:p>
            <w:r>
              <w:rPr>
                <w:sz w:val="18"/>
              </w:rPr>
              <w:t xml:space="preserve">R² = 0.234, p = 0.001</w:t>
            </w:r>
          </w:p>
        </w:tc>
        <w:tc>
          <w:tcPr>
            <w:tcW w:w="2340" w:type="dxa"/>
          </w:tcPr>
          <w:p>
            <w:r>
              <w:rPr>
                <w:sz w:val="18"/>
              </w:rPr>
              <w:t xml:space="preserve">R² = 0.52, exact p = 0.048 (minimum attainable)</w:t>
            </w:r>
          </w:p>
        </w:tc>
        <w:tc>
          <w:tcPr>
            <w:tcW w:w="2340" w:type="dxa"/>
          </w:tcPr>
          <w:p>
            <w:r>
              <w:rPr>
                <w:sz w:val="18"/>
              </w:rPr>
              <w:t xml:space="preserve">Date-level permutation (21 possible label sets) and within-sample proportions. The effect is as strong as 7 dates allow; p = 0.001 was not attainable without pseudo-replication.</w:t>
            </w:r>
          </w:p>
        </w:tc>
      </w:tr>
      <w:tr>
        <w:tc>
          <w:tcPr>
            <w:tcW w:w="2340" w:type="dxa"/>
          </w:tcPr>
          <w:p>
            <w:r>
              <w:rPr>
                <w:sz w:val="18"/>
              </w:rPr>
              <w:t xml:space="preserve">Fig. 2 B-D</w:t>
            </w:r>
          </w:p>
        </w:tc>
        <w:tc>
          <w:tcPr>
            <w:tcW w:w="2340" w:type="dxa"/>
          </w:tcPr>
          <w:p>
            <w:r>
              <w:rPr>
                <w:sz w:val="18"/>
              </w:rPr>
              <w:t xml:space="preserve">Top 3 substrates by GAM deviance</w:t>
            </w:r>
          </w:p>
        </w:tc>
        <w:tc>
          <w:tcPr>
            <w:tcW w:w="2340" w:type="dxa"/>
          </w:tcPr>
          <w:p>
            <w:r>
              <w:rPr>
                <w:sz w:val="18"/>
              </w:rPr>
              <w:t xml:space="preserve">H1b class test, per-substrate effects, class trajectories</w:t>
            </w:r>
          </w:p>
        </w:tc>
        <w:tc>
          <w:tcPr>
            <w:tcW w:w="2340" w:type="dxa"/>
          </w:tcPr>
          <w:p>
            <w:r>
              <w:rPr>
                <w:sz w:val="18"/>
              </w:rPr>
              <w:t xml:space="preserve">Decision D4; v3 panels were not tied to H1b.</w:t>
            </w:r>
          </w:p>
        </w:tc>
      </w:tr>
      <w:tr>
        <w:tc>
          <w:tcPr>
            <w:tcW w:w="2340" w:type="dxa"/>
          </w:tcPr>
          <w:p>
            <w:r>
              <w:rPr>
                <w:sz w:val="18"/>
              </w:rPr>
              <w:t xml:space="preserve">GAM deviance explained</w:t>
            </w:r>
          </w:p>
        </w:tc>
        <w:tc>
          <w:tcPr>
            <w:tcW w:w="2340" w:type="dxa"/>
          </w:tcPr>
          <w:p>
            <w:r>
              <w:rPr>
                <w:sz w:val="18"/>
              </w:rPr>
              <w:t xml:space="preserve">Methyl oleate 78.9%, chitosan 76.8%, L-glutamine 60.9%</w:t>
            </w:r>
          </w:p>
        </w:tc>
        <w:tc>
          <w:tcPr>
            <w:tcW w:w="2340" w:type="dxa"/>
          </w:tcPr>
          <w:p>
            <w:r>
              <w:rPr>
                <w:sz w:val="18"/>
              </w:rPr>
              <w:t xml:space="preserve">Top: Methyl oleate 83%, Chitosan 73%, Chitin 67%</w:t>
            </w:r>
          </w:p>
        </w:tc>
        <w:tc>
          <w:tcPr>
            <w:tcW w:w="2340" w:type="dxa"/>
          </w:tcPr>
          <w:p>
            <w:r>
              <w:rPr>
                <w:sz w:val="18"/>
              </w:rPr>
              <w:t xml:space="preserve">GAMs now fit to log2 SIR (variance stabilizing) on MicroResp v3.</w:t>
            </w:r>
          </w:p>
        </w:tc>
      </w:tr>
      <w:tr>
        <w:tc>
          <w:tcPr>
            <w:tcW w:w="2340" w:type="dxa"/>
          </w:tcPr>
          <w:p>
            <w:r>
              <w:rPr>
                <w:sz w:val="18"/>
              </w:rPr>
              <w:t xml:space="preserve">Mapped categories (Fig. 3B)</w:t>
            </w:r>
          </w:p>
        </w:tc>
        <w:tc>
          <w:tcPr>
            <w:tcW w:w="2340" w:type="dxa"/>
          </w:tcPr>
          <w:p>
            <w:r>
              <w:rPr>
                <w:sz w:val="18"/>
              </w:rPr>
              <w:t xml:space="preserve">31 linked pathways including TCA, glycolysis</w:t>
            </w:r>
          </w:p>
        </w:tc>
        <w:tc>
          <w:tcPr>
            <w:tcW w:w="2340" w:type="dxa"/>
          </w:tcPr>
          <w:p>
            <w:r>
              <w:rPr>
                <w:sz w:val="18"/>
              </w:rPr>
              <w:t xml:space="preserve">20 categories unique to one compound class</w:t>
            </w:r>
          </w:p>
        </w:tc>
        <w:tc>
          <w:tcPr>
            <w:tcW w:w="2340" w:type="dxa"/>
          </w:tcPr>
          <w:p>
            <w:r>
              <w:rPr>
                <w:sz w:val="18"/>
              </w:rPr>
              <w:t xml:space="preserve">Decision D2; non-specific pathways removed.</w:t>
            </w:r>
          </w:p>
        </w:tc>
      </w:tr>
      <w:tr>
        <w:tc>
          <w:tcPr>
            <w:tcW w:w="2340" w:type="dxa"/>
          </w:tcPr>
          <w:p>
            <w:r>
              <w:rPr>
                <w:sz w:val="18"/>
              </w:rPr>
              <w:t xml:space="preserve">Procrustes</w:t>
            </w:r>
          </w:p>
        </w:tc>
        <w:tc>
          <w:tcPr>
            <w:tcW w:w="2340" w:type="dxa"/>
          </w:tcPr>
          <w:p>
            <w:r>
              <w:rPr>
                <w:sz w:val="18"/>
              </w:rPr>
              <w:t xml:space="preserve">r = 0.335, PROTEST p = 0.083</w:t>
            </w:r>
          </w:p>
        </w:tc>
        <w:tc>
          <w:tcPr>
            <w:tcW w:w="2340" w:type="dxa"/>
          </w:tcPr>
          <w:p>
            <w:r>
              <w:rPr>
                <w:sz w:val="18"/>
              </w:rPr>
              <w:t xml:space="preserve">r = 0.38, p = 0.007</w:t>
            </w:r>
          </w:p>
        </w:tc>
        <w:tc>
          <w:tcPr>
            <w:tcW w:w="2340" w:type="dxa"/>
          </w:tcPr>
          <w:p>
            <w:r>
              <w:rPr>
                <w:sz w:val="18"/>
              </w:rPr>
              <w:t xml:space="preserve">Transcripts as proportions and MicroResp v3. Still exploratory (cyclic shifts with seven nonstationary dates).</w:t>
            </w:r>
          </w:p>
        </w:tc>
      </w:tr>
      <w:tr>
        <w:tc>
          <w:tcPr>
            <w:tcW w:w="2340" w:type="dxa"/>
          </w:tcPr>
          <w:p>
            <w:r>
              <w:rPr>
                <w:sz w:val="18"/>
              </w:rPr>
              <w:t xml:space="preserve">Root-respiration active slope</w:t>
            </w:r>
          </w:p>
        </w:tc>
        <w:tc>
          <w:tcPr>
            <w:tcW w:w="2340" w:type="dxa"/>
          </w:tcPr>
          <w:p>
            <w:r>
              <w:rPr>
                <w:sz w:val="18"/>
              </w:rPr>
              <w:t xml:space="preserve">0.49, p = 0.153 (9 removed: 2.55)</w:t>
            </w:r>
          </w:p>
        </w:tc>
        <w:tc>
          <w:tcPr>
            <w:tcW w:w="2340" w:type="dxa"/>
          </w:tcPr>
          <w:p>
            <w:r>
              <w:rPr>
                <w:sz w:val="18"/>
              </w:rPr>
              <w:t xml:space="preserve">0.24, p = 0.517 (3 removed: 2.12, p = 0.012)</w:t>
            </w:r>
          </w:p>
        </w:tc>
        <w:tc>
          <w:tcPr>
            <w:tcW w:w="2340" w:type="dxa"/>
          </w:tcPr>
          <w:p>
            <w:r>
              <w:rPr>
                <w:sz w:val="18"/>
              </w:rPr>
              <w:t xml:space="preserve">SM1082 now retained (78 plot-dates); 3-point both-screens rule (D11).</w:t>
            </w:r>
          </w:p>
        </w:tc>
      </w:tr>
    </w:tbl>
    <w:p/>
    <w:p>
      <w:pPr>
        <w:pStyle w:val="Heading2"/>
      </w:pPr>
      <w:r>
        <w:t xml:space="preserve">4. Data changes</w:t>
      </w:r>
    </w:p>
    <w:p>
      <w:pPr>
        <w:pStyle w:val="ListBullet"/>
        <w:numPr>
          <w:ilvl w:val="0"/>
          <w:numId w:val="1"/>
        </w:numPr>
      </w:pPr>
      <w:r>
        <w:t xml:space="preserve">MicroResp v3 replaces the original release. In the original, January 2024 IDs SM1503-SM1514 were shifted by one plot, SM1503 was a rounded copy of SM1502, and SM1514 existed only in that file. In v3, values were relabelled, not altered (v3 SM1503 = old SM1504). The availability script now stops if MicroResp and field labels disagree.</w:t>
      </w:r>
    </w:p>
    <w:p>
      <w:pPr>
        <w:pStyle w:val="ListBullet"/>
        <w:numPr>
          <w:ilvl w:val="0"/>
          <w:numId w:val="1"/>
        </w:numPr>
      </w:pPr>
      <w:r>
        <w:t xml:space="preserve">The January 2024 transcripts SM1502-SM1506 are plots 1, 25, 27, 40, 46 (all 100%). My earlier statement in chat that January lacked plots 46 and 57 came from the mislabelled MicroResp file and was wrong.</w:t>
      </w:r>
    </w:p>
    <w:p>
      <w:pPr>
        <w:pStyle w:val="ListBullet"/>
        <w:numPr>
          <w:ilvl w:val="0"/>
          <w:numId w:val="1"/>
        </w:numPr>
      </w:pPr>
      <w:r>
        <w:t xml:space="preserve">SM1082 is back in the cleaned field data with SEOC set to NA. Side effect: the LOD/2 replacement for Olsen organic P changed for 38 zero values (the minimum nonzero value now includes SM1082). This variable is not used in any figure.</w:t>
      </w:r>
    </w:p>
    <w:p>
      <w:pPr>
        <w:pStyle w:val="ListBullet"/>
        <w:numPr>
          <w:ilvl w:val="0"/>
          <w:numId w:val="1"/>
        </w:numPr>
      </w:pPr>
      <w:r>
        <w:t xml:space="preserve">Data cleaning reads only the March DataHub release (older candidate paths removed).</w:t>
      </w:r>
    </w:p>
    <w:p>
      <w:pPr>
        <w:pStyle w:val="ListBullet"/>
        <w:numPr>
          <w:ilvl w:val="0"/>
          <w:numId w:val="1"/>
        </w:numPr>
      </w:pPr>
      <w:r>
        <w:t xml:space="preserve">Transcript filtering now drops 10 categories with zero expression in all samples (as the previous Figure 3 script did), leaving 325.</w:t>
      </w:r>
    </w:p>
    <w:p>
      <w:pPr>
        <w:pStyle w:val="Heading2"/>
      </w:pPr>
      <w:r>
        <w:t xml:space="preserve">5. Decision log (agreed 2026-10-23)</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4680"/>
        <w:gridCol w:w="4680"/>
      </w:tblGrid>
      <w:tr>
        <w:tc>
          <w:tcPr>
            <w:tcW w:w="4680" w:type="dxa"/>
            <w:shd w:val="clear" w:color="auto" w:fill="E7ECF5"/>
          </w:tcPr>
          <w:p>
            <w:r>
              <w:rPr>
                <w:b/>
                <w:sz w:val="18"/>
              </w:rPr>
              <w:t xml:space="preserve">#</w:t>
            </w:r>
          </w:p>
        </w:tc>
        <w:tc>
          <w:tcPr>
            <w:tcW w:w="4680" w:type="dxa"/>
            <w:shd w:val="clear" w:color="auto" w:fill="E7ECF5"/>
          </w:tcPr>
          <w:p>
            <w:r>
              <w:rPr>
                <w:b/>
                <w:sz w:val="18"/>
              </w:rPr>
              <w:t xml:space="preserve">Decision</w:t>
            </w:r>
          </w:p>
        </w:tc>
      </w:tr>
      <w:tr>
        <w:tc>
          <w:tcPr>
            <w:tcW w:w="4680" w:type="dxa"/>
          </w:tcPr>
          <w:p>
            <w:r>
              <w:rPr>
                <w:sz w:val="18"/>
              </w:rPr>
              <w:t xml:space="preserve">D1</w:t>
            </w:r>
          </w:p>
        </w:tc>
        <w:tc>
          <w:tcPr>
            <w:tcW w:w="4680" w:type="dxa"/>
          </w:tcPr>
          <w:p>
            <w:r>
              <w:rPr>
                <w:sz w:val="18"/>
              </w:rPr>
              <w:t xml:space="preserve">H1b classes: readily available = 5 sugars + 5 organic acids; complex = cellulose, hemicellulose, lignin, chitin, chitosan, BSA, methyl oleate; other = 14. Sensitivity: amino acids counted as readily available.</w:t>
            </w:r>
          </w:p>
        </w:tc>
      </w:tr>
      <w:tr>
        <w:tc>
          <w:tcPr>
            <w:tcW w:w="4680" w:type="dxa"/>
          </w:tcPr>
          <w:p>
            <w:r>
              <w:rPr>
                <w:sz w:val="18"/>
              </w:rPr>
              <w:t xml:space="preserve">D2</w:t>
            </w:r>
          </w:p>
        </w:tc>
        <w:tc>
          <w:tcPr>
            <w:tcW w:w="4680" w:type="dxa"/>
          </w:tcPr>
          <w:p>
            <w:r>
              <w:rPr>
                <w:sz w:val="18"/>
              </w:rPr>
              <w:t xml:space="preserve">Amino-acid class includes BSA and GABA; strict uniqueness rule gives 20 BRITE C categories (4 lipid-like, 6 aromatic, 1 amino sugar, 9 amino acid), including one carbon pool by folate, beta-alanine, and butanoate metabolism.</w:t>
            </w:r>
          </w:p>
        </w:tc>
      </w:tr>
      <w:tr>
        <w:tc>
          <w:tcPr>
            <w:tcW w:w="4680" w:type="dxa"/>
          </w:tcPr>
          <w:p>
            <w:r>
              <w:rPr>
                <w:sz w:val="18"/>
              </w:rPr>
              <w:t xml:space="preserve">D3</w:t>
            </w:r>
          </w:p>
        </w:tc>
        <w:tc>
          <w:tcPr>
            <w:tcW w:w="4680" w:type="dxa"/>
          </w:tcPr>
          <w:p>
            <w:r>
              <w:rPr>
                <w:sz w:val="18"/>
              </w:rPr>
              <w:t xml:space="preserve">Root biomass x respiration is a short SI analysis (Fig. S1); Fig. 1 shows root biomass as context only.</w:t>
            </w:r>
          </w:p>
        </w:tc>
      </w:tr>
      <w:tr>
        <w:tc>
          <w:tcPr>
            <w:tcW w:w="4680" w:type="dxa"/>
          </w:tcPr>
          <w:p>
            <w:r>
              <w:rPr>
                <w:sz w:val="18"/>
              </w:rPr>
              <w:t xml:space="preserve">D4</w:t>
            </w:r>
          </w:p>
        </w:tc>
        <w:tc>
          <w:tcPr>
            <w:tcW w:w="4680" w:type="dxa"/>
          </w:tcPr>
          <w:p>
            <w:r>
              <w:rPr>
                <w:sz w:val="18"/>
              </w:rPr>
              <w:t xml:space="preserve">Top-3-by-GAM panels removed from the main figures; all 31 GAMs in Fig. S2.</w:t>
            </w:r>
          </w:p>
        </w:tc>
      </w:tr>
      <w:tr>
        <w:tc>
          <w:tcPr>
            <w:tcW w:w="4680" w:type="dxa"/>
          </w:tcPr>
          <w:p>
            <w:r>
              <w:rPr>
                <w:sz w:val="18"/>
              </w:rPr>
              <w:t xml:space="preserve">D5</w:t>
            </w:r>
          </w:p>
        </w:tc>
        <w:tc>
          <w:tcPr>
            <w:tcW w:w="4680" w:type="dxa"/>
          </w:tcPr>
          <w:p>
            <w:r>
              <w:rPr>
                <w:sz w:val="18"/>
              </w:rPr>
              <w:t xml:space="preserve">Transcripts converted to within-sample proportions over the 325 retained categories; values as provided kept as a sensitivity.</w:t>
            </w:r>
          </w:p>
        </w:tc>
      </w:tr>
      <w:tr>
        <w:tc>
          <w:tcPr>
            <w:tcW w:w="4680" w:type="dxa"/>
          </w:tcPr>
          <w:p>
            <w:r>
              <w:rPr>
                <w:sz w:val="18"/>
              </w:rPr>
              <w:t xml:space="preserve">D6</w:t>
            </w:r>
          </w:p>
        </w:tc>
        <w:tc>
          <w:tcPr>
            <w:tcW w:w="4680" w:type="dxa"/>
          </w:tcPr>
          <w:p>
            <w:r>
              <w:rPr>
                <w:sz w:val="18"/>
              </w:rPr>
              <w:t xml:space="preserve">SM1082 (July 2023, plot 57) retained with only SEOC set to NA; the three 25% July samples remain removed.</w:t>
            </w:r>
          </w:p>
        </w:tc>
      </w:tr>
      <w:tr>
        <w:tc>
          <w:tcPr>
            <w:tcW w:w="4680" w:type="dxa"/>
          </w:tcPr>
          <w:p>
            <w:r>
              <w:rPr>
                <w:sz w:val="18"/>
              </w:rPr>
              <w:t xml:space="preserve">D7</w:t>
            </w:r>
          </w:p>
        </w:tc>
        <w:tc>
          <w:tcPr>
            <w:tcW w:w="4680" w:type="dxa"/>
          </w:tcPr>
          <w:p>
            <w:r>
              <w:rPr>
                <w:sz w:val="18"/>
              </w:rPr>
              <w:t xml:space="preserve">Seasons Apr-Oct / Nov-Mar; sensitivity without Oct 2023 and Apr 2024.</w:t>
            </w:r>
          </w:p>
        </w:tc>
      </w:tr>
      <w:tr>
        <w:tc>
          <w:tcPr>
            <w:tcW w:w="4680" w:type="dxa"/>
          </w:tcPr>
          <w:p>
            <w:r>
              <w:rPr>
                <w:sz w:val="18"/>
              </w:rPr>
              <w:t xml:space="preserve">D8</w:t>
            </w:r>
          </w:p>
        </w:tc>
        <w:tc>
          <w:tcPr>
            <w:tcW w:w="4680" w:type="dxa"/>
          </w:tcPr>
          <w:p>
            <w:r>
              <w:rPr>
                <w:sz w:val="18"/>
              </w:rPr>
              <w:t xml:space="preserve">Class aggregation: transcripts = summed share of unique categories; SIR = mean within-substrate z. Sensitivity: transcripts as mean category z.</w:t>
            </w:r>
          </w:p>
        </w:tc>
      </w:tr>
      <w:tr>
        <w:tc>
          <w:tcPr>
            <w:tcW w:w="4680" w:type="dxa"/>
          </w:tcPr>
          <w:p>
            <w:r>
              <w:rPr>
                <w:sz w:val="18"/>
              </w:rPr>
              <w:t xml:space="preserve">D9</w:t>
            </w:r>
          </w:p>
        </w:tc>
        <w:tc>
          <w:tcPr>
            <w:tcW w:w="4680" w:type="dxa"/>
          </w:tcPr>
          <w:p>
            <w:r>
              <w:rPr>
                <w:sz w:val="18"/>
              </w:rPr>
              <w:t xml:space="preserve">Fig. 3A uses all 325 categories; metabolism-only as sensitivity (Fig. S3).</w:t>
            </w:r>
          </w:p>
        </w:tc>
      </w:tr>
      <w:tr>
        <w:tc>
          <w:tcPr>
            <w:tcW w:w="4680" w:type="dxa"/>
          </w:tcPr>
          <w:p>
            <w:r>
              <w:rPr>
                <w:sz w:val="18"/>
              </w:rPr>
              <w:t xml:space="preserve">D10</w:t>
            </w:r>
          </w:p>
        </w:tc>
        <w:tc>
          <w:tcPr>
            <w:tcW w:w="4680" w:type="dxa"/>
          </w:tcPr>
          <w:p>
            <w:r>
              <w:rPr>
                <w:sz w:val="18"/>
              </w:rPr>
              <w:t xml:space="preserve">Fig. 1 shows season shading and irrigation window; harvest/saturation markers pending.</w:t>
            </w:r>
          </w:p>
        </w:tc>
      </w:tr>
      <w:tr>
        <w:tc>
          <w:tcPr>
            <w:tcW w:w="4680" w:type="dxa"/>
          </w:tcPr>
          <w:p>
            <w:r>
              <w:rPr>
                <w:sz w:val="18"/>
              </w:rPr>
              <w:t xml:space="preserve">D11</w:t>
            </w:r>
          </w:p>
        </w:tc>
        <w:tc>
          <w:tcPr>
            <w:tcW w:w="4680" w:type="dxa"/>
          </w:tcPr>
          <w:p>
            <w:r>
              <w:rPr>
                <w:sz w:val="18"/>
              </w:rPr>
              <w:t xml:space="preserve">All root observations kept; sensitivity excludes the 3 points flagged by both screens.</w:t>
            </w:r>
          </w:p>
        </w:tc>
      </w:tr>
    </w:tbl>
    <w:p/>
    <w:p>
      <w:pPr>
        <w:pStyle w:val="Heading2"/>
      </w:pPr>
      <w:r>
        <w:t xml:space="preserve">6. Responses to v3 coauthor comments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4680"/>
        <w:gridCol w:w="4680"/>
      </w:tblGrid>
      <w:tr>
        <w:tc>
          <w:tcPr>
            <w:tcW w:w="4680" w:type="dxa"/>
            <w:shd w:val="clear" w:color="auto" w:fill="E7ECF5"/>
          </w:tcPr>
          <w:p>
            <w:r>
              <w:rPr>
                <w:b/>
                <w:sz w:val="18"/>
              </w:rPr>
              <w:t xml:space="preserve">Comment</w:t>
            </w:r>
          </w:p>
        </w:tc>
        <w:tc>
          <w:tcPr>
            <w:tcW w:w="4680" w:type="dxa"/>
            <w:shd w:val="clear" w:color="auto" w:fill="E7ECF5"/>
          </w:tcPr>
          <w:p>
            <w:r>
              <w:rPr>
                <w:b/>
                <w:sz w:val="18"/>
              </w:rPr>
              <w:t xml:space="preserve">How v4 addresses it</w:t>
            </w:r>
          </w:p>
        </w:tc>
      </w:tr>
      <w:tr>
        <w:tc>
          <w:tcPr>
            <w:tcW w:w="4680" w:type="dxa"/>
          </w:tcPr>
          <w:p>
            <w:r>
              <w:rPr>
                <w:sz w:val="18"/>
              </w:rPr>
              <w:t xml:space="preserve">KH: state the title finding more clearly</w:t>
            </w:r>
          </w:p>
        </w:tc>
        <w:tc>
          <w:tcPr>
            <w:tcW w:w="4680" w:type="dxa"/>
          </w:tcPr>
          <w:p>
            <w:r>
              <w:rPr>
                <w:sz w:val="18"/>
              </w:rPr>
              <w:t xml:space="preserve">Two title options naming the direction of each response.</w:t>
            </w:r>
          </w:p>
        </w:tc>
      </w:tr>
      <w:tr>
        <w:tc>
          <w:tcPr>
            <w:tcW w:w="4680" w:type="dxa"/>
          </w:tcPr>
          <w:p>
            <w:r>
              <w:rPr>
                <w:sz w:val="18"/>
              </w:rPr>
              <w:t xml:space="preserve">KH: date and substrate are the story, not plots</w:t>
            </w:r>
          </w:p>
        </w:tc>
        <w:tc>
          <w:tcPr>
            <w:tcW w:w="4680" w:type="dxa"/>
          </w:tcPr>
          <w:p>
            <w:r>
              <w:rPr>
                <w:sz w:val="18"/>
              </w:rPr>
              <w:t xml:space="preserve">Ordinations show date centroids in time order; plots are not highlighted.</w:t>
            </w:r>
          </w:p>
        </w:tc>
      </w:tr>
      <w:tr>
        <w:tc>
          <w:tcPr>
            <w:tcW w:w="4680" w:type="dxa"/>
          </w:tcPr>
          <w:p>
            <w:r>
              <w:rPr>
                <w:sz w:val="18"/>
              </w:rPr>
              <w:t xml:space="preserve">AZ: potential activity is higher in dormancy for all substrates</w:t>
            </w:r>
          </w:p>
        </w:tc>
        <w:tc>
          <w:tcPr>
            <w:tcW w:w="4680" w:type="dxa"/>
          </w:tcPr>
          <w:p>
            <w:r>
              <w:rPr>
                <w:sz w:val="18"/>
              </w:rPr>
              <w:t xml:space="preserve">Quantified: all 31 substrates higher in dormancy; overall shift tested with dates as replicates.</w:t>
            </w:r>
          </w:p>
        </w:tc>
      </w:tr>
      <w:tr>
        <w:tc>
          <w:tcPr>
            <w:tcW w:w="4680" w:type="dxa"/>
          </w:tcPr>
          <w:p>
            <w:r>
              <w:rPr>
                <w:sz w:val="18"/>
              </w:rPr>
              <w:t xml:space="preserve">KH: contrast seasonal and steady substrates</w:t>
            </w:r>
          </w:p>
        </w:tc>
        <w:tc>
          <w:tcPr>
            <w:tcW w:w="4680" w:type="dxa"/>
          </w:tcPr>
          <w:p>
            <w:r>
              <w:rPr>
                <w:sz w:val="18"/>
              </w:rPr>
              <w:t xml:space="preserve">Steady substrates (GAM FDR &gt;</w:t>
            </w:r>
            <w:r>
              <w:rPr>
                <w:sz w:val="18"/>
              </w:rPr>
              <w:t xml:space="preserve"> 0.05) labelled in Fig. 2C and S2.</w:t>
            </w:r>
          </w:p>
        </w:tc>
      </w:tr>
      <w:tr>
        <w:tc>
          <w:tcPr>
            <w:tcW w:w="4680" w:type="dxa"/>
          </w:tcPr>
          <w:p>
            <w:r>
              <w:rPr>
                <w:sz w:val="18"/>
              </w:rPr>
              <w:t xml:space="preserve">VG: organize Fig. S2 by substrate classes</w:t>
            </w:r>
          </w:p>
        </w:tc>
        <w:tc>
          <w:tcPr>
            <w:tcW w:w="4680" w:type="dxa"/>
          </w:tcPr>
          <w:p>
            <w:r>
              <w:rPr>
                <w:sz w:val="18"/>
              </w:rPr>
              <w:t xml:space="preserve">Fig. S2 panels grouped by substrate group, ordered by deviance explained within group.</w:t>
            </w:r>
          </w:p>
        </w:tc>
      </w:tr>
      <w:tr>
        <w:tc>
          <w:tcPr>
            <w:tcW w:w="4680" w:type="dxa"/>
          </w:tcPr>
          <w:p>
            <w:r>
              <w:rPr>
                <w:sz w:val="18"/>
              </w:rPr>
              <w:t xml:space="preserve">KH: is the mapping based on annotations?</w:t>
            </w:r>
          </w:p>
        </w:tc>
        <w:tc>
          <w:tcPr>
            <w:tcW w:w="4680" w:type="dxa"/>
          </w:tcPr>
          <w:p>
            <w:r>
              <w:rPr>
                <w:sz w:val="18"/>
              </w:rPr>
              <w:t xml:space="preserve">Yes: KEGG pathways containing each substrate's catabolic/assimilatory reactions; class rules in Scripts/03_compound_class_mapping.R.</w:t>
            </w:r>
          </w:p>
        </w:tc>
      </w:tr>
      <w:tr>
        <w:tc>
          <w:tcPr>
            <w:tcW w:w="4680" w:type="dxa"/>
          </w:tcPr>
          <w:p>
            <w:r>
              <w:rPr>
                <w:sz w:val="18"/>
              </w:rPr>
              <w:t xml:space="preserve">KH: remove basic cell functions from metaT?</w:t>
            </w:r>
          </w:p>
        </w:tc>
        <w:tc>
          <w:tcPr>
            <w:tcW w:w="4680" w:type="dxa"/>
          </w:tcPr>
          <w:p>
            <w:r>
              <w:rPr>
                <w:sz w:val="18"/>
              </w:rPr>
              <w:t xml:space="preserve">Fig. 3A keeps all 325 categories; metabolism-only version in Fig. S3 gives the same result.</w:t>
            </w:r>
          </w:p>
        </w:tc>
      </w:tr>
      <w:tr>
        <w:tc>
          <w:tcPr>
            <w:tcW w:w="4680" w:type="dxa"/>
          </w:tcPr>
          <w:p>
            <w:r>
              <w:rPr>
                <w:sz w:val="18"/>
              </w:rPr>
              <w:t xml:space="preserve">KH: sum or average for a comparable measure?</w:t>
            </w:r>
          </w:p>
        </w:tc>
        <w:tc>
          <w:tcPr>
            <w:tcW w:w="4680" w:type="dxa"/>
          </w:tcPr>
          <w:p>
            <w:r>
              <w:rPr>
                <w:sz w:val="18"/>
              </w:rPr>
              <w:t xml:space="preserve">Transcripts summed within class (bulk investment), SIR averaged as z-scores; mean-z transcripts as sensitivity (Fig. 4B open symbols).</w:t>
            </w:r>
          </w:p>
        </w:tc>
      </w:tr>
      <w:tr>
        <w:tc>
          <w:tcPr>
            <w:tcW w:w="4680" w:type="dxa"/>
          </w:tcPr>
          <w:p>
            <w:r>
              <w:rPr>
                <w:sz w:val="18"/>
              </w:rPr>
              <w:t xml:space="preserve">AZ: are some months more aligned than others?</w:t>
            </w:r>
          </w:p>
        </w:tc>
        <w:tc>
          <w:tcPr>
            <w:tcW w:w="4680" w:type="dxa"/>
          </w:tcPr>
          <w:p>
            <w:r>
              <w:rPr>
                <w:sz w:val="18"/>
              </w:rPr>
              <w:t xml:space="preserve">Fig. 4C (per-date divergence) and Fig. S4b (Procrustes residuals by date): January is the least aligned date.</w:t>
            </w:r>
          </w:p>
        </w:tc>
      </w:tr>
      <w:tr>
        <w:tc>
          <w:tcPr>
            <w:tcW w:w="4680" w:type="dxa"/>
          </w:tcPr>
          <w:p>
            <w:r>
              <w:rPr>
                <w:sz w:val="18"/>
              </w:rPr>
              <w:t xml:space="preserve">KH: just 3 substrates; include the threshold</w:t>
            </w:r>
          </w:p>
        </w:tc>
        <w:tc>
          <w:tcPr>
            <w:tcW w:w="4680" w:type="dxa"/>
          </w:tcPr>
          <w:p>
            <w:r>
              <w:rPr>
                <w:sz w:val="18"/>
              </w:rPr>
              <w:t xml:space="preserve">Top-3 selection removed (D4).</w:t>
            </w:r>
          </w:p>
        </w:tc>
      </w:tr>
      <w:tr>
        <w:tc>
          <w:tcPr>
            <w:tcW w:w="4680" w:type="dxa"/>
          </w:tcPr>
          <w:p>
            <w:r>
              <w:rPr>
                <w:sz w:val="18"/>
              </w:rPr>
              <w:t xml:space="preserve">KH: wet-dry cycle / Birch effect</w:t>
            </w:r>
          </w:p>
        </w:tc>
        <w:tc>
          <w:tcPr>
            <w:tcW w:w="4680" w:type="dxa"/>
          </w:tcPr>
          <w:p>
            <w:r>
              <w:rPr>
                <w:sz w:val="18"/>
              </w:rPr>
              <w:t xml:space="preserve">Envfit on date means: water content most aligned with SIR ordination; noted as a caveat.</w:t>
            </w:r>
          </w:p>
        </w:tc>
      </w:tr>
      <w:tr>
        <w:tc>
          <w:tcPr>
            <w:tcW w:w="4680" w:type="dxa"/>
          </w:tcPr>
          <w:p>
            <w:r>
              <w:rPr>
                <w:sz w:val="18"/>
              </w:rPr>
              <w:t xml:space="preserve">KH/VG: outliers vs hot spots/moments; two lines of evidence</w:t>
            </w:r>
          </w:p>
        </w:tc>
        <w:tc>
          <w:tcPr>
            <w:tcW w:w="4680" w:type="dxa"/>
          </w:tcPr>
          <w:p>
            <w:r>
              <w:rPr>
                <w:sz w:val="18"/>
              </w:rPr>
              <w:t xml:space="preserve">All points kept; both-screens exclusion as sensitivity (Fig. S1).</w:t>
            </w:r>
          </w:p>
        </w:tc>
      </w:tr>
      <w:tr>
        <w:tc>
          <w:tcPr>
            <w:tcW w:w="4680" w:type="dxa"/>
          </w:tcPr>
          <w:p>
            <w:r>
              <w:rPr>
                <w:sz w:val="18"/>
              </w:rPr>
              <w:t xml:space="preserve">SB: roots are hand-picked from pooled 0-15 cm cores</w:t>
            </w:r>
          </w:p>
        </w:tc>
        <w:tc>
          <w:tcPr>
            <w:tcW w:w="4680" w:type="dxa"/>
          </w:tcPr>
          <w:p>
            <w:r>
              <w:rPr>
                <w:sz w:val="18"/>
              </w:rPr>
              <w:t xml:space="preserve">Labelled as such in Fig. 1 and S1.</w:t>
            </w:r>
          </w:p>
        </w:tc>
      </w:tr>
    </w:tbl>
    <w:p/>
    <w:p>
      <w:pPr>
        <w:pStyle w:val="Heading2"/>
      </w:pPr>
      <w:r>
        <w:t xml:space="preserve">7. Reproducing the analysis</w:t>
      </w:r>
    </w:p>
    <w:p>
      <w:r>
        <w:t xml:space="preserve">From the repository root, with the DataHub March folder in place and R 4.6.1: </w:t>
      </w:r>
      <w:r>
        <w:rPr>
          <w:i/>
        </w:rPr>
        <w:t xml:space="preserve">Rscript Scripts/00_run_all.R</w:t>
      </w:r>
      <w:r>
        <w:t xml:space="preserve"> (about 5 minutes; the Figure 2 permutation tests take most of it). Then regenerate these documents with </w:t>
      </w:r>
      <w:r>
        <w:rPr>
          <w:i/>
        </w:rPr>
        <w:t xml:space="preserve">Rscript Scripts/docs/write_storyboard_docx.R</w:t>
      </w:r>
      <w:r>
        <w:t xml:space="preserve">. Data/README.md lists every input with its origin and MD5 checksum. Package versions are saved to Results/manuscript_v4/sessionInfo.txt.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4680"/>
        <w:gridCol w:w="4680"/>
      </w:tblGrid>
      <w:tr>
        <w:tc>
          <w:tcPr>
            <w:tcW w:w="4680" w:type="dxa"/>
            <w:shd w:val="clear" w:color="auto" w:fill="E7ECF5"/>
          </w:tcPr>
          <w:p>
            <w:r>
              <w:rPr>
                <w:b/>
                <w:sz w:val="18"/>
              </w:rPr>
              <w:t xml:space="preserve">Script</w:t>
            </w:r>
          </w:p>
        </w:tc>
        <w:tc>
          <w:tcPr>
            <w:tcW w:w="4680" w:type="dxa"/>
            <w:shd w:val="clear" w:color="auto" w:fill="E7ECF5"/>
          </w:tcPr>
          <w:p>
            <w:r>
              <w:rPr>
                <w:b/>
                <w:sz w:val="18"/>
              </w:rPr>
              <w:t xml:space="preserve">Outputs</w:t>
            </w:r>
          </w:p>
        </w:tc>
      </w:tr>
      <w:tr>
        <w:tc>
          <w:tcPr>
            <w:tcW w:w="4680" w:type="dxa"/>
          </w:tcPr>
          <w:p>
            <w:r>
              <w:rPr>
                <w:sz w:val="18"/>
              </w:rPr>
              <w:t xml:space="preserve">Scripts/00_run_all.R</w:t>
            </w:r>
          </w:p>
        </w:tc>
        <w:tc>
          <w:tcPr>
            <w:tcW w:w="4680" w:type="dxa"/>
          </w:tcPr>
          <w:p>
            <w:r>
              <w:rPr>
                <w:sz w:val="18"/>
              </w:rPr>
              <w:t xml:space="preserve">Runs every step below; logs in Results/manuscript_v4/run_logs</w:t>
            </w:r>
          </w:p>
        </w:tc>
      </w:tr>
      <w:tr>
        <w:tc>
          <w:tcPr>
            <w:tcW w:w="4680" w:type="dxa"/>
          </w:tcPr>
          <w:p>
            <w:r>
              <w:rPr>
                <w:sz w:val="18"/>
              </w:rPr>
              <w:t xml:space="preserve">Scripts/01_Data_merging_and_cleaning.R</w:t>
            </w:r>
          </w:p>
        </w:tc>
        <w:tc>
          <w:tcPr>
            <w:tcW w:w="4680" w:type="dxa"/>
          </w:tcPr>
          <w:p>
            <w:r>
              <w:rPr>
                <w:sz w:val="18"/>
              </w:rPr>
              <w:t xml:space="preserve">Data/Data_merged_cleaned.csv; Results/Data_merging_and_cleaning/</w:t>
            </w:r>
          </w:p>
        </w:tc>
      </w:tr>
      <w:tr>
        <w:tc>
          <w:tcPr>
            <w:tcW w:w="4680" w:type="dxa"/>
          </w:tcPr>
          <w:p>
            <w:r>
              <w:rPr>
                <w:sz w:val="18"/>
              </w:rPr>
              <w:t xml:space="preserve">Scripts/02_sample_availability.R</w:t>
            </w:r>
          </w:p>
        </w:tc>
        <w:tc>
          <w:tcPr>
            <w:tcW w:w="4680" w:type="dxa"/>
          </w:tcPr>
          <w:p>
            <w:r>
              <w:rPr>
                <w:sz w:val="18"/>
              </w:rPr>
              <w:t xml:space="preserve">Results/manuscript_v4/sample_availability/ (audit, label check, lag pairs)</w:t>
            </w:r>
          </w:p>
        </w:tc>
      </w:tr>
      <w:tr>
        <w:tc>
          <w:tcPr>
            <w:tcW w:w="4680" w:type="dxa"/>
          </w:tcPr>
          <w:p>
            <w:r>
              <w:rPr>
                <w:sz w:val="18"/>
              </w:rPr>
              <w:t xml:space="preserve">Scripts/03_compound_class_mapping.R</w:t>
            </w:r>
          </w:p>
        </w:tc>
        <w:tc>
          <w:tcPr>
            <w:tcW w:w="4680" w:type="dxa"/>
          </w:tcPr>
          <w:p>
            <w:r>
              <w:rPr>
                <w:sz w:val="18"/>
              </w:rPr>
              <w:t xml:space="preserve">Data/compound_class_mapping.csv; Data/compound_class_unique_BRITE_C.csv</w:t>
            </w:r>
          </w:p>
        </w:tc>
      </w:tr>
      <w:tr>
        <w:tc>
          <w:tcPr>
            <w:tcW w:w="4680" w:type="dxa"/>
          </w:tcPr>
          <w:p>
            <w:r>
              <w:rPr>
                <w:sz w:val="18"/>
              </w:rPr>
              <w:t xml:space="preserve">Scripts/10_figure1_context.R</w:t>
            </w:r>
          </w:p>
        </w:tc>
        <w:tc>
          <w:tcPr>
            <w:tcW w:w="4680" w:type="dxa"/>
          </w:tcPr>
          <w:p>
            <w:r>
              <w:rPr>
                <w:sz w:val="18"/>
              </w:rPr>
              <w:t xml:space="preserve">Figures/Results manuscript_v4/Figure1</w:t>
            </w:r>
          </w:p>
        </w:tc>
      </w:tr>
      <w:tr>
        <w:tc>
          <w:tcPr>
            <w:tcW w:w="4680" w:type="dxa"/>
          </w:tcPr>
          <w:p>
            <w:r>
              <w:rPr>
                <w:sz w:val="18"/>
              </w:rPr>
              <w:t xml:space="preserve">Scripts/11_figureS1_root_respiration.R</w:t>
            </w:r>
          </w:p>
        </w:tc>
        <w:tc>
          <w:tcPr>
            <w:tcW w:w="4680" w:type="dxa"/>
          </w:tcPr>
          <w:p>
            <w:r>
              <w:rPr>
                <w:sz w:val="18"/>
              </w:rPr>
              <w:t xml:space="preserve">Figures/Results manuscript_v4/FigureS1</w:t>
            </w:r>
          </w:p>
        </w:tc>
      </w:tr>
      <w:tr>
        <w:tc>
          <w:tcPr>
            <w:tcW w:w="4680" w:type="dxa"/>
          </w:tcPr>
          <w:p>
            <w:r>
              <w:rPr>
                <w:sz w:val="18"/>
              </w:rPr>
              <w:t xml:space="preserve">Scripts/20_figure2_microresp.R</w:t>
            </w:r>
          </w:p>
        </w:tc>
        <w:tc>
          <w:tcPr>
            <w:tcW w:w="4680" w:type="dxa"/>
          </w:tcPr>
          <w:p>
            <w:r>
              <w:rPr>
                <w:sz w:val="18"/>
              </w:rPr>
              <w:t xml:space="preserve">Figures/Results manuscript_v4/Figure2 (incl. S2, S2b)</w:t>
            </w:r>
          </w:p>
        </w:tc>
      </w:tr>
      <w:tr>
        <w:tc>
          <w:tcPr>
            <w:tcW w:w="4680" w:type="dxa"/>
          </w:tcPr>
          <w:p>
            <w:r>
              <w:rPr>
                <w:sz w:val="18"/>
              </w:rPr>
              <w:t xml:space="preserve">Scripts/30_figure3_transcripts.R</w:t>
            </w:r>
          </w:p>
        </w:tc>
        <w:tc>
          <w:tcPr>
            <w:tcW w:w="4680" w:type="dxa"/>
          </w:tcPr>
          <w:p>
            <w:r>
              <w:rPr>
                <w:sz w:val="18"/>
              </w:rPr>
              <w:t xml:space="preserve">Figures/Results manuscript_v4/Figure3 (incl. S3)</w:t>
            </w:r>
          </w:p>
        </w:tc>
      </w:tr>
      <w:tr>
        <w:tc>
          <w:tcPr>
            <w:tcW w:w="4680" w:type="dxa"/>
          </w:tcPr>
          <w:p>
            <w:r>
              <w:rPr>
                <w:sz w:val="18"/>
              </w:rPr>
              <w:t xml:space="preserve">Scripts/40_figure4_correspondence.R</w:t>
            </w:r>
          </w:p>
        </w:tc>
        <w:tc>
          <w:tcPr>
            <w:tcW w:w="4680" w:type="dxa"/>
          </w:tcPr>
          <w:p>
            <w:r>
              <w:rPr>
                <w:sz w:val="18"/>
              </w:rPr>
              <w:t xml:space="preserve">Figures/Results manuscript_v4/Figure4 (incl. S4a, S4b)</w:t>
            </w:r>
          </w:p>
        </w:tc>
      </w:tr>
      <w:tr>
        <w:tc>
          <w:tcPr>
            <w:tcW w:w="4680" w:type="dxa"/>
          </w:tcPr>
          <w:p>
            <w:r>
              <w:rPr>
                <w:sz w:val="18"/>
              </w:rPr>
              <w:t xml:space="preserve">Scripts/helpers.R</w:t>
            </w:r>
          </w:p>
        </w:tc>
        <w:tc>
          <w:tcPr>
            <w:tcW w:w="4680" w:type="dxa"/>
          </w:tcPr>
          <w:p>
            <w:r>
              <w:rPr>
                <w:sz w:val="18"/>
              </w:rPr>
              <w:t xml:space="preserve">Season definition, loaders, exact date-level permutation test, plotting theme</w:t>
            </w:r>
          </w:p>
        </w:tc>
      </w:tr>
      <w:tr>
        <w:tc>
          <w:tcPr>
            <w:tcW w:w="4680" w:type="dxa"/>
          </w:tcPr>
          <w:p>
            <w:r>
              <w:rPr>
                <w:sz w:val="18"/>
              </w:rPr>
              <w:t xml:space="preserve">Scripts/docs/</w:t>
            </w:r>
          </w:p>
        </w:tc>
        <w:tc>
          <w:tcPr>
            <w:tcW w:w="4680" w:type="dxa"/>
          </w:tcPr>
          <w:p>
            <w:r>
              <w:rPr>
                <w:sz w:val="18"/>
              </w:rPr>
              <w:t xml:space="preserve">This document and the storyboard, written as .docx directly from the result tables</w:t>
            </w:r>
          </w:p>
        </w:tc>
      </w:tr>
      <w:tr>
        <w:tc>
          <w:tcPr>
            <w:tcW w:w="4680" w:type="dxa"/>
          </w:tcPr>
          <w:p>
            <w:r>
              <w:rPr>
                <w:sz w:val="18"/>
              </w:rPr>
              <w:t xml:space="preserve">Archive/2026-10-23_pre_v4/</w:t>
            </w:r>
          </w:p>
        </w:tc>
        <w:tc>
          <w:tcPr>
            <w:tcW w:w="4680" w:type="dxa"/>
          </w:tcPr>
          <w:p>
            <w:r>
              <w:rPr>
                <w:sz w:val="18"/>
              </w:rPr>
              <w:t xml:space="preserve">Superseded scripts, figures, and results (kept locally; in git history up to commit 80e0df9)</w:t>
            </w:r>
          </w:p>
        </w:tc>
      </w:tr>
    </w:tbl>
    <w:p/>
    <w:p>
      <w:pPr>
        <w:pStyle w:val="Heading2"/>
      </w:pPr>
      <w:r>
        <w:t xml:space="preserve">8. Statistical methods in brief</w:t>
      </w:r>
    </w:p>
    <w:p>
      <w:pPr>
        <w:pStyle w:val="ListBullet"/>
        <w:numPr>
          <w:ilvl w:val="0"/>
          <w:numId w:val="1"/>
        </w:numPr>
      </w:pPr>
      <w:r>
        <w:t xml:space="preserve">Exact date-level permutation: all assignments of season labels to dates are enumerated (choose(13, 5) = 1,287 for SIR; choose(7, 2) = 21 for transcripts), PERMANOVA pseudo-F computed for each, p = share of assignments with F at least as large as observed. Applied to date-mean profiles (primary) and to samples with labels permuted by whole date (sensitivity). Dispersion (betadisper F) tested the same way.</w:t>
      </w:r>
    </w:p>
    <w:p>
      <w:pPr>
        <w:pStyle w:val="ListBullet"/>
        <w:numPr>
          <w:ilvl w:val="0"/>
          <w:numId w:val="1"/>
        </w:numPr>
      </w:pPr>
      <w:r>
        <w:t xml:space="preserve">Mixed models (lme4/lmerTest, Satterthwaite df): per-substrate log2 SIR ~ Season + (1|Date) + (1|Plot); H1b: response ~ Season x class + (1|Date) + (1|Date:class) + (1|Sample) + (1|Substrate:Season), contrasts with emmeans.</w:t>
      </w:r>
    </w:p>
    <w:p>
      <w:pPr>
        <w:pStyle w:val="ListBullet"/>
        <w:numPr>
          <w:ilvl w:val="0"/>
          <w:numId w:val="1"/>
        </w:numPr>
      </w:pPr>
      <w:r>
        <w:t xml:space="preserve">FDR: Benjamini-Hochberg across the 31 substrates.</w:t>
      </w:r>
    </w:p>
    <w:p>
      <w:pPr>
        <w:pStyle w:val="ListBullet"/>
        <w:numPr>
          <w:ilvl w:val="0"/>
          <w:numId w:val="1"/>
        </w:numPr>
      </w:pPr>
      <w:r>
        <w:t xml:space="preserve">GAM: mgcv, log2 SIR ~ s(time, k = 7) + s(Plot, bs = 're'), REML.</w:t>
      </w:r>
    </w:p>
    <w:p>
      <w:pPr>
        <w:pStyle w:val="ListBullet"/>
        <w:numPr>
          <w:ilvl w:val="0"/>
          <w:numId w:val="1"/>
        </w:numPr>
      </w:pPr>
      <w:r>
        <w:t xml:space="preserve">Field variables: log(y) ~ Season + (1|Date) + (1|Plot); soil temperature (one value per date) by Welch t-test on date means.</w:t>
      </w:r>
    </w:p>
    <w:p>
      <w:pPr>
        <w:pStyle w:val="ListBullet"/>
        <w:numPr>
          <w:ilvl w:val="0"/>
          <w:numId w:val="1"/>
        </w:numPr>
      </w:pPr>
      <w:r>
        <w:t xml:space="preserve">Q3: Spearman correlations of date means (n = 7) and plot-dates (n = 34-35); no p-values reported.</w:t>
      </w:r>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Calibri" w:hAnsi="Calibri" w:cs="Calibri" w:eastAsia="Calibri"/>
        <w:sz w:val="22"/>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spacing w:before="240" w:after="80"/>
      <w:outlineLvl w:val="0"/>
    </w:pPr>
    <w:rPr>
      <w:b/>
      <w:color w:val="1F3864"/>
      <w:sz w:val="36"/>
    </w:rPr>
  </w:style>
  <w:style w:type="paragraph" w:styleId="Heading2">
    <w:name w:val="heading 2"/>
    <w:basedOn w:val="Normal"/>
    <w:next w:val="Normal"/>
    <w:qFormat/>
    <w:pPr>
      <w:keepNext/>
      <w:spacing w:before="360" w:after="80"/>
      <w:outlineLvl w:val="1"/>
    </w:pPr>
    <w:rPr>
      <w:b/>
      <w:color w:val="1F3864"/>
      <w:sz w:val="28"/>
    </w:rPr>
  </w:style>
  <w:style w:type="paragraph" w:styleId="Heading3">
    <w:name w:val="heading 3"/>
    <w:basedOn w:val="Normal"/>
    <w:next w:val="Normal"/>
    <w:qFormat/>
    <w:pPr>
      <w:keepNext/>
      <w:spacing w:before="240" w:after="80"/>
      <w:outlineLvl w:val="2"/>
    </w:pPr>
    <w:rPr>
      <w:b/>
      <w:color w:val="2F5496"/>
      <w:sz w:val="24"/>
    </w:rPr>
  </w:style>
  <w:style w:type="paragraph" w:styleId="ListBullet">
    <w:name w:val="List Bullet"/>
    <w:basedOn w:val="Normal"/>
    <w:pPr>
      <w:spacing w:after="6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