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pPr>
      <w:r>
        <w:t xml:space="preserve">Analysis notes for storyboard v4</w:t>
      </w:r>
    </w:p>
    <w:p>
      <w:r>
        <w:t xml:space="preserve">Companion to Storyboard_v4.docx: answers to review questions, decisions, data changes, how results moved from v3, open items, and how to rerun everything.</w:t>
      </w:r>
    </w:p>
    <w:p>
      <w:pPr>
        <w:pStyle w:val="Heading2"/>
      </w:pPr>
      <w:r>
        <w:t xml:space="preserve">1. Answers to the 2026-10-25 review questions</w:t>
      </w:r>
    </w:p>
    <w:p>
      <w:pPr>
        <w:pStyle w:val="ListBullet"/>
        <w:numPr>
          <w:ilvl w:val="0"/>
          <w:numId w:val="1"/>
        </w:numPr>
      </w:pPr>
      <w:r>
        <w:rPr>
          <w:b/>
        </w:rPr>
        <w:t xml:space="preserve">Does SIR vary by season? </w:t>
      </w:r>
      <w:r>
        <w:t xml:space="preserve">Yes, in level: +34% on dormant dates (p = 0.045), with all 31 substrates higher. Not in mix: the relative pattern across substrates did not change (p = 0.667). The whole-profile test (p = 0.112) mixes both, which is why it looked inconclusive. NMDS is a picture, not a test; dormant and active points overlap in it.</w:t>
      </w:r>
    </w:p>
    <w:p>
      <w:pPr>
        <w:pStyle w:val="ListBullet"/>
        <w:numPr>
          <w:ilvl w:val="0"/>
          <w:numId w:val="1"/>
        </w:numPr>
      </w:pPr>
      <w:r>
        <w:rPr>
          <w:b/>
        </w:rPr>
        <w:t xml:space="preserve">Why plots cannot be independent replicates of season. </w:t>
      </w:r>
      <w:r>
        <w:t xml:space="preserve">Season comes with the date, and plots on a date share weather, irrigation timing, field trip, and assay run. 52% of the variation in overall SIR level is shared by plots on the same date and only 7% is due to plots. Counting plots as replicates (v3 approach) gives p = 0.001 for the whole profile on the same data; counting dates gives p = 0.112. Plots are still used in the mixed models, which account for shared dates.</w:t>
      </w:r>
    </w:p>
    <w:p>
      <w:pPr>
        <w:pStyle w:val="ListBullet"/>
        <w:numPr>
          <w:ilvl w:val="0"/>
          <w:numId w:val="1"/>
        </w:numPr>
      </w:pPr>
      <w:r>
        <w:rPr>
          <w:b/>
        </w:rPr>
        <w:t xml:space="preserve">Are Q2 and Q3 valid with two dormant dates? </w:t>
      </w:r>
      <w:r>
        <w:t xml:space="preserve">H2 can be tested, but only in the sense 'the two dormant dates differ from the five active dates more than any other pair of dates'; p = 0.048 is the floor. It cannot separate plant dormancy from anything else about January and March 2024. The class part of Q2 and all of Q3 were already framed as descriptive, which suits seven dates. Q3 does not rely on the season split at all; it asks whether two measurements move together across dates, and the leave-one-date-out check shows January drives most of the mismatch. Suggested wording in results: 'on the two plant-dormant sampling dates' rather than 'in the dormant season'.</w:t>
      </w:r>
    </w:p>
    <w:p>
      <w:pPr>
        <w:pStyle w:val="ListBullet"/>
        <w:numPr>
          <w:ilvl w:val="0"/>
          <w:numId w:val="1"/>
        </w:numPr>
      </w:pPr>
      <w:r>
        <w:rPr>
          <w:b/>
        </w:rPr>
        <w:t xml:space="preserve">Why the H1b grouping changed. </w:t>
      </w:r>
      <w:r>
        <w:t xml:space="preserve">v4 first used only substrates that clearly matched the H1b examples, leaving 14 as 'other'. The revised grouping uses one rule (must the substrate be broken apart outside the cell?), so every substrate is assigned. The transcript classes were not used for H1b directly because they mix polymers and monomers (chitin and NAG are both 'amino sugar'); instead the same classes are used to compare each polymer with its own building blocks.</w:t>
      </w:r>
    </w:p>
    <w:p>
      <w:pPr>
        <w:pStyle w:val="ListBullet"/>
        <w:numPr>
          <w:ilvl w:val="0"/>
          <w:numId w:val="1"/>
        </w:numPr>
      </w:pPr>
      <w:r>
        <w:rPr>
          <w:b/>
        </w:rPr>
        <w:t xml:space="preserve">Putting the branch online. </w:t>
      </w:r>
      <w:r>
        <w:t xml:space="preserve">A pull request is not needed. Pushing the branch (git push -u origin manuscript-v4-analysis) puts it on GitHub separately from main; nothing is merged. The repository is private.</w:t>
      </w:r>
    </w:p>
    <w:p>
      <w:pPr>
        <w:pStyle w:val="Heading2"/>
      </w:pPr>
      <w:r>
        <w:t xml:space="preserve">2. Items that need your attention</w:t>
      </w:r>
    </w:p>
    <w:p>
      <w:pPr>
        <w:pStyle w:val="ListBullet"/>
        <w:numPr>
          <w:ilvl w:val="0"/>
          <w:numId w:val="1"/>
        </w:numPr>
      </w:pPr>
      <w:r>
        <w:rPr>
          <w:b/>
        </w:rPr>
        <w:t xml:space="preserve">BRITE C provenance (needs your input). </w:t>
      </w:r>
      <w:r>
        <w:t xml:space="preserve">No code in the repository creates Data/brite_C_expression.csv (committed 2026-07-07). Values are non-integer and per-sample totals vary about three-fold, so they are not raw counts or TPM that sum to a constant. The upstream steps (read mapping, normalization, KO to BRITE roll-up) should be added under Scripts/upstream/ or cited in Methods.</w:t>
      </w:r>
    </w:p>
    <w:p>
      <w:pPr>
        <w:pStyle w:val="ListBullet"/>
        <w:numPr>
          <w:ilvl w:val="0"/>
          <w:numId w:val="1"/>
        </w:numPr>
      </w:pPr>
      <w:r>
        <w:rPr>
          <w:b/>
        </w:rPr>
        <w:t xml:space="preserve">Raw data are not on GitHub. </w:t>
      </w:r>
      <w:r>
        <w:t xml:space="preserve">DataHub March/ is in .gitignore; Data/README.md lists every source file with an MD5 checksum.</w:t>
      </w:r>
    </w:p>
    <w:p>
      <w:pPr>
        <w:pStyle w:val="ListBullet"/>
        <w:numPr>
          <w:ilvl w:val="0"/>
          <w:numId w:val="1"/>
        </w:numPr>
      </w:pPr>
      <w:r>
        <w:rPr>
          <w:b/>
        </w:rPr>
        <w:t xml:space="preserve">For S. Bell. </w:t>
      </w:r>
      <w:r>
        <w:t xml:space="preserve">Reference for the season definition; harvest, fall-saturation, and irrigation dates for Fig. 1; rhizotron data; any field concentrations of assay substrates (to compare with the MicroResp dose).</w:t>
      </w:r>
    </w:p>
    <w:p>
      <w:pPr>
        <w:pStyle w:val="ListBullet"/>
        <w:numPr>
          <w:ilvl w:val="0"/>
          <w:numId w:val="1"/>
        </w:numPr>
      </w:pPr>
      <w:r>
        <w:rPr>
          <w:b/>
        </w:rPr>
        <w:t xml:space="preserve">Data package README errors. </w:t>
      </w:r>
      <w:r>
        <w:t xml:space="preserve">Soil Phenotypes README collection-date line (2024-06-07 to 2024-07-03); EEA enzyme counts (six/four stated, five/two listed); EEA Collection_date = #N/A for SM1502.</w:t>
      </w:r>
    </w:p>
    <w:p>
      <w:pPr>
        <w:pStyle w:val="ListBullet"/>
        <w:numPr>
          <w:ilvl w:val="0"/>
          <w:numId w:val="1"/>
        </w:numPr>
      </w:pPr>
      <w:r>
        <w:rPr>
          <w:b/>
        </w:rPr>
        <w:t xml:space="preserve">Microbial biomass C. </w:t>
      </w:r>
      <w:r>
        <w:t xml:space="preserve">Two very low values (0.07 and 0.14 ug C/g) after LOD/2 replacement; worth checking against lab records.</w:t>
      </w:r>
    </w:p>
    <w:p>
      <w:pPr>
        <w:pStyle w:val="ListBullet"/>
        <w:numPr>
          <w:ilvl w:val="0"/>
          <w:numId w:val="1"/>
        </w:numPr>
      </w:pPr>
      <w:r>
        <w:rPr>
          <w:b/>
        </w:rPr>
        <w:t xml:space="preserve">AI-use statement. </w:t>
      </w:r>
      <w:r>
        <w:t xml:space="preserve">Needed for ChatGPT (v3) and Claude (v4); check SBB policy.</w:t>
      </w:r>
    </w:p>
    <w:p>
      <w:pPr>
        <w:pStyle w:val="Heading2"/>
      </w:pPr>
      <w:r>
        <w:t xml:space="preserve">3. How results changed from storyboard v3</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627"/>
        <w:gridCol w:w="2034"/>
        <w:gridCol w:w="2984"/>
        <w:gridCol w:w="2713"/>
      </w:tblGrid>
      <w:tr>
        <w:tc>
          <w:tcPr>
            <w:tcW w:w="1627" w:type="dxa"/>
            <w:shd w:val="clear" w:color="auto" w:fill="E7ECF5"/>
          </w:tcPr>
          <w:p>
            <w:r>
              <w:rPr>
                <w:b/>
                <w:sz w:val="18"/>
              </w:rPr>
              <w:t xml:space="preserve">Result</w:t>
            </w:r>
          </w:p>
        </w:tc>
        <w:tc>
          <w:tcPr>
            <w:tcW w:w="2034" w:type="dxa"/>
            <w:shd w:val="clear" w:color="auto" w:fill="E7ECF5"/>
          </w:tcPr>
          <w:p>
            <w:r>
              <w:rPr>
                <w:b/>
                <w:sz w:val="18"/>
              </w:rPr>
              <w:t xml:space="preserve">Storyboard v3</w:t>
            </w:r>
          </w:p>
        </w:tc>
        <w:tc>
          <w:tcPr>
            <w:tcW w:w="2984" w:type="dxa"/>
            <w:shd w:val="clear" w:color="auto" w:fill="E7ECF5"/>
          </w:tcPr>
          <w:p>
            <w:r>
              <w:rPr>
                <w:b/>
                <w:sz w:val="18"/>
              </w:rPr>
              <w:t xml:space="preserve">v4</w:t>
            </w:r>
          </w:p>
        </w:tc>
        <w:tc>
          <w:tcPr>
            <w:tcW w:w="2713" w:type="dxa"/>
            <w:shd w:val="clear" w:color="auto" w:fill="E7ECF5"/>
          </w:tcPr>
          <w:p>
            <w:r>
              <w:rPr>
                <w:b/>
                <w:sz w:val="18"/>
              </w:rPr>
              <w:t xml:space="preserve">Why it changed</w:t>
            </w:r>
          </w:p>
        </w:tc>
      </w:tr>
      <w:tr>
        <w:tc>
          <w:tcPr>
            <w:tcW w:w="1627" w:type="dxa"/>
          </w:tcPr>
          <w:p>
            <w:r>
              <w:rPr>
                <w:sz w:val="18"/>
              </w:rPr>
              <w:t xml:space="preserve">SIR seasonality (H1a)</w:t>
            </w:r>
          </w:p>
        </w:tc>
        <w:tc>
          <w:tcPr>
            <w:tcW w:w="2034" w:type="dxa"/>
          </w:tcPr>
          <w:p>
            <w:r>
              <w:rPr>
                <w:sz w:val="18"/>
              </w:rPr>
              <w:t xml:space="preserve">PERMANOVA R² = 0.097, p = 0.002</w:t>
            </w:r>
          </w:p>
        </w:tc>
        <w:tc>
          <w:tcPr>
            <w:tcW w:w="2984" w:type="dxa"/>
          </w:tcPr>
          <w:p>
            <w:r>
              <w:rPr>
                <w:sz w:val="18"/>
              </w:rPr>
              <w:t xml:space="preserve">Level +34% (p = 0.045); mix R² = 0.04 (p = 0.667); whole profile R² = 0.17 (p = 0.112)</w:t>
            </w:r>
          </w:p>
        </w:tc>
        <w:tc>
          <w:tcPr>
            <w:tcW w:w="2713" w:type="dxa"/>
          </w:tcPr>
          <w:p>
            <w:r>
              <w:rPr>
                <w:sz w:val="18"/>
              </w:rPr>
              <w:t xml:space="preserve">Dates, not plots, as replicates; level and mix separated.</w:t>
            </w:r>
          </w:p>
        </w:tc>
      </w:tr>
      <w:tr>
        <w:tc>
          <w:tcPr>
            <w:tcW w:w="1627" w:type="dxa"/>
          </w:tcPr>
          <w:p>
            <w:r>
              <w:rPr>
                <w:sz w:val="18"/>
              </w:rPr>
              <w:t xml:space="preserve">Transcript seasonality (H2)</w:t>
            </w:r>
          </w:p>
        </w:tc>
        <w:tc>
          <w:tcPr>
            <w:tcW w:w="2034" w:type="dxa"/>
          </w:tcPr>
          <w:p>
            <w:r>
              <w:rPr>
                <w:sz w:val="18"/>
              </w:rPr>
              <w:t xml:space="preserve">R² = 0.234, p = 0.001</w:t>
            </w:r>
          </w:p>
        </w:tc>
        <w:tc>
          <w:tcPr>
            <w:tcW w:w="2984" w:type="dxa"/>
          </w:tcPr>
          <w:p>
            <w:r>
              <w:rPr>
                <w:sz w:val="18"/>
              </w:rPr>
              <w:t xml:space="preserve">R² = 0.52, p = 0.048 (minimum possible)</w:t>
            </w:r>
          </w:p>
        </w:tc>
        <w:tc>
          <w:tcPr>
            <w:tcW w:w="2713" w:type="dxa"/>
          </w:tcPr>
          <w:p>
            <w:r>
              <w:rPr>
                <w:sz w:val="18"/>
              </w:rPr>
              <w:t xml:space="preserve">Date-level test; within-sample proportions.</w:t>
            </w:r>
          </w:p>
        </w:tc>
      </w:tr>
      <w:tr>
        <w:tc>
          <w:tcPr>
            <w:tcW w:w="1627" w:type="dxa"/>
          </w:tcPr>
          <w:p>
            <w:r>
              <w:rPr>
                <w:sz w:val="18"/>
              </w:rPr>
              <w:t xml:space="preserve">H1b</w:t>
            </w:r>
          </w:p>
        </w:tc>
        <w:tc>
          <w:tcPr>
            <w:tcW w:w="2034" w:type="dxa"/>
          </w:tcPr>
          <w:p>
            <w:r>
              <w:rPr>
                <w:sz w:val="18"/>
              </w:rPr>
              <w:t xml:space="preserve">Not tested (top 3 substrates shown)</w:t>
            </w:r>
          </w:p>
        </w:tc>
        <w:tc>
          <w:tcPr>
            <w:tcW w:w="2984" w:type="dxa"/>
          </w:tcPr>
          <w:p>
            <w:r>
              <w:rPr>
                <w:sz w:val="18"/>
              </w:rPr>
              <w:t xml:space="preserve">Complex vs readily available 0.16 log2, p = 0.232; inconsistent within classes</w:t>
            </w:r>
          </w:p>
        </w:tc>
        <w:tc>
          <w:tcPr>
            <w:tcW w:w="2713" w:type="dxa"/>
          </w:tcPr>
          <w:p>
            <w:r>
              <w:rPr>
                <w:sz w:val="18"/>
              </w:rPr>
              <w:t xml:space="preserve">Explicit availability rule and test.</w:t>
            </w:r>
          </w:p>
        </w:tc>
      </w:tr>
      <w:tr>
        <w:tc>
          <w:tcPr>
            <w:tcW w:w="1627" w:type="dxa"/>
          </w:tcPr>
          <w:p>
            <w:r>
              <w:rPr>
                <w:sz w:val="18"/>
              </w:rPr>
              <w:t xml:space="preserve">Linked pathways</w:t>
            </w:r>
          </w:p>
        </w:tc>
        <w:tc>
          <w:tcPr>
            <w:tcW w:w="2034" w:type="dxa"/>
          </w:tcPr>
          <w:p>
            <w:r>
              <w:rPr>
                <w:sz w:val="18"/>
              </w:rPr>
              <w:t xml:space="preserve">31 including TCA and glycolysis</w:t>
            </w:r>
          </w:p>
        </w:tc>
        <w:tc>
          <w:tcPr>
            <w:tcW w:w="2984" w:type="dxa"/>
          </w:tcPr>
          <w:p>
            <w:r>
              <w:rPr>
                <w:sz w:val="18"/>
              </w:rPr>
              <w:t xml:space="preserve">20 linked to a single class</w:t>
            </w:r>
          </w:p>
        </w:tc>
        <w:tc>
          <w:tcPr>
            <w:tcW w:w="2713" w:type="dxa"/>
          </w:tcPr>
          <w:p>
            <w:r>
              <w:rPr>
                <w:sz w:val="18"/>
              </w:rPr>
              <w:t xml:space="preserve">Pathways shared by many classes cannot distinguish them.</w:t>
            </w:r>
          </w:p>
        </w:tc>
      </w:tr>
      <w:tr>
        <w:tc>
          <w:tcPr>
            <w:tcW w:w="1627" w:type="dxa"/>
          </w:tcPr>
          <w:p>
            <w:r>
              <w:rPr>
                <w:sz w:val="18"/>
              </w:rPr>
              <w:t xml:space="preserve">SIR vs transcripts</w:t>
            </w:r>
          </w:p>
        </w:tc>
        <w:tc>
          <w:tcPr>
            <w:tcW w:w="2034" w:type="dxa"/>
          </w:tcPr>
          <w:p>
            <w:r>
              <w:rPr>
                <w:sz w:val="18"/>
              </w:rPr>
              <w:t xml:space="preserve">Top 3 substrates; Procrustes r = 0.335, p = 0.083</w:t>
            </w:r>
          </w:p>
        </w:tc>
        <w:tc>
          <w:tcPr>
            <w:tcW w:w="2984" w:type="dxa"/>
          </w:tcPr>
          <w:p>
            <w:r>
              <w:rPr>
                <w:sz w:val="18"/>
              </w:rPr>
              <w:t xml:space="preserve">Class level, same date and next date, leave-one-date-out; Procrustes r = 0.38</w:t>
            </w:r>
          </w:p>
        </w:tc>
        <w:tc>
          <w:tcPr>
            <w:tcW w:w="2713" w:type="dxa"/>
          </w:tcPr>
          <w:p>
            <w:r>
              <w:rPr>
                <w:sz w:val="18"/>
              </w:rPr>
              <w:t xml:space="preserve">Class-level design matching Q3; transcripts as proportions; MicroResp v3.</w:t>
            </w:r>
          </w:p>
        </w:tc>
      </w:tr>
      <w:tr>
        <w:tc>
          <w:tcPr>
            <w:tcW w:w="1627" w:type="dxa"/>
          </w:tcPr>
          <w:p>
            <w:r>
              <w:rPr>
                <w:sz w:val="18"/>
              </w:rPr>
              <w:t xml:space="preserve">Root vs respiration</w:t>
            </w:r>
          </w:p>
        </w:tc>
        <w:tc>
          <w:tcPr>
            <w:tcW w:w="2034" w:type="dxa"/>
          </w:tcPr>
          <w:p>
            <w:r>
              <w:rPr>
                <w:sz w:val="18"/>
              </w:rPr>
              <w:t xml:space="preserve">Main Figure 1B; 9 candidate outliers</w:t>
            </w:r>
          </w:p>
        </w:tc>
        <w:tc>
          <w:tcPr>
            <w:tcW w:w="2984" w:type="dxa"/>
          </w:tcPr>
          <w:p>
            <w:r>
              <w:rPr>
                <w:sz w:val="18"/>
              </w:rPr>
              <w:t xml:space="preserve">Supplement; 3 points flagged by two screens as sensitivity</w:t>
            </w:r>
          </w:p>
        </w:tc>
        <w:tc>
          <w:tcPr>
            <w:tcW w:w="2713" w:type="dxa"/>
          </w:tcPr>
          <w:p>
            <w:r>
              <w:rPr>
                <w:sz w:val="18"/>
              </w:rPr>
              <w:t xml:space="preserve">Not a storyboard question; SM1082 restored.</w:t>
            </w:r>
          </w:p>
        </w:tc>
      </w:tr>
    </w:tbl>
    <w:p/>
    <w:p>
      <w:pPr>
        <w:pStyle w:val="Heading2"/>
      </w:pPr>
      <w:r>
        <w:t xml:space="preserve">4. Data changes</w:t>
      </w:r>
    </w:p>
    <w:p>
      <w:pPr>
        <w:pStyle w:val="ListBullet"/>
        <w:numPr>
          <w:ilvl w:val="0"/>
          <w:numId w:val="1"/>
        </w:numPr>
      </w:pPr>
      <w:r>
        <w:t xml:space="preserve">MicroResp v3 replaces the original release, in which January 2024 IDs SM1503-SM1514 were shifted by one plot (SM1503 duplicated SM1502). Values were relabelled, not changed; the availability audit now stops if MicroResp and field labels disagree.</w:t>
      </w:r>
    </w:p>
    <w:p>
      <w:pPr>
        <w:pStyle w:val="ListBullet"/>
        <w:numPr>
          <w:ilvl w:val="0"/>
          <w:numId w:val="1"/>
        </w:numPr>
      </w:pPr>
      <w:r>
        <w:t xml:space="preserve">SM1082 restored with only SEOC set to NA; this changed the LOD/2 replacement for Olsen organic P (not used in any figure).</w:t>
      </w:r>
    </w:p>
    <w:p>
      <w:pPr>
        <w:pStyle w:val="ListBullet"/>
        <w:numPr>
          <w:ilvl w:val="0"/>
          <w:numId w:val="1"/>
        </w:numPr>
      </w:pPr>
      <w:r>
        <w:t xml:space="preserve">Transcript filtering drops 10 categories never detected, leaving 325.</w:t>
      </w:r>
    </w:p>
    <w:p>
      <w:pPr>
        <w:pStyle w:val="Heading2"/>
      </w:pPr>
      <w:r>
        <w:t xml:space="preserve">5. Decision log</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560"/>
        <w:gridCol w:w="7800"/>
      </w:tblGrid>
      <w:tr>
        <w:tc>
          <w:tcPr>
            <w:tcW w:w="1560" w:type="dxa"/>
            <w:shd w:val="clear" w:color="auto" w:fill="E7ECF5"/>
          </w:tcPr>
          <w:p>
            <w:r>
              <w:rPr>
                <w:b/>
                <w:sz w:val="18"/>
              </w:rPr>
              <w:t xml:space="preserve">#</w:t>
            </w:r>
          </w:p>
        </w:tc>
        <w:tc>
          <w:tcPr>
            <w:tcW w:w="7800" w:type="dxa"/>
            <w:shd w:val="clear" w:color="auto" w:fill="E7ECF5"/>
          </w:tcPr>
          <w:p>
            <w:r>
              <w:rPr>
                <w:b/>
                <w:sz w:val="18"/>
              </w:rPr>
              <w:t xml:space="preserve">Decision</w:t>
            </w:r>
          </w:p>
        </w:tc>
      </w:tr>
      <w:tr>
        <w:tc>
          <w:tcPr>
            <w:tcW w:w="1560" w:type="dxa"/>
          </w:tcPr>
          <w:p>
            <w:r>
              <w:rPr>
                <w:sz w:val="18"/>
              </w:rPr>
              <w:t xml:space="preserve">D1 (revised 2026-10-25)</w:t>
            </w:r>
          </w:p>
        </w:tc>
        <w:tc>
          <w:tcPr>
            <w:tcW w:w="7800" w:type="dxa"/>
          </w:tcPr>
          <w:p>
            <w:r>
              <w:rPr>
                <w:sz w:val="18"/>
              </w:rPr>
              <w:t xml:space="preserve">H1b groups by one rule: complex = polymers and esters that must be broken apart outside the cell (8); readily available = small molecules (23); no 'other'. Sensitivity: only root-exudate types count as readily available. Within-class polymer vs monomer comparisons added.</w:t>
            </w:r>
          </w:p>
        </w:tc>
      </w:tr>
      <w:tr>
        <w:tc>
          <w:tcPr>
            <w:tcW w:w="1560" w:type="dxa"/>
          </w:tcPr>
          <w:p>
            <w:r>
              <w:rPr>
                <w:sz w:val="18"/>
              </w:rPr>
              <w:t xml:space="preserve">D2</w:t>
            </w:r>
          </w:p>
        </w:tc>
        <w:tc>
          <w:tcPr>
            <w:tcW w:w="7800" w:type="dxa"/>
          </w:tcPr>
          <w:p>
            <w:r>
              <w:rPr>
                <w:sz w:val="18"/>
              </w:rPr>
              <w:t xml:space="preserve">Compound classes for Q2/Q3: lipid-like, aromatic, amino sugar, amino acid (including BSA and GABA); only BRITE C categories linked to a single class are used (20).</w:t>
            </w:r>
          </w:p>
        </w:tc>
      </w:tr>
      <w:tr>
        <w:tc>
          <w:tcPr>
            <w:tcW w:w="1560" w:type="dxa"/>
          </w:tcPr>
          <w:p>
            <w:r>
              <w:rPr>
                <w:sz w:val="18"/>
              </w:rPr>
              <w:t xml:space="preserve">D3</w:t>
            </w:r>
          </w:p>
        </w:tc>
        <w:tc>
          <w:tcPr>
            <w:tcW w:w="7800" w:type="dxa"/>
          </w:tcPr>
          <w:p>
            <w:r>
              <w:rPr>
                <w:sz w:val="18"/>
              </w:rPr>
              <w:t xml:space="preserve">Root biomass x respiration is a short SI analysis (Fig. S1).</w:t>
            </w:r>
          </w:p>
        </w:tc>
      </w:tr>
      <w:tr>
        <w:tc>
          <w:tcPr>
            <w:tcW w:w="1560" w:type="dxa"/>
          </w:tcPr>
          <w:p>
            <w:r>
              <w:rPr>
                <w:sz w:val="18"/>
              </w:rPr>
              <w:t xml:space="preserve">D4</w:t>
            </w:r>
          </w:p>
        </w:tc>
        <w:tc>
          <w:tcPr>
            <w:tcW w:w="7800" w:type="dxa"/>
          </w:tcPr>
          <w:p>
            <w:r>
              <w:rPr>
                <w:sz w:val="18"/>
              </w:rPr>
              <w:t xml:space="preserve">Top-3-by-GAM panels removed from the main figures; all 31 GAMs in Fig. S2.</w:t>
            </w:r>
          </w:p>
        </w:tc>
      </w:tr>
      <w:tr>
        <w:tc>
          <w:tcPr>
            <w:tcW w:w="1560" w:type="dxa"/>
          </w:tcPr>
          <w:p>
            <w:r>
              <w:rPr>
                <w:sz w:val="18"/>
              </w:rPr>
              <w:t xml:space="preserve">D5</w:t>
            </w:r>
          </w:p>
        </w:tc>
        <w:tc>
          <w:tcPr>
            <w:tcW w:w="7800" w:type="dxa"/>
          </w:tcPr>
          <w:p>
            <w:r>
              <w:rPr>
                <w:sz w:val="18"/>
              </w:rPr>
              <w:t xml:space="preserve">Transcripts as within-sample proportions over the 325 retained categories; values as provided as a sensitivity.</w:t>
            </w:r>
          </w:p>
        </w:tc>
      </w:tr>
      <w:tr>
        <w:tc>
          <w:tcPr>
            <w:tcW w:w="1560" w:type="dxa"/>
          </w:tcPr>
          <w:p>
            <w:r>
              <w:rPr>
                <w:sz w:val="18"/>
              </w:rPr>
              <w:t xml:space="preserve">D6</w:t>
            </w:r>
          </w:p>
        </w:tc>
        <w:tc>
          <w:tcPr>
            <w:tcW w:w="7800" w:type="dxa"/>
          </w:tcPr>
          <w:p>
            <w:r>
              <w:rPr>
                <w:sz w:val="18"/>
              </w:rPr>
              <w:t xml:space="preserve">SM1082 (July 2023, plot 57) kept with only SEOC set to NA.</w:t>
            </w:r>
          </w:p>
        </w:tc>
      </w:tr>
      <w:tr>
        <w:tc>
          <w:tcPr>
            <w:tcW w:w="1560" w:type="dxa"/>
          </w:tcPr>
          <w:p>
            <w:r>
              <w:rPr>
                <w:sz w:val="18"/>
              </w:rPr>
              <w:t xml:space="preserve">D7</w:t>
            </w:r>
          </w:p>
        </w:tc>
        <w:tc>
          <w:tcPr>
            <w:tcW w:w="7800" w:type="dxa"/>
          </w:tcPr>
          <w:p>
            <w:r>
              <w:rPr>
                <w:sz w:val="18"/>
              </w:rPr>
              <w:t xml:space="preserve">Seasons Apr-Oct / Nov-Mar; sensitivity without Oct 2023 and Apr 2024.</w:t>
            </w:r>
          </w:p>
        </w:tc>
      </w:tr>
      <w:tr>
        <w:tc>
          <w:tcPr>
            <w:tcW w:w="1560" w:type="dxa"/>
          </w:tcPr>
          <w:p>
            <w:r>
              <w:rPr>
                <w:sz w:val="18"/>
              </w:rPr>
              <w:t xml:space="preserve">D8</w:t>
            </w:r>
          </w:p>
        </w:tc>
        <w:tc>
          <w:tcPr>
            <w:tcW w:w="7800" w:type="dxa"/>
          </w:tcPr>
          <w:p>
            <w:r>
              <w:rPr>
                <w:sz w:val="18"/>
              </w:rPr>
              <w:t xml:space="preserve">Class aggregation: transcripts summed over a class's pathways; SIR as the mean of within-substrate z-scores.</w:t>
            </w:r>
          </w:p>
        </w:tc>
      </w:tr>
      <w:tr>
        <w:tc>
          <w:tcPr>
            <w:tcW w:w="1560" w:type="dxa"/>
          </w:tcPr>
          <w:p>
            <w:r>
              <w:rPr>
                <w:sz w:val="18"/>
              </w:rPr>
              <w:t xml:space="preserve">D9</w:t>
            </w:r>
          </w:p>
        </w:tc>
        <w:tc>
          <w:tcPr>
            <w:tcW w:w="7800" w:type="dxa"/>
          </w:tcPr>
          <w:p>
            <w:r>
              <w:rPr>
                <w:sz w:val="18"/>
              </w:rPr>
              <w:t xml:space="preserve">Fig. 3A uses all 325 categories; metabolism-only as sensitivity.</w:t>
            </w:r>
          </w:p>
        </w:tc>
      </w:tr>
      <w:tr>
        <w:tc>
          <w:tcPr>
            <w:tcW w:w="1560" w:type="dxa"/>
          </w:tcPr>
          <w:p>
            <w:r>
              <w:rPr>
                <w:sz w:val="18"/>
              </w:rPr>
              <w:t xml:space="preserve">D10</w:t>
            </w:r>
          </w:p>
        </w:tc>
        <w:tc>
          <w:tcPr>
            <w:tcW w:w="7800" w:type="dxa"/>
          </w:tcPr>
          <w:p>
            <w:r>
              <w:rPr>
                <w:sz w:val="18"/>
              </w:rPr>
              <w:t xml:space="preserve">Fig. 1 shows season shading and irrigation window; harvest/saturation markers pending.</w:t>
            </w:r>
          </w:p>
        </w:tc>
      </w:tr>
      <w:tr>
        <w:tc>
          <w:tcPr>
            <w:tcW w:w="1560" w:type="dxa"/>
          </w:tcPr>
          <w:p>
            <w:r>
              <w:rPr>
                <w:sz w:val="18"/>
              </w:rPr>
              <w:t xml:space="preserve">D11</w:t>
            </w:r>
          </w:p>
        </w:tc>
        <w:tc>
          <w:tcPr>
            <w:tcW w:w="7800" w:type="dxa"/>
          </w:tcPr>
          <w:p>
            <w:r>
              <w:rPr>
                <w:sz w:val="18"/>
              </w:rPr>
              <w:t xml:space="preserve">All root observations kept; sensitivity excludes the 3 points flagged by both screens.</w:t>
            </w:r>
          </w:p>
        </w:tc>
      </w:tr>
      <w:tr>
        <w:tc>
          <w:tcPr>
            <w:tcW w:w="1560" w:type="dxa"/>
          </w:tcPr>
          <w:p>
            <w:r>
              <w:rPr>
                <w:sz w:val="18"/>
              </w:rPr>
              <w:t xml:space="preserve">D12 (2026-10-25)</w:t>
            </w:r>
          </w:p>
        </w:tc>
        <w:tc>
          <w:tcPr>
            <w:tcW w:w="7800" w:type="dxa"/>
          </w:tcPr>
          <w:p>
            <w:r>
              <w:rPr>
                <w:sz w:val="18"/>
              </w:rPr>
              <w:t xml:space="preserve">H1a reported as two separate results, level and mix; NMDS drawn without connecting lines; Q3 includes a leave-one-date-out check.</w:t>
            </w:r>
          </w:p>
        </w:tc>
      </w:tr>
      <w:tr>
        <w:tc>
          <w:tcPr>
            <w:tcW w:w="1560" w:type="dxa"/>
          </w:tcPr>
          <w:p>
            <w:r>
              <w:rPr>
                <w:sz w:val="18"/>
              </w:rPr>
              <w:t xml:space="preserve">D13 (2026-10-25)</w:t>
            </w:r>
          </w:p>
        </w:tc>
        <w:tc>
          <w:tcPr>
            <w:tcW w:w="7800" w:type="dxa"/>
          </w:tcPr>
          <w:p>
            <w:r>
              <w:rPr>
                <w:sz w:val="18"/>
              </w:rPr>
              <w:t xml:space="preserve">Date-average PERMANOVA is the main whole-profile test; the all-samples version with whole dates shuffled is the check.</w:t>
            </w:r>
          </w:p>
        </w:tc>
      </w:tr>
    </w:tbl>
    <w:p/>
    <w:p>
      <w:pPr>
        <w:pStyle w:val="Heading2"/>
      </w:pPr>
      <w:r>
        <w:t xml:space="preserve">6. Reproducing the analysis</w:t>
      </w:r>
    </w:p>
    <w:p>
      <w:r>
        <w:t xml:space="preserve">From the repository root with the DataHub March folder in place: Rscript Scripts/00_run_all.R (about 5 minutes), then Rscript Scripts/docs/write_storyboard_docx.R. Data/README.md lists every input with its origin and checksum; package versions are in Results/manuscript_v4/sessionInfo.txt.</w:t>
      </w:r>
    </w:p>
    <w:p>
      <w:pPr>
        <w:pStyle w:val="Heading2"/>
      </w:pPr>
      <w:r>
        <w:t xml:space="preserve">7. Statistical methods in brief</w:t>
      </w:r>
    </w:p>
    <w:p>
      <w:pPr>
        <w:pStyle w:val="ListBullet"/>
        <w:numPr>
          <w:ilvl w:val="0"/>
          <w:numId w:val="1"/>
        </w:numPr>
      </w:pPr>
      <w:r>
        <w:t xml:space="preserve">Exact date-level permutation: every assignment of season labels to dates is listed (1,287 for SIR, 21 for transcripts); p is the share giving a PERMANOVA pseudo-F at least as large as observed. Applied to date means (primary) and to samples with labels permuted by whole date (check). Dispersion tested the same way.</w:t>
      </w:r>
    </w:p>
    <w:p>
      <w:pPr>
        <w:pStyle w:val="ListBullet"/>
        <w:numPr>
          <w:ilvl w:val="0"/>
          <w:numId w:val="1"/>
        </w:numPr>
      </w:pPr>
      <w:r>
        <w:t xml:space="preserve">Level: sample mean of log2 SIR relative to each substrate's annual mean ~ Season + (1|Date) + (1|Plot).</w:t>
      </w:r>
    </w:p>
    <w:p>
      <w:pPr>
        <w:pStyle w:val="ListBullet"/>
        <w:numPr>
          <w:ilvl w:val="0"/>
          <w:numId w:val="1"/>
        </w:numPr>
      </w:pPr>
      <w:r>
        <w:t xml:space="preserve">Mix: PERMANOVA on profiles divided by each sample's total.</w:t>
      </w:r>
    </w:p>
    <w:p>
      <w:pPr>
        <w:pStyle w:val="ListBullet"/>
        <w:numPr>
          <w:ilvl w:val="0"/>
          <w:numId w:val="1"/>
        </w:numPr>
      </w:pPr>
      <w:r>
        <w:t xml:space="preserve">H1b: response ~ Season x group + (1|Date) + (1|Date:group) + (1|Sample) + (1|Substrate:Season); the same model within each chemical class; permutation check with 99,999 random reassignments of the complex label.</w:t>
      </w:r>
    </w:p>
    <w:p>
      <w:pPr>
        <w:pStyle w:val="ListBullet"/>
        <w:numPr>
          <w:ilvl w:val="0"/>
          <w:numId w:val="1"/>
        </w:numPr>
      </w:pPr>
      <w:r>
        <w:t xml:space="preserve">Q3: Spearman correlations of date means (n = 7) and plot-dates; leave-one-date-out; no p-values.</w:t>
      </w:r>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xmlns:wp="http://schemas.openxmlformats.org/drawingml/2006/wordprocessingDrawing">
  <w:abstractNum w:abstractNumId="0">
    <w:lvl w:ilvl="0">
      <w:start w:val="1"/>
      <w:numFmt w:val="bullet"/>
      <w:lvlText w:val="•"/>
      <w:lvlJc w:val="left"/>
      <w:pPr>
        <w:ind w:left="360" w:hanging="360"/>
      </w:pPr>
    </w:lvl>
  </w:abstractNum>
  <w:num w:numId="1">
    <w:abstractNumId w:val="0"/>
  </w:num>
</w:numbering>
</file>

<file path=word/styles.xml><?xml version="1.0" encoding="utf-8"?>
<w:styles xmlns:w="http://schemas.openxmlformats.org/wordprocessingml/2006/main" xmlns:r="http://schemas.openxmlformats.org/officeDocument/2006/relationships" xmlns:wp="http://schemas.openxmlformats.org/drawingml/2006/wordprocessingDrawing">
  <w:docDefaults>
    <w:rPrDefault>
      <w:rPr>
        <w:rFonts w:ascii="Calibri" w:hAnsi="Calibri" w:cs="Calibri" w:eastAsia="Calibri"/>
        <w:sz w:val="22"/>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240" w:after="80"/>
      <w:outlineLvl w:val="0"/>
    </w:pPr>
    <w:rPr>
      <w:b/>
      <w:color w:val="1F3864"/>
      <w:sz w:val="36"/>
    </w:rPr>
  </w:style>
  <w:style w:type="paragraph" w:styleId="Heading2">
    <w:name w:val="heading 2"/>
    <w:basedOn w:val="Normal"/>
    <w:next w:val="Normal"/>
    <w:qFormat/>
    <w:pPr>
      <w:keepNext/>
      <w:spacing w:before="360" w:after="80"/>
      <w:outlineLvl w:val="1"/>
    </w:pPr>
    <w:rPr>
      <w:b/>
      <w:color w:val="1F3864"/>
      <w:sz w:val="28"/>
    </w:rPr>
  </w:style>
  <w:style w:type="paragraph" w:styleId="Heading3">
    <w:name w:val="heading 3"/>
    <w:basedOn w:val="Normal"/>
    <w:next w:val="Normal"/>
    <w:qFormat/>
    <w:pPr>
      <w:keepNext/>
      <w:spacing w:before="240" w:after="80"/>
      <w:outlineLvl w:val="2"/>
    </w:pPr>
    <w:rPr>
      <w:b/>
      <w:color w:val="2F5496"/>
      <w:sz w:val="24"/>
    </w:rPr>
  </w:style>
  <w:style w:type="paragraph" w:styleId="ListBullet">
    <w:name w:val="List Bullet"/>
    <w:basedOn w:val="Normal"/>
    <w:pPr>
      <w:spacing w:after="60"/>
    </w:p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s>
</file>