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Notes for storyboard v5</w:t>
      </w:r>
    </w:p>
    <w:p>
      <w:r>
        <w:t xml:space="preserve">Companion to Storyboard_v5.docx. Results, checks, and data issues that support the story but do not belong in the main line. All numbers come from Results/plan_v1; the full record of decisions is Results/plan_v1/deviation_log.md.</w:t>
      </w:r>
    </w:p>
    <w:p>
      <w:pPr>
        <w:pStyle w:val="Heading2"/>
      </w:pPr>
      <w:r>
        <w:t xml:space="preserve">1. Questions for you</w:t>
      </w:r>
    </w:p>
    <w:p>
      <w:pPr>
        <w:pStyle w:val="ListBullet"/>
        <w:numPr>
          <w:ilvl w:val="0"/>
          <w:numId w:val="1"/>
        </w:numPr>
      </w:pPr>
      <w:r>
        <w:rPr>
          <w:b/>
        </w:rPr>
        <w:t xml:space="preserve">Figure 1. </w:t>
      </w:r>
      <w:r>
        <w:t xml:space="preserve">I reused the field-conditions figure from v4 (made with the earlier pipeline and its cleaned data table). Should it be redone with the plan v1 inputs, or is v4's version fine as context?</w:t>
      </w:r>
    </w:p>
    <w:p>
      <w:pPr>
        <w:pStyle w:val="ListBullet"/>
        <w:numPr>
          <w:ilvl w:val="0"/>
          <w:numId w:val="1"/>
        </w:numPr>
      </w:pPr>
      <w:r>
        <w:rPr>
          <w:b/>
        </w:rPr>
        <w:t xml:space="preserve">Root-dense cores. </w:t>
      </w:r>
      <w:r>
        <w:t xml:space="preserve">Your framing document mentions three root-dense cores; the plan's rule flags 6 (SM1080, SM1078, SM1621, SM1126, SM1054, SM1150). Figure 3 marks all 6. Is that what you want?</w:t>
      </w:r>
    </w:p>
    <w:p>
      <w:pPr>
        <w:pStyle w:val="ListBullet"/>
        <w:numPr>
          <w:ilvl w:val="0"/>
          <w:numId w:val="1"/>
        </w:numPr>
      </w:pPr>
      <w:r>
        <w:rPr>
          <w:b/>
        </w:rPr>
        <w:t xml:space="preserve">Titles. </w:t>
      </w:r>
      <w:r>
        <w:t xml:space="preserve">Both title options state the main Q1 result. Edit freely.</w:t>
      </w:r>
    </w:p>
    <w:p>
      <w:pPr>
        <w:pStyle w:val="ListBullet"/>
        <w:numPr>
          <w:ilvl w:val="0"/>
          <w:numId w:val="1"/>
        </w:numPr>
      </w:pPr>
      <w:r>
        <w:rPr>
          <w:b/>
        </w:rPr>
        <w:t xml:space="preserve">Citations. </w:t>
      </w:r>
      <w:r>
        <w:t xml:space="preserve">The hypotheses keep your note 'Allison &amp; Vitousek 2005, to verify'.</w:t>
      </w:r>
    </w:p>
    <w:p>
      <w:pPr>
        <w:pStyle w:val="Heading2"/>
      </w:pPr>
      <w:r>
        <w:t xml:space="preserve">2. Why the biomass-divided results are not the main version</w:t>
      </w:r>
    </w:p>
    <w:p>
      <w:r>
        <w:t xml:space="preserve">The plan divides readiness by microbial biomass (MBC) for one Q1 check and for all of Q2. Four samples had MBC recorded as 0 (below the lab blank). Following an earlier project rule, these were set to half the lowest measured value (0.07 µg C per g). The lowest measured value was 0.14 (SM1539).</w:t>
      </w:r>
    </w:p>
    <w:p>
      <w:r>
        <w:t xml:space="preserve">Dividing by a number close to zero makes a huge result. SM1625 (May 2024, set to 0.07) and SM1539 (February 2024, 0.14) came out about 1,000 times higher than any other sample. Every biomass-divided score is therefore driven by these two samples (storyboard Figure S4).</w:t>
      </w:r>
    </w:p>
    <w:p>
      <w:r>
        <w:t xml:space="preserve">We reran those analyses without them. The Q1 simple-score difference became 0.25 (p = 0.33), and the H2b match count 12 of 19 (p = 0.36). But the next-lowest sample, SM1420 (December 2023, MBC 7.78), then took over the Q1 scores in the same way. Removing samples one at a time does not fix the problem, because dividing by biomass always magnifies the samples with the least biomass. For this reason, and with VGC's approval (deviation D11), Q2 now uses readiness per unit carbon as its main version, with the biomass-divided version as a check. Q1 already used per-carbon values for its main tests.</w:t>
      </w:r>
    </w:p>
    <w:p>
      <w:pPr>
        <w:pStyle w:val="Heading2"/>
      </w:pPr>
      <w:r>
        <w:t xml:space="preserve">3. Q1 checks</w:t>
      </w:r>
    </w:p>
    <w:p>
      <w:r>
        <w:t xml:space="preserve">Each cell is the winter-minus-summer difference (z-units) and its p-value, on date means. Full table with corrected p-values: cp2_robustness.csv.</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4011"/>
        <w:gridCol w:w="2674"/>
        <w:gridCol w:w="2674"/>
      </w:tblGrid>
      <w:tr>
        <w:tc>
          <w:tcPr>
            <w:tcW w:w="4011" w:type="dxa"/>
            <w:shd w:val="clear" w:color="auto" w:fill="E7ECF5"/>
          </w:tcPr>
          <w:p>
            <w:r>
              <w:rPr>
                <w:b/>
                <w:sz w:val="18"/>
              </w:rPr>
              <w:t xml:space="preserve">Check</w:t>
            </w:r>
          </w:p>
        </w:tc>
        <w:tc>
          <w:tcPr>
            <w:tcW w:w="2674" w:type="dxa"/>
            <w:shd w:val="clear" w:color="auto" w:fill="E7ECF5"/>
          </w:tcPr>
          <w:p>
            <w:r>
              <w:rPr>
                <w:b/>
                <w:sz w:val="18"/>
              </w:rPr>
              <w:t xml:space="preserve">Simple score (test 1)</w:t>
            </w:r>
          </w:p>
        </w:tc>
        <w:tc>
          <w:tcPr>
            <w:tcW w:w="2674" w:type="dxa"/>
            <w:shd w:val="clear" w:color="auto" w:fill="E7ECF5"/>
          </w:tcPr>
          <w:p>
            <w:r>
              <w:rPr>
                <w:b/>
                <w:sz w:val="18"/>
              </w:rPr>
              <w:t xml:space="preserve">Polymer − simple (test 3)</w:t>
            </w:r>
          </w:p>
        </w:tc>
      </w:tr>
      <w:tr>
        <w:tc>
          <w:tcPr>
            <w:tcW w:w="4011" w:type="dxa"/>
          </w:tcPr>
          <w:p>
            <w:r>
              <w:rPr>
                <w:sz w:val="18"/>
              </w:rPr>
              <w:t xml:space="preserve">Main result</w:t>
            </w:r>
          </w:p>
        </w:tc>
        <w:tc>
          <w:tcPr>
            <w:tcW w:w="2674" w:type="dxa"/>
          </w:tcPr>
          <w:p>
            <w:r>
              <w:rPr>
                <w:sz w:val="18"/>
              </w:rPr>
              <w:t xml:space="preserve">0.52 (p = 0.0031)</w:t>
            </w:r>
          </w:p>
        </w:tc>
        <w:tc>
          <w:tcPr>
            <w:tcW w:w="2674" w:type="dxa"/>
          </w:tcPr>
          <w:p>
            <w:r>
              <w:rPr>
                <w:sz w:val="18"/>
              </w:rPr>
              <w:t xml:space="preserve">0.11 (p = 0.58)</w:t>
            </w:r>
          </w:p>
        </w:tc>
      </w:tr>
      <w:tr>
        <w:tc>
          <w:tcPr>
            <w:tcW w:w="4011" w:type="dxa"/>
          </w:tcPr>
          <w:p>
            <w:r>
              <w:rPr>
                <w:sz w:val="18"/>
              </w:rPr>
              <w:t xml:space="preserve">No water subtraction</w:t>
            </w:r>
          </w:p>
        </w:tc>
        <w:tc>
          <w:tcPr>
            <w:tcW w:w="2674" w:type="dxa"/>
          </w:tcPr>
          <w:p>
            <w:r>
              <w:rPr>
                <w:sz w:val="18"/>
              </w:rPr>
              <w:t xml:space="preserve">0.53 (p = 0.043)</w:t>
            </w:r>
          </w:p>
        </w:tc>
        <w:tc>
          <w:tcPr>
            <w:tcW w:w="2674" w:type="dxa"/>
          </w:tcPr>
          <w:p>
            <w:r>
              <w:rPr>
                <w:sz w:val="18"/>
              </w:rPr>
              <w:t xml:space="preserve">0.09 (p = 0.62)</w:t>
            </w:r>
          </w:p>
        </w:tc>
      </w:tr>
      <w:tr>
        <w:tc>
          <w:tcPr>
            <w:tcW w:w="4011" w:type="dxa"/>
          </w:tcPr>
          <w:p>
            <w:r>
              <w:rPr>
                <w:sz w:val="18"/>
              </w:rPr>
              <w:t xml:space="preserve">Per gram of soil instead of per unit carbon</w:t>
            </w:r>
          </w:p>
        </w:tc>
        <w:tc>
          <w:tcPr>
            <w:tcW w:w="2674" w:type="dxa"/>
          </w:tcPr>
          <w:p>
            <w:r>
              <w:rPr>
                <w:sz w:val="18"/>
              </w:rPr>
              <w:t xml:space="preserve">0.47 (p = 0.0075)</w:t>
            </w:r>
          </w:p>
        </w:tc>
        <w:tc>
          <w:tcPr>
            <w:tcW w:w="2674" w:type="dxa"/>
          </w:tcPr>
          <w:p>
            <w:r>
              <w:rPr>
                <w:sz w:val="18"/>
              </w:rPr>
              <w:t xml:space="preserve">0.10 (p = 0.61)</w:t>
            </w:r>
          </w:p>
        </w:tc>
      </w:tr>
      <w:tr>
        <w:tc>
          <w:tcPr>
            <w:tcW w:w="4011" w:type="dxa"/>
          </w:tcPr>
          <w:p>
            <w:r>
              <w:rPr>
                <w:sz w:val="18"/>
              </w:rPr>
              <w:t xml:space="preserve">Later reading (5 to 24 h)</w:t>
            </w:r>
          </w:p>
        </w:tc>
        <w:tc>
          <w:tcPr>
            <w:tcW w:w="2674" w:type="dxa"/>
          </w:tcPr>
          <w:p>
            <w:r>
              <w:rPr>
                <w:sz w:val="18"/>
              </w:rPr>
              <w:t xml:space="preserve">0.41 (p = 0.23)</w:t>
            </w:r>
          </w:p>
        </w:tc>
        <w:tc>
          <w:tcPr>
            <w:tcW w:w="2674" w:type="dxa"/>
          </w:tcPr>
          <w:p>
            <w:r>
              <w:rPr>
                <w:sz w:val="18"/>
              </w:rPr>
              <w:t xml:space="preserve">0.08 (p = 0.73)</w:t>
            </w:r>
          </w:p>
        </w:tc>
      </w:tr>
      <w:tr>
        <w:tc>
          <w:tcPr>
            <w:tcW w:w="4011" w:type="dxa"/>
          </w:tcPr>
          <w:p>
            <w:r>
              <w:rPr>
                <w:sz w:val="18"/>
              </w:rPr>
              <w:t xml:space="preserve">Leave out one compound at a time (range)</w:t>
            </w:r>
          </w:p>
        </w:tc>
        <w:tc>
          <w:tcPr>
            <w:tcW w:w="2674" w:type="dxa"/>
          </w:tcPr>
          <w:p>
            <w:r>
              <w:rPr>
                <w:sz w:val="18"/>
              </w:rPr>
              <w:t xml:space="preserve">0.48 to 0.55</w:t>
            </w:r>
          </w:p>
        </w:tc>
        <w:tc>
          <w:tcPr>
            <w:tcW w:w="2674" w:type="dxa"/>
          </w:tcPr>
          <w:p>
            <w:r>
              <w:rPr>
                <w:sz w:val="18"/>
              </w:rPr>
              <w:t xml:space="preserve">-0.02 to 0.28</w:t>
            </w:r>
          </w:p>
        </w:tc>
      </w:tr>
      <w:tr>
        <w:tc>
          <w:tcPr>
            <w:tcW w:w="4011" w:type="dxa"/>
          </w:tcPr>
          <w:p>
            <w:r>
              <w:rPr>
                <w:sz w:val="18"/>
              </w:rPr>
              <w:t xml:space="preserve">Drop weak compounds (cellobiose, cellulose, chitin)</w:t>
            </w:r>
          </w:p>
        </w:tc>
        <w:tc>
          <w:tcPr>
            <w:tcW w:w="2674" w:type="dxa"/>
          </w:tcPr>
          <w:p>
            <w:r>
              <w:rPr>
                <w:sz w:val="18"/>
              </w:rPr>
              <w:t xml:space="preserve">0.51 (p = 0.0023)</w:t>
            </w:r>
          </w:p>
        </w:tc>
        <w:tc>
          <w:tcPr>
            <w:tcW w:w="2674" w:type="dxa"/>
          </w:tcPr>
          <w:p>
            <w:r>
              <w:rPr>
                <w:sz w:val="18"/>
              </w:rPr>
              <w:t xml:space="preserve">-0.11 (p = 0.69)</w:t>
            </w:r>
          </w:p>
        </w:tc>
      </w:tr>
      <w:tr>
        <w:tc>
          <w:tcPr>
            <w:tcW w:w="4011" w:type="dxa"/>
          </w:tcPr>
          <w:p>
            <w:r>
              <w:rPr>
                <w:sz w:val="18"/>
              </w:rPr>
              <w:t xml:space="preserve">25% irrigation plots</w:t>
            </w:r>
          </w:p>
        </w:tc>
        <w:tc>
          <w:tcPr>
            <w:tcW w:w="2674" w:type="dxa"/>
          </w:tcPr>
          <w:p>
            <w:r>
              <w:rPr>
                <w:sz w:val="18"/>
              </w:rPr>
              <w:t xml:space="preserve">0.29 (p = 0.29)</w:t>
            </w:r>
          </w:p>
        </w:tc>
        <w:tc>
          <w:tcPr>
            <w:tcW w:w="2674" w:type="dxa"/>
          </w:tcPr>
          <w:p>
            <w:r>
              <w:rPr>
                <w:sz w:val="18"/>
              </w:rPr>
              <w:t xml:space="preserve">0.11 (p = 0.62)</w:t>
            </w:r>
          </w:p>
        </w:tc>
      </w:tr>
    </w:tbl>
    <w:p/>
    <w:p>
      <w:pPr>
        <w:pStyle w:val="ListBullet"/>
        <w:numPr>
          <w:ilvl w:val="0"/>
          <w:numId w:val="1"/>
        </w:numPr>
      </w:pPr>
      <w:r>
        <w:t xml:space="preserve">Model with every plot (mixed model): winter effect on simple compounds 0.52 (p = 0.083); the polymer-versus-simple interaction 0.10 (p = 0.37). Same size as the date-level test, larger p because the model has few dates to work with.</w:t>
      </w:r>
    </w:p>
    <w:p>
      <w:pPr>
        <w:pStyle w:val="ListBullet"/>
        <w:numPr>
          <w:ilvl w:val="0"/>
          <w:numId w:val="1"/>
        </w:numPr>
      </w:pPr>
      <w:r>
        <w:t xml:space="preserve">Sliding-window check: of the 9 possible five-month windows, the real winter window had the single largest simple-score difference. With 13 dates this check cannot go below p = 0.11.</w:t>
      </w:r>
    </w:p>
    <w:p>
      <w:pPr>
        <w:pStyle w:val="ListBullet"/>
        <w:numPr>
          <w:ilvl w:val="0"/>
          <w:numId w:val="1"/>
        </w:numPr>
      </w:pPr>
      <w:r>
        <w:t xml:space="preserve">Soil temperature and the simple score were negatively linked across dates (r = -0.71, p = 0.0064): colder dates, higher readiness. Exploratory.</w:t>
      </w:r>
    </w:p>
    <w:p>
      <w:pPr>
        <w:pStyle w:val="ListBullet"/>
        <w:numPr>
          <w:ilvl w:val="0"/>
          <w:numId w:val="1"/>
        </w:numPr>
      </w:pPr>
      <w:r>
        <w:t xml:space="preserve">Peak dates (exploratory): cellulose Jan 2024; chitin Dec 2023; chitosan Mar 2024; hemicellulose Sep 2023.</w:t>
      </w:r>
    </w:p>
    <w:p>
      <w:pPr>
        <w:pStyle w:val="Heading2"/>
      </w:pPr>
      <w:r>
        <w:t xml:space="preserve">4. Q2 checks</w:t>
      </w:r>
    </w:p>
    <w:p>
      <w:pPr>
        <w:pStyle w:val="ListBullet"/>
        <w:numPr>
          <w:ilvl w:val="0"/>
          <w:numId w:val="1"/>
        </w:numPr>
      </w:pPr>
      <w:r>
        <w:t xml:space="preserve">H2b across versions: main (per unit carbon) 11 of 19 (p = 0.65); biomass version 13 of 19 (p = 0.17); biomass version without the two low-biomass samples 12 of 19 (p = 0.36); most certain genes only 8 of 17 (p = 1).</w:t>
      </w:r>
    </w:p>
    <w:p>
      <w:pPr>
        <w:pStyle w:val="ListBullet"/>
        <w:numPr>
          <w:ilvl w:val="0"/>
          <w:numId w:val="1"/>
        </w:numPr>
      </w:pPr>
      <w:r>
        <w:t xml:space="preserve">H2c group difference across versions: main 0.31 (p = 0.09); biomass version 0.38 (p = 0.079); most certain genes only 0.23 (p = 0.17); biomass version without the two low-biomass samples 0.19 (p = 0.42).</w:t>
      </w:r>
    </w:p>
    <w:p>
      <w:pPr>
        <w:pStyle w:val="ListBullet"/>
        <w:numPr>
          <w:ilvl w:val="0"/>
          <w:numId w:val="1"/>
        </w:numPr>
      </w:pPr>
      <w:r>
        <w:t xml:space="preserve">Sample-by-sample lag models: most fits explained very little (marginal R² at most 0.11), and in 5 of 52 fits the model found no difference between dates.</w:t>
      </w:r>
    </w:p>
    <w:p>
      <w:pPr>
        <w:pStyle w:val="ListBullet"/>
        <w:numPr>
          <w:ilvl w:val="0"/>
          <w:numId w:val="1"/>
        </w:numPr>
      </w:pPr>
      <w:r>
        <w:t xml:space="preserve">Gene expression units are geTMM (length-corrected, normalized counts), added up for each gene family (KO). The script that did that adding up was not found.</w:t>
      </w:r>
    </w:p>
    <w:p>
      <w:pPr>
        <w:pStyle w:val="Heading2"/>
      </w:pPr>
      <w:r>
        <w:t xml:space="preserve">5. Gene sets</w:t>
      </w:r>
    </w:p>
    <w:p>
      <w:r>
        <w:t xml:space="preserve">Rules (approved as D8): drop low-confidence genes; drop the branched-chain amino acid transporters from leucine (shared with two other amino acids and 92% of the signal); succinic acid has no specific genes; sets that are zero in 9 or more of 35 samples are not used (lignin, chitosan). The full list with reasons is Results/plan_v1/KO_gene_sets_APPROVED.csv.</w:t>
      </w:r>
    </w:p>
    <w:p>
      <w:pPr>
        <w:pStyle w:val="Heading2"/>
      </w:pPr>
      <w:r>
        <w:t xml:space="preserve">6. Data issues</w:t>
      </w:r>
    </w:p>
    <w:p>
      <w:pPr>
        <w:pStyle w:val="ListBullet"/>
        <w:numPr>
          <w:ilvl w:val="0"/>
          <w:numId w:val="1"/>
        </w:numPr>
      </w:pPr>
      <w:r>
        <w:t xml:space="preserve">Carbon added per well (open, waiting on S. Bell): the file's per-carbon values for succinic acid, chitin, and methyl oleate do not match its own carbon column. The analysis uses the column. This does not affect z-scores, so the main Q1 and Q2 results are not affected unless chitin was weighed differently in each well.</w:t>
      </w:r>
    </w:p>
    <w:p>
      <w:pPr>
        <w:pStyle w:val="ListBullet"/>
        <w:numPr>
          <w:ilvl w:val="0"/>
          <w:numId w:val="1"/>
        </w:numPr>
      </w:pPr>
      <w:r>
        <w:t xml:space="preserve">The 24 h reading is the rate from 5 to 24 hours (confirmed from the earlier manuscript methods).</w:t>
      </w:r>
    </w:p>
    <w:p>
      <w:pPr>
        <w:pStyle w:val="ListBullet"/>
        <w:numPr>
          <w:ilvl w:val="0"/>
          <w:numId w:val="1"/>
        </w:numPr>
      </w:pPr>
      <w:r>
        <w:t xml:space="preserve">February 2024, plot 27 (SM1536) has no MicroResp measurement. Plot 57 has no gene data on any date.</w:t>
      </w:r>
    </w:p>
    <w:p>
      <w:pPr>
        <w:pStyle w:val="Heading2"/>
      </w:pPr>
      <w:r>
        <w:t xml:space="preserve">7. What changed from storyboard v4</w:t>
      </w:r>
    </w:p>
    <w:p>
      <w:pPr>
        <w:pStyle w:val="ListBullet"/>
        <w:numPr>
          <w:ilvl w:val="0"/>
          <w:numId w:val="1"/>
        </w:numPr>
      </w:pPr>
      <w:r>
        <w:t xml:space="preserve">New questions and hypotheses (VGC_Revised_Framing_Q_H.docx), set out in a locked plan before analysis.</w:t>
      </w:r>
    </w:p>
    <w:p>
      <w:pPr>
        <w:pStyle w:val="ListBullet"/>
        <w:numPr>
          <w:ilvl w:val="0"/>
          <w:numId w:val="1"/>
        </w:numPr>
      </w:pPr>
      <w:r>
        <w:t xml:space="preserve">Responses now have the water control subtracted and are grouped into 15 simple compounds and 5 polymers (v4 used all 31 compounds in a readily-available/complex split).</w:t>
      </w:r>
    </w:p>
    <w:p>
      <w:pPr>
        <w:pStyle w:val="ListBullet"/>
        <w:numPr>
          <w:ilvl w:val="0"/>
          <w:numId w:val="1"/>
        </w:numPr>
      </w:pPr>
      <w:r>
        <w:t xml:space="preserve">Q2 now uses compound-specific gene sets rather than KEGG pathway shares, and adds the time-lag test.</w:t>
      </w:r>
    </w:p>
    <w:p>
      <w:pPr>
        <w:pStyle w:val="ListBullet"/>
        <w:numPr>
          <w:ilvl w:val="0"/>
          <w:numId w:val="1"/>
        </w:numPr>
      </w:pPr>
      <w:r>
        <w:t xml:space="preserve">The main Q1 finding is the same as v4: winter soils responded more strongly, across compound types.</w:t>
      </w:r>
    </w:p>
    <w:p>
      <w:pPr>
        <w:pStyle w:val="Heading2"/>
      </w:pPr>
      <w:r>
        <w:t xml:space="preserve">8. Figure files</w:t>
      </w:r>
    </w:p>
    <w:p>
      <w:r>
        <w:t xml:space="preserve">Storyboard figure numbers differ from the plan's file names: Figure 1 = Figures/manuscript_v4/Figure1/Figure1_main; Figure 2 = Fig1_season_simple_score; Figure 3 = Fig2_simple_score_root_biomass; Figure 4 = Fig3_forest_compound_effects; Figure 5 = Fig4_H2b_quadrant; Figure 6 = Fig5_H2c_lag_advantage; Figure 7 = Fig6_example_chitin_NAG_pathway. Supplementary figures keep their plan numbers (FigS1 to FigS7 in Figures/plan_v1).</w:t>
      </w:r>
    </w:p>
    <w:p>
      <w:pPr>
        <w:pStyle w:val="Heading2"/>
      </w:pPr>
      <w:r>
        <w:t xml:space="preserve">9. Reproducing</w:t>
      </w:r>
    </w:p>
    <w:p>
      <w:r>
        <w:t xml:space="preserve">From the repository root: run Scripts/plan_v1/01 to 08 in order, then Rscript Scripts/docs/write_storyboard_v5_docx.R.</w:t>
      </w: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cs="Calibri" w:eastAsia="Calibri"/>
        <w:sz w:val="22"/>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color w:val="1F3864"/>
      <w:sz w:val="36"/>
    </w:rPr>
  </w:style>
  <w:style w:type="paragraph" w:styleId="Heading2">
    <w:name w:val="heading 2"/>
    <w:basedOn w:val="Normal"/>
    <w:next w:val="Normal"/>
    <w:qFormat/>
    <w:pPr>
      <w:keepNext/>
      <w:spacing w:before="360" w:after="80"/>
      <w:outlineLvl w:val="1"/>
    </w:pPr>
    <w:rPr>
      <w:b/>
      <w:color w:val="1F3864"/>
      <w:sz w:val="28"/>
    </w:rPr>
  </w:style>
  <w:style w:type="paragraph" w:styleId="Heading3">
    <w:name w:val="heading 3"/>
    <w:basedOn w:val="Normal"/>
    <w:next w:val="Normal"/>
    <w:qFormat/>
    <w:pPr>
      <w:keepNext/>
      <w:spacing w:before="240" w:after="80"/>
      <w:outlineLvl w:val="2"/>
    </w:pPr>
    <w:rPr>
      <w:b/>
      <w:color w:val="2F5496"/>
      <w:sz w:val="24"/>
    </w:rPr>
  </w:style>
  <w:style w:type="paragraph" w:styleId="ListBullet">
    <w:name w:val="List Bullet"/>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