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ul-q2-2026-planning-brief"/>
    <w:p>
      <w:pPr>
        <w:pStyle w:val="Heading1"/>
      </w:pPr>
      <w:r>
        <w:t xml:space="preserve">IUL Q2 2026 Planning Brief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3e75073bc9ccd35fb668255a1d92379936ee65b">
        <w:r>
          <w:rPr>
            <w:rStyle w:val="Hyperlink"/>
          </w:rPr>
          <w:t xml:space="preserve">1. State of the Funnel Entering Q2</w:t>
        </w:r>
      </w:hyperlink>
    </w:p>
    <w:p>
      <w:pPr>
        <w:pStyle w:val="Compact"/>
        <w:numPr>
          <w:ilvl w:val="0"/>
          <w:numId w:val="1001"/>
        </w:numPr>
      </w:pPr>
      <w:hyperlink w:anchor="Xe01d6a8aeae7342aecbfdceaf3452c53e38d6da">
        <w:r>
          <w:rPr>
            <w:rStyle w:val="Hyperlink"/>
          </w:rPr>
          <w:t xml:space="preserve">2. Key Metrics Summary</w:t>
        </w:r>
      </w:hyperlink>
    </w:p>
    <w:p>
      <w:pPr>
        <w:pStyle w:val="Compact"/>
        <w:numPr>
          <w:ilvl w:val="0"/>
          <w:numId w:val="1001"/>
        </w:numPr>
      </w:pPr>
      <w:hyperlink w:anchor="X72c64bf2567e0d0b90e4f2114c3c466a7e286ad">
        <w:r>
          <w:rPr>
            <w:rStyle w:val="Hyperlink"/>
          </w:rPr>
          <w:t xml:space="preserve">3. Where Users Drop</w:t>
        </w:r>
      </w:hyperlink>
    </w:p>
    <w:p>
      <w:pPr>
        <w:pStyle w:val="Compact"/>
        <w:numPr>
          <w:ilvl w:val="0"/>
          <w:numId w:val="1001"/>
        </w:numPr>
      </w:pPr>
      <w:hyperlink w:anchor="X92d82e8d9615260d476a1a99646b5f08fbe185d">
        <w:r>
          <w:rPr>
            <w:rStyle w:val="Hyperlink"/>
          </w:rPr>
          <w:t xml:space="preserve">4. Opportunity Map</w:t>
        </w:r>
      </w:hyperlink>
    </w:p>
    <w:p>
      <w:pPr>
        <w:pStyle w:val="Compact"/>
        <w:numPr>
          <w:ilvl w:val="0"/>
          <w:numId w:val="1001"/>
        </w:numPr>
      </w:pPr>
      <w:hyperlink w:anchor="X4fff5c9f5abf91fa7f01cb1bd8384d5ceae1037">
        <w:r>
          <w:rPr>
            <w:rStyle w:val="Hyperlink"/>
          </w:rPr>
          <w:t xml:space="preserve">5. Active Projects</w:t>
        </w:r>
      </w:hyperlink>
    </w:p>
    <w:p>
      <w:pPr>
        <w:pStyle w:val="Compact"/>
        <w:numPr>
          <w:ilvl w:val="0"/>
          <w:numId w:val="1001"/>
        </w:numPr>
      </w:pPr>
      <w:hyperlink w:anchor="Xc4d03559bce394ba823bbe620456e3099d18108">
        <w:r>
          <w:rPr>
            <w:rStyle w:val="Hyperlink"/>
          </w:rPr>
          <w:t xml:space="preserve">6. Open Questions</w:t>
        </w:r>
      </w:hyperlink>
    </w:p>
    <w:p>
      <w:pPr>
        <w:pStyle w:val="Compact"/>
        <w:numPr>
          <w:ilvl w:val="0"/>
          <w:numId w:val="1001"/>
        </w:numPr>
      </w:pPr>
      <w:hyperlink w:anchor="Xce6e439cb0b490082b4942fe908ae4ba7fed9ef">
        <w:r>
          <w:rPr>
            <w:rStyle w:val="Hyperlink"/>
          </w:rPr>
          <w:t xml:space="preserve">7. Analytics Questions</w:t>
        </w:r>
      </w:hyperlink>
      <w:r>
        <w:t xml:space="preserve"> </w:t>
      </w:r>
    </w:p>
    <w:p>
      <w:r>
        <w:pict>
          <v:rect style="width:0;height:1.5pt" o:hralign="center" o:hrstd="t" o:hr="t"/>
        </w:pict>
      </w:r>
    </w:p>
    <w:bookmarkEnd w:id="9"/>
    <w:bookmarkStart w:id="10" w:name="state-of-the-funnel-entering-q2"/>
    <w:p>
      <w:pPr>
        <w:pStyle w:val="Heading2"/>
      </w:pPr>
      <w:r>
        <w:t xml:space="preserve">1. State of the Funnel Entering Q2</w:t>
      </w:r>
    </w:p>
    <w:p>
      <w:pPr>
        <w:pStyle w:val="FirstParagraph"/>
      </w:pPr>
      <w:r>
        <w:rPr>
          <w:b/>
          <w:bCs/>
        </w:rPr>
        <w:t xml:space="preserve">Volume has scaled 4x in 4 months</w:t>
      </w:r>
      <w:r>
        <w:t xml:space="preserve"> </w:t>
      </w:r>
      <w:r>
        <w:t xml:space="preserve">— IUL weekly users went from ~12k (Nov 2025) to ~44k (Feb 23). Approval volume followed: ~550/week in Jan → ~800/week by Feb. Meta is the primary growth driver, scaling to 1.2x+ pROAS. Q1 cost-per-approval dropped 30%, CAGB per approval up 14%.</w:t>
      </w:r>
    </w:p>
    <w:p>
      <w:pPr>
        <w:pStyle w:val="BodyText"/>
      </w:pPr>
      <w:r>
        <w:rPr>
          <w:b/>
          <w:bCs/>
        </w:rPr>
        <w:t xml:space="preserve">The scaling is creating funnel pressure.</w:t>
      </w:r>
      <w:r>
        <w:t xml:space="preserve"> </w:t>
      </w:r>
      <w:r>
        <w:t xml:space="preserve">NAP CVR dropped from ~27% (Nov) to ~16% (late Feb) as volume grew. Lead and approval CVR followed. The Approval/Lead ratio (~55%) stayed stable — the deterioration is happening pre-NAP, not in the interview. More users are entering the funnel but fewer are getting engaged enough to submit their email.</w:t>
      </w:r>
    </w:p>
    <w:p>
      <w:pPr>
        <w:pStyle w:val="BodyText"/>
      </w:pPr>
      <w:r>
        <w:rPr>
          <w:b/>
          <w:bCs/>
        </w:rPr>
        <w:t xml:space="preserve">Post-approval is a separate problem.</w:t>
      </w:r>
      <w:r>
        <w:t xml:space="preserve"> </w:t>
      </w:r>
      <w:r>
        <w:t xml:space="preserve">Connect rate (the key IUL metric) is structurally lower than Term: BH ~38%, NBH ~31%, vs. 50–60% for Term social. Closing even the BH/NBH 7pp gap would materially compound on the growing approval base. Activation follows directly from connect rate — BH ~11% activation vs. NBH ~7%.</w:t>
      </w:r>
    </w:p>
    <w:p>
      <w:pPr>
        <w:pStyle w:val="BodyText"/>
      </w:pPr>
      <w:r>
        <w:rPr>
          <w:b/>
          <w:bCs/>
        </w:rPr>
        <w:t xml:space="preserve">IUL cannot transmit without an agent call.</w:t>
      </w:r>
      <w:r>
        <w:t xml:space="preserve"> </w:t>
      </w:r>
      <w:r>
        <w:t xml:space="preserve">There is no self-serve path. Every improvement to connect rate goes directly to revenue.</w:t>
      </w:r>
    </w:p>
    <w:p>
      <w:r>
        <w:pict>
          <v:rect style="width:0;height:1.5pt" o:hralign="center" o:hrstd="t" o:hr="t"/>
        </w:pict>
      </w:r>
    </w:p>
    <w:bookmarkEnd w:id="10"/>
    <w:bookmarkStart w:id="16" w:name="key-metrics-summary"/>
    <w:p>
      <w:pPr>
        <w:pStyle w:val="Heading2"/>
      </w:pPr>
      <w:r>
        <w:t xml:space="preserve">2. Key Metrics Summary</w:t>
      </w:r>
    </w:p>
    <w:bookmarkStart w:id="11" w:name="post-approval-jan-5-feb-23-weekly-avg"/>
    <w:p>
      <w:pPr>
        <w:pStyle w:val="Heading3"/>
      </w:pPr>
      <w:r>
        <w:t xml:space="preserve">Post-Approval (Jan 5 – Feb 23 weekly avg)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BH</w:t>
            </w:r>
          </w:p>
        </w:tc>
        <w:tc>
          <w:tcPr/>
          <w:p>
            <w:pPr>
              <w:pStyle w:val="Compact"/>
            </w:pPr>
            <w:r>
              <w:t xml:space="preserve">NBH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rate (Connected/Called)</w:t>
            </w:r>
          </w:p>
        </w:tc>
        <w:tc>
          <w:tcPr/>
          <w:p>
            <w:pPr>
              <w:pStyle w:val="Compact"/>
            </w:pPr>
            <w:r>
              <w:t xml:space="preserve">38.2%</w:t>
            </w:r>
          </w:p>
        </w:tc>
        <w:tc>
          <w:tcPr/>
          <w:p>
            <w:pPr>
              <w:pStyle w:val="Compact"/>
            </w:pPr>
            <w:r>
              <w:t xml:space="preserve">31.5%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Activated/Connected</w:t>
            </w:r>
          </w:p>
        </w:tc>
        <w:tc>
          <w:tcPr/>
          <w:p>
            <w:pPr>
              <w:pStyle w:val="Compact"/>
            </w:pPr>
            <w:r>
              <w:t xml:space="preserve">28.3%</w:t>
            </w:r>
          </w:p>
        </w:tc>
        <w:tc>
          <w:tcPr/>
          <w:p>
            <w:pPr>
              <w:pStyle w:val="Compact"/>
            </w:pPr>
            <w:r>
              <w:t xml:space="preserve">22.2%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 rate (Act/Approvals)</w:t>
            </w:r>
          </w:p>
        </w:tc>
        <w:tc>
          <w:tcPr/>
          <w:p>
            <w:pPr>
              <w:pStyle w:val="Compact"/>
            </w:pPr>
            <w:r>
              <w:t xml:space="preserve">10.9%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ARPU at activation</w:t>
            </w:r>
          </w:p>
        </w:tc>
        <w:tc>
          <w:tcPr/>
          <w:p>
            <w:pPr>
              <w:pStyle w:val="Compact"/>
            </w:pPr>
            <w:r>
              <w:t xml:space="preserve">$2,009</w:t>
            </w:r>
          </w:p>
        </w:tc>
        <w:tc>
          <w:tcPr/>
          <w:p>
            <w:pPr>
              <w:pStyle w:val="Compact"/>
            </w:pPr>
            <w:r>
              <w:t xml:space="preserve">$2,469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MR/Approval</w:t>
            </w:r>
          </w:p>
        </w:tc>
        <w:tc>
          <w:tcPr/>
          <w:p>
            <w:pPr>
              <w:pStyle w:val="Compact"/>
            </w:pPr>
            <w:r>
              <w:t xml:space="preserve">$212</w:t>
            </w:r>
          </w:p>
        </w:tc>
        <w:tc>
          <w:tcPr/>
          <w:p>
            <w:pPr>
              <w:pStyle w:val="Compact"/>
            </w:pPr>
            <w:r>
              <w:t xml:space="preserve">$164</w:t>
            </w:r>
          </w:p>
        </w:tc>
      </w:tr>
    </w:tbl>
    <w:p>
      <w:pPr>
        <w:pStyle w:val="BodyText"/>
      </w:pPr>
      <w:r>
        <w:t xml:space="preserve">NBH ARPU is paradoxically higher — NBH users who do connect buy larger policies. But MR/Approval is much lower NBH because connect rate kills the volume. ARPU advantage doesn’t offset it.</w:t>
      </w:r>
    </w:p>
    <w:bookmarkEnd w:id="11"/>
    <w:bookmarkStart w:id="12" w:name="Xe26f303f95fc0575bf6427fc06e4966c587b00e"/>
    <w:p>
      <w:pPr>
        <w:pStyle w:val="Heading3"/>
      </w:pPr>
      <w:r>
        <w:t xml:space="preserve">Full Funnel Baseline (experiment control, n=8,732)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CVR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 → Pre-interview</w:t>
            </w:r>
          </w:p>
        </w:tc>
        <w:tc>
          <w:tcPr/>
          <w:p>
            <w:pPr>
              <w:pStyle w:val="Compact"/>
            </w:pPr>
            <w:r>
              <w:t xml:space="preserve">25.8%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Pre-interview → NAP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 → Email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→ Lead</w:t>
            </w:r>
          </w:p>
        </w:tc>
        <w:tc>
          <w:tcPr/>
          <w:p>
            <w:pPr>
              <w:pStyle w:val="Compact"/>
            </w:pPr>
            <w:r>
              <w:t xml:space="preserve">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→ Approved</w:t>
            </w:r>
          </w:p>
        </w:tc>
        <w:tc>
          <w:tcPr/>
          <w:p>
            <w:pPr>
              <w:pStyle w:val="Compact"/>
            </w:pPr>
            <w:r>
              <w:t xml:space="preserve">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→ Transmitted</w:t>
            </w:r>
          </w:p>
        </w:tc>
        <w:tc>
          <w:tcPr/>
          <w:p>
            <w:pPr>
              <w:pStyle w:val="Compact"/>
            </w:pPr>
            <w:r>
              <w:t xml:space="preserve">0.40%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IUL Transmit/Approval</w:t>
            </w:r>
          </w:p>
        </w:tc>
        <w:tc>
          <w:tcPr/>
          <w:p>
            <w:pPr>
              <w:pStyle w:val="Compact"/>
            </w:pPr>
            <w:r>
              <w:t xml:space="preserve">9.3%</w:t>
            </w:r>
          </w:p>
        </w:tc>
      </w:tr>
    </w:tbl>
    <w:bookmarkEnd w:id="12"/>
    <w:bookmarkStart w:id="13" w:name="channel-quality"/>
    <w:p>
      <w:pPr>
        <w:pStyle w:val="Heading3"/>
      </w:pPr>
      <w:r>
        <w:t xml:space="preserve">Channel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% Traffic</w:t>
            </w:r>
          </w:p>
        </w:tc>
        <w:tc>
          <w:tcPr/>
          <w:p>
            <w:pPr>
              <w:pStyle w:val="Compact"/>
            </w:pPr>
            <w:r>
              <w:t xml:space="preserve">Approval CVR</w:t>
            </w:r>
          </w:p>
        </w:tc>
        <w:tc>
          <w:tcPr/>
          <w:p>
            <w:pPr>
              <w:pStyle w:val="Compact"/>
            </w:pPr>
            <w:r>
              <w:t xml:space="preserve">MR/User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$2.62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$17.84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  <w:tc>
          <w:tcPr/>
          <w:p>
            <w:pPr>
              <w:pStyle w:val="Compact"/>
            </w:pPr>
            <w:r>
              <w:t xml:space="preserve">$1.03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21.0%</w:t>
            </w:r>
          </w:p>
        </w:tc>
        <w:tc>
          <w:tcPr/>
          <w:p>
            <w:pPr>
              <w:pStyle w:val="Compact"/>
            </w:pPr>
            <w:r>
              <w:t xml:space="preserve">$37.52</w:t>
            </w:r>
          </w:p>
        </w:tc>
      </w:tr>
    </w:tbl>
    <w:p>
      <w:pPr>
        <w:pStyle w:val="BodyText"/>
      </w:pPr>
      <w:r>
        <w:t xml:space="preserve">Search converts at 3.5x Social. Affiliate is 6x Social on approval and 14x on MR/User — but only 3% of traffic. Social is 70% of volume and the weakest converter; pre-NAP improvements compound most here.</w:t>
      </w:r>
    </w:p>
    <w:bookmarkEnd w:id="13"/>
    <w:bookmarkStart w:id="14" w:name="product-comparison-avg-jan-5-feb-23"/>
    <w:p>
      <w:pPr>
        <w:pStyle w:val="Heading3"/>
      </w:pPr>
      <w:r>
        <w:t xml:space="preserve">Product Comparison (avg Jan 5 – Feb 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Approvals/wk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Act/Approval</w:t>
            </w:r>
          </w:p>
        </w:tc>
        <w:tc>
          <w:tcPr/>
          <w:p>
            <w:pPr>
              <w:pStyle w:val="Compact"/>
            </w:pPr>
            <w:r>
              <w:t xml:space="preserve">ARPU</w:t>
            </w:r>
          </w:p>
        </w:tc>
        <w:tc>
          <w:tcPr/>
          <w:p>
            <w:pPr>
              <w:pStyle w:val="Compact"/>
            </w:pPr>
            <w:r>
              <w:t xml:space="preserve">MR/Approval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IUL</w:t>
            </w:r>
          </w:p>
        </w:tc>
        <w:tc>
          <w:tcPr/>
          <w:p>
            <w:pPr>
              <w:pStyle w:val="Compact"/>
            </w:pPr>
            <w:r>
              <w:t xml:space="preserve">674</w:t>
            </w:r>
          </w:p>
        </w:tc>
        <w:tc>
          <w:tcPr/>
          <w:p>
            <w:pPr>
              <w:pStyle w:val="Compact"/>
            </w:pPr>
            <w:r>
              <w:t xml:space="preserve">27.6%</w:t>
            </w:r>
          </w:p>
        </w:tc>
        <w:tc>
          <w:tcPr/>
          <w:p>
            <w:pPr>
              <w:pStyle w:val="Compact"/>
            </w:pPr>
            <w:r>
              <w:t xml:space="preserve">9.3%</w:t>
            </w:r>
          </w:p>
        </w:tc>
        <w:tc>
          <w:tcPr/>
          <w:p>
            <w:pPr>
              <w:pStyle w:val="Compact"/>
            </w:pPr>
            <w:r>
              <w:t xml:space="preserve">$2,144</w:t>
            </w:r>
          </w:p>
        </w:tc>
        <w:tc>
          <w:tcPr/>
          <w:p>
            <w:pPr>
              <w:pStyle w:val="Compact"/>
            </w:pPr>
            <w:r>
              <w:t xml:space="preserve">$190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Prime/Choice Term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t xml:space="preserve">17.3%</w:t>
            </w:r>
          </w:p>
        </w:tc>
        <w:tc>
          <w:tcPr/>
          <w:p>
            <w:pPr>
              <w:pStyle w:val="Compact"/>
            </w:pPr>
            <w:r>
              <w:t xml:space="preserve">9.0%</w:t>
            </w:r>
          </w:p>
        </w:tc>
        <w:tc>
          <w:tcPr/>
          <w:p>
            <w:pPr>
              <w:pStyle w:val="Compact"/>
            </w:pPr>
            <w:r>
              <w:t xml:space="preserve">$3,704</w:t>
            </w:r>
          </w:p>
        </w:tc>
        <w:tc>
          <w:tcPr/>
          <w:p>
            <w:pPr>
              <w:pStyle w:val="Compact"/>
            </w:pPr>
            <w:r>
              <w:t xml:space="preserve">$323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Trustage</w:t>
            </w:r>
          </w:p>
        </w:tc>
        <w:tc>
          <w:tcPr/>
          <w:p>
            <w:pPr>
              <w:pStyle w:val="Compact"/>
            </w:pPr>
            <w:r>
              <w:t xml:space="preserve">1,344</w:t>
            </w:r>
          </w:p>
        </w:tc>
        <w:tc>
          <w:tcPr/>
          <w:p>
            <w:pPr>
              <w:pStyle w:val="Compact"/>
            </w:pPr>
            <w:r>
              <w:t xml:space="preserve">55.1%</w:t>
            </w:r>
          </w:p>
        </w:tc>
        <w:tc>
          <w:tcPr/>
          <w:p>
            <w:pPr>
              <w:pStyle w:val="Compact"/>
            </w:pPr>
            <w:r>
              <w:t xml:space="preserve">6.4%</w:t>
            </w:r>
          </w:p>
        </w:tc>
        <w:tc>
          <w:tcPr/>
          <w:p>
            <w:pPr>
              <w:pStyle w:val="Compact"/>
            </w:pPr>
            <w:r>
              <w:t xml:space="preserve">$1,137</w:t>
            </w:r>
          </w:p>
        </w:tc>
        <w:tc>
          <w:tcPr/>
          <w:p>
            <w:pPr>
              <w:pStyle w:val="Compact"/>
            </w:pPr>
            <w:r>
              <w:t xml:space="preserve">$71</w:t>
            </w:r>
          </w:p>
        </w:tc>
      </w:tr>
    </w:tbl>
    <w:p>
      <w:pPr>
        <w:pStyle w:val="BodyText"/>
      </w:pPr>
      <w:r>
        <w:t xml:space="preserve">IUL and Prime/Choice Term convert at nearly identical rates post-approval (~9%). The revenue gap is entirely ARPU-driven. Trustage is the majority of approvals but generates 37% of IUL’s MR/Approval and 22% of Prime/Choice Term’s.</w:t>
      </w:r>
    </w:p>
    <w:bookmarkEnd w:id="14"/>
    <w:bookmarkStart w:id="15" w:name="iul-intent-path-breakdown-bh-cumulative"/>
    <w:p>
      <w:pPr>
        <w:pStyle w:val="Heading3"/>
      </w:pPr>
      <w:r>
        <w:t xml:space="preserve">IUL Intent Path Breakdown (BH, cumulative)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% of Users</w:t>
            </w:r>
          </w:p>
        </w:tc>
        <w:tc>
          <w:tcPr/>
          <w:p>
            <w:pPr>
              <w:pStyle w:val="Compact"/>
            </w:pPr>
            <w:r>
              <w:t xml:space="preserve">Lead CVR</w:t>
            </w:r>
          </w:p>
        </w:tc>
        <w:tc>
          <w:tcPr/>
          <w:p>
            <w:pPr>
              <w:pStyle w:val="Compact"/>
            </w:pPr>
            <w:r>
              <w:t xml:space="preserve">NonTS Transmit/Approval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IUL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57.2%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</w:t>
            </w:r>
          </w:p>
        </w:tc>
        <w:tc>
          <w:tcPr/>
          <w:p>
            <w:pPr>
              <w:pStyle w:val="Compact"/>
            </w:pPr>
            <w:r>
              <w:t xml:space="preserve">IUL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54.4%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52.7%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</w:tr>
    </w:tbl>
    <w:p>
      <w:pPr>
        <w:pStyle w:val="BodyText"/>
      </w:pPr>
      <w:r>
        <w:t xml:space="preserve">“Both”</w:t>
      </w:r>
      <w:r>
        <w:t xml:space="preserve"> </w:t>
      </w:r>
      <w:r>
        <w:t xml:space="preserve">is the dominant IUL segment.</w:t>
      </w:r>
      <w:r>
        <w:t xml:space="preserve"> </w:t>
      </w:r>
      <w:r>
        <w:t xml:space="preserve">“Grow”</w:t>
      </w:r>
      <w:r>
        <w:t xml:space="preserve"> </w:t>
      </w:r>
      <w:r>
        <w:t xml:space="preserve">users have the highest NonTS transmit rate — likely more motivated buyers.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where-users-drop"/>
    <w:p>
      <w:pPr>
        <w:pStyle w:val="Heading2"/>
      </w:pPr>
      <w:r>
        <w:t xml:space="preserve">3. Where Users Drop</w:t>
      </w:r>
    </w:p>
    <w:p>
      <w:pPr>
        <w:pStyle w:val="FirstParagraph"/>
      </w:pPr>
      <w:r>
        <w:t xml:space="preserve">Ranked by scale of opportunity: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LP → Pre-interview: 74% drop</w:t>
      </w:r>
      <w:r>
        <w:t xml:space="preserve"> </w:t>
      </w:r>
      <w:r>
        <w:t xml:space="preserve">— The single largest loss in the funnel. Happens before NAP, before PII. Every other optimization is working on a fraction of this audience. NAP CVR is also declining week-over-week as volume scales, suggesting the incremental audience is lower intent.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NAP → Email: ~36% drop</w:t>
      </w:r>
      <w:r>
        <w:t xml:space="preserve"> </w:t>
      </w:r>
      <w:r>
        <w:t xml:space="preserve">— Almost 1 in 3 users who see the product recommendation don’t submit their email. Underexplored surface — users have intent but aren’t converting to PII.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Approved → Connected: ~62% drop (BH), ~69% drop (NBH)</w:t>
      </w:r>
      <w:r>
        <w:t xml:space="preserve"> </w:t>
      </w:r>
      <w:r>
        <w:t xml:space="preserve">— Connect rate is the post-approval choke point. Every unconnected approved user is a lost sale — IUL cannot close without a call.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Connected → Activated: ~72% drop (BH)</w:t>
      </w:r>
      <w:r>
        <w:t xml:space="preserve"> </w:t>
      </w:r>
      <w:r>
        <w:t xml:space="preserve">— Once connected, activation is ~28% BH. Sales performance and lifecycle re-engagement are levers here, but this is mostly downstream of connect.</w:t>
      </w:r>
    </w:p>
    <w:p>
      <w:r>
        <w:pict>
          <v:rect style="width:0;height:1.5pt" o:hralign="center" o:hrstd="t" o:hr="t"/>
        </w:pict>
      </w:r>
    </w:p>
    <w:bookmarkEnd w:id="17"/>
    <w:bookmarkStart w:id="25" w:name="opportunity-map"/>
    <w:p>
      <w:pPr>
        <w:pStyle w:val="Heading2"/>
      </w:pPr>
      <w:r>
        <w:t xml:space="preserve">4. Opportunity Map</w:t>
      </w:r>
    </w:p>
    <w:bookmarkStart w:id="18" w:name="opportunity-1-improve-pre-nap-cvr"/>
    <w:p>
      <w:pPr>
        <w:pStyle w:val="Heading3"/>
      </w:pPr>
      <w:r>
        <w:t xml:space="preserve">Opportunity 1: Improve pre-NAP CVR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Highest scale — 74% of LP visitors never start. Scaling is making this worse.</w:t>
      </w:r>
      <w:r>
        <w:t xml:space="preserve"> </w:t>
      </w:r>
      <w:r>
        <w:rPr>
          <w:b/>
          <w:bCs/>
        </w:rPr>
        <w:t xml:space="preserve">Levers:</w:t>
      </w:r>
    </w:p>
    <w:p>
      <w:pPr>
        <w:pStyle w:val="Compact"/>
        <w:numPr>
          <w:ilvl w:val="0"/>
          <w:numId w:val="1003"/>
        </w:numPr>
      </w:pPr>
      <w:r>
        <w:t xml:space="preserve">LP copy and creative (IUL-specific framing vs. generic</w:t>
      </w:r>
      <w:r>
        <w:t xml:space="preserve"> </w:t>
      </w:r>
      <w:r>
        <w:t xml:space="preserve">“Instant life insurance”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Intent question UX — current multi-screen routing may be creating drop before users see the product pitch</w:t>
      </w:r>
    </w:p>
    <w:p>
      <w:pPr>
        <w:pStyle w:val="Compact"/>
        <w:numPr>
          <w:ilvl w:val="0"/>
          <w:numId w:val="1003"/>
        </w:numPr>
      </w:pPr>
      <w:r>
        <w:t xml:space="preserve">Onboarding simplification — the Q1 strategy (simplification + progressive excitement) is the right frame; execution is the question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IUL vs. WL NAP CVR gap (~16–27% IUL vs. ~46–59% WL) is almost entirely pre-NAP. Approval/Lead is similar once users reach the interview. The intent questions and product framing are filtering harder than WL.</w:t>
      </w:r>
    </w:p>
    <w:bookmarkEnd w:id="18"/>
    <w:bookmarkStart w:id="19" w:name="X3956864513ff8586c2b88770ae41e22e1d317e5"/>
    <w:p>
      <w:pPr>
        <w:pStyle w:val="Heading3"/>
      </w:pPr>
      <w:r>
        <w:t xml:space="preserve">Opportunity 2: Connect rate — Sales Direct surface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Direct revenue lever. 7pp BH/NBH gap + absolute BH rate of 38% both have room to move. Growing approval base amplifies every point of improvement.</w:t>
      </w:r>
      <w:r>
        <w:t xml:space="preserve"> </w:t>
      </w:r>
      <w:r>
        <w:rPr>
          <w:b/>
          <w:bCs/>
        </w:rPr>
        <w:t xml:space="preserve">Levers:</w:t>
      </w:r>
    </w:p>
    <w:p>
      <w:pPr>
        <w:pStyle w:val="Compact"/>
        <w:numPr>
          <w:ilvl w:val="0"/>
          <w:numId w:val="1004"/>
        </w:numPr>
      </w:pPr>
      <w:r>
        <w:t xml:space="preserve">Text Bridge (active test — see Active Projects): reframe Sales Direct page to prime users for incoming text and give them scheduling agency. Addresses call aversion (H2) and timing/readiness (H4).</w:t>
      </w:r>
    </w:p>
    <w:p>
      <w:pPr>
        <w:pStyle w:val="Compact"/>
        <w:numPr>
          <w:ilvl w:val="0"/>
          <w:numId w:val="1004"/>
        </w:numPr>
      </w:pPr>
      <w:r>
        <w:t xml:space="preserve">Price anxiety (H1): users want a number before committing to a call. Addressed in a separate project.</w:t>
      </w:r>
    </w:p>
    <w:p>
      <w:pPr>
        <w:pStyle w:val="Compact"/>
        <w:numPr>
          <w:ilvl w:val="0"/>
          <w:numId w:val="1004"/>
        </w:numPr>
      </w:pPr>
      <w:r>
        <w:t xml:space="preserve">Low conviction (H3): users don’t understand IUL well enough to feel the call is worth it. Separate project.</w:t>
      </w:r>
    </w:p>
    <w:p>
      <w:pPr>
        <w:pStyle w:val="Compact"/>
        <w:numPr>
          <w:ilvl w:val="0"/>
          <w:numId w:val="1004"/>
        </w:numPr>
      </w:pPr>
      <w:r>
        <w:t xml:space="preserve">Agent humanization: IC V2 (Feb 2026) was confounded by video call mechanic — unresolved, designs available.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BH connect rate (~38%) consistently outperforms NBH (~31%). The gap drives most of the BH vs. NBH revenue difference.</w:t>
      </w:r>
    </w:p>
    <w:bookmarkEnd w:id="19"/>
    <w:bookmarkStart w:id="20" w:name="opportunity-3-nbh-connect-rate"/>
    <w:p>
      <w:pPr>
        <w:pStyle w:val="Heading3"/>
      </w:pPr>
      <w:r>
        <w:t xml:space="preserve">Opportunity 3: NBH connect rate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NBH is ~31% connect rate vs. BH 38%. Approval volume is growing fast — NBH approvals represent a large and expanding pool. Closing even half the gap would compound significantly.</w:t>
      </w:r>
      <w:r>
        <w:t xml:space="preserve"> </w:t>
      </w:r>
      <w:r>
        <w:rPr>
          <w:b/>
          <w:bCs/>
        </w:rPr>
        <w:t xml:space="preserve">Levers:</w:t>
      </w:r>
      <w:r>
        <w:t xml:space="preserve"> </w:t>
      </w:r>
      <w:r>
        <w:t xml:space="preserve">Text Bridge covers BH; NBH adaptation is the next step from BH learnings. Scheduling is especially high-value NBH (no agent available immediately).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Current test holds NBH at control. NBH-specific variant should follow BH learnings.</w:t>
      </w:r>
    </w:p>
    <w:bookmarkEnd w:id="20"/>
    <w:bookmarkStart w:id="21" w:name="X70a2b68b8bea8ab00042a68aa5f7bb4c3f5fe6e"/>
    <w:p>
      <w:pPr>
        <w:pStyle w:val="Heading3"/>
      </w:pPr>
      <w:r>
        <w:t xml:space="preserve">Opportunity 4: Self-serve checkout / post-approval experience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Q1 roadmap identified simplified self-serve checkout as a step-change for conversion. Approved users currently see Sales Direct immediately — no pricing, no growth projections, no self-serve path.</w:t>
      </w:r>
      <w:r>
        <w:t xml:space="preserve"> </w:t>
      </w:r>
      <w:r>
        <w:rPr>
          <w:b/>
          <w:bCs/>
        </w:rPr>
        <w:t xml:space="preserve">Levers:</w:t>
      </w:r>
    </w:p>
    <w:p>
      <w:pPr>
        <w:pStyle w:val="Compact"/>
        <w:numPr>
          <w:ilvl w:val="0"/>
          <w:numId w:val="1005"/>
        </w:numPr>
      </w:pPr>
      <w:r>
        <w:t xml:space="preserve">Show personalized growth projections (what they put in vs. what they get)</w:t>
      </w:r>
    </w:p>
    <w:p>
      <w:pPr>
        <w:pStyle w:val="Compact"/>
        <w:numPr>
          <w:ilvl w:val="0"/>
          <w:numId w:val="1005"/>
        </w:numPr>
      </w:pPr>
      <w:r>
        <w:t xml:space="preserve">Pre-approval framing: reframe actual approval as preliminary, drive urgency to connect for</w:t>
      </w:r>
      <w:r>
        <w:t xml:space="preserve"> </w:t>
      </w:r>
      <w:r>
        <w:t xml:space="preserve">“final numbers”</w:t>
      </w:r>
    </w:p>
    <w:p>
      <w:pPr>
        <w:pStyle w:val="Compact"/>
        <w:numPr>
          <w:ilvl w:val="0"/>
          <w:numId w:val="1005"/>
        </w:numPr>
      </w:pPr>
      <w:r>
        <w:t xml:space="preserve">Price range on page: reduce sticker shock risk by setting expectations before the call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This is Q1’s</w:t>
      </w:r>
      <w:r>
        <w:t xml:space="preserve"> </w:t>
      </w:r>
      <w:r>
        <w:t xml:space="preserve">“Simplified Checkout”</w:t>
      </w:r>
      <w:r>
        <w:t xml:space="preserve"> </w:t>
      </w:r>
      <w:r>
        <w:t xml:space="preserve">initiative — status unclear going into Q2. Biggest post-approval surface after Sales Direct.</w:t>
      </w:r>
    </w:p>
    <w:bookmarkEnd w:id="21"/>
    <w:bookmarkStart w:id="22" w:name="opportunity-5-term-iul-cross-sell"/>
    <w:p>
      <w:pPr>
        <w:pStyle w:val="Heading3"/>
      </w:pPr>
      <w:r>
        <w:t xml:space="preserve">Opportunity 5: Term → IUL cross-sell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~30% of Term Ads funnel users show mixed intent or explicit interest in permanent life. Q1 experiment showed +5% lead/approval lift from just offering both products, but transmit rate was negative.</w:t>
      </w:r>
      <w:r>
        <w:t xml:space="preserve"> </w:t>
      </w:r>
      <w:r>
        <w:rPr>
          <w:b/>
          <w:bCs/>
        </w:rPr>
        <w:t xml:space="preserve">Levers:</w:t>
      </w:r>
      <w:r>
        <w:t xml:space="preserve"> </w:t>
      </w:r>
      <w:r>
        <w:t xml:space="preserve">Post-approval experience for mixed-intent users that confidently routes to the right product. Q1 validated the hypothesis; Q2 needs the right execution.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Term funnel is much larger than IUL. Even modest IUL conversion from Term traffic would be additive.</w:t>
      </w:r>
    </w:p>
    <w:bookmarkEnd w:id="22"/>
    <w:bookmarkStart w:id="23" w:name="opportunity-6-routing-both-not-sure-iul"/>
    <w:p>
      <w:pPr>
        <w:pStyle w:val="Heading3"/>
      </w:pPr>
      <w:r>
        <w:t xml:space="preserve">Opportunity 6: Routing —</w:t>
      </w:r>
      <w:r>
        <w:t xml:space="preserve"> </w:t>
      </w:r>
      <w:r>
        <w:t xml:space="preserve">“Both + Not Sure”</w:t>
      </w:r>
      <w:r>
        <w:t xml:space="preserve"> </w:t>
      </w:r>
      <w:r>
        <w:t xml:space="preserve">→ IUL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18.8% of users (NBH dataset, n=23,851) select</w:t>
      </w:r>
      <w:r>
        <w:t xml:space="preserve"> </w:t>
      </w:r>
      <w:r>
        <w:t xml:space="preserve">“Both”</w:t>
      </w:r>
      <w:r>
        <w:t xml:space="preserve"> </w:t>
      </w:r>
      <w:r>
        <w:t xml:space="preserve">as their goal and</w:t>
      </w:r>
      <w:r>
        <w:t xml:space="preserve"> </w:t>
      </w:r>
      <w:r>
        <w:t xml:space="preserve">“Not Sure”</w:t>
      </w:r>
      <w:r>
        <w:t xml:space="preserve"> </w:t>
      </w:r>
      <w:r>
        <w:t xml:space="preserve">on coverage duration — currently routed to Term. This is a revenue-per-user bet, not a conversion fix.</w:t>
      </w:r>
      <w:r>
        <w:t xml:space="preserve"> </w:t>
      </w:r>
      <w:r>
        <w:rPr>
          <w:b/>
          <w:bCs/>
        </w:rPr>
        <w:t xml:space="preserve">The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NonTS T/A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+ Permanent</w:t>
            </w:r>
          </w:p>
        </w:tc>
        <w:tc>
          <w:tcPr/>
          <w:p>
            <w:pPr>
              <w:pStyle w:val="Compact"/>
            </w:pPr>
            <w:r>
              <w:t xml:space="preserve">IUL</w:t>
            </w:r>
          </w:p>
        </w:tc>
        <w:tc>
          <w:tcPr/>
          <w:p>
            <w:pPr>
              <w:pStyle w:val="Compact"/>
            </w:pPr>
            <w:r>
              <w:t xml:space="preserve">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+ Not Sure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+ Term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4.1%</w:t>
            </w:r>
          </w:p>
        </w:tc>
      </w:tr>
    </w:tbl>
    <w:p>
      <w:pPr>
        <w:pStyle w:val="BodyText"/>
      </w:pPr>
      <w:r>
        <w:t xml:space="preserve">“Both + Not Sure”</w:t>
      </w:r>
      <w:r>
        <w:t xml:space="preserve"> </w:t>
      </w:r>
      <w:r>
        <w:t xml:space="preserve">converts at 6.5% in Term — close to</w:t>
      </w:r>
      <w:r>
        <w:t xml:space="preserve"> </w:t>
      </w:r>
      <w:r>
        <w:t xml:space="preserve">“Protect”</w:t>
      </w:r>
      <w:r>
        <w:t xml:space="preserve"> </w:t>
      </w:r>
      <w:r>
        <w:t xml:space="preserve">(7.0%), the cleanest Term segment. Term is not failing them on conversion. The case for routing to IUL is purely economic: IUL ARPU (~$2,000+) is dramatically higher than Term ARPU. A user who transmits IUL generates more revenue than one who transmits Term, so even if IUL routing lowers T/A slightly, the revenue per approved user could be higher.</w:t>
      </w:r>
    </w:p>
    <w:p>
      <w:pPr>
        <w:pStyle w:val="BodyText"/>
      </w:pPr>
      <w:r>
        <w:rPr>
          <w:b/>
          <w:bCs/>
        </w:rPr>
        <w:t xml:space="preserve">Hypothesis:</w:t>
      </w:r>
      <w:r>
        <w:t xml:space="preserve"> </w:t>
      </w:r>
      <w:r>
        <w:t xml:space="preserve">Route</w:t>
      </w:r>
      <w:r>
        <w:t xml:space="preserve"> </w:t>
      </w:r>
      <w:r>
        <w:t xml:space="preserve">“Both + Not Sure”</w:t>
      </w:r>
      <w:r>
        <w:t xml:space="preserve"> </w:t>
      </w:r>
      <w:r>
        <w:t xml:space="preserve">→ IUL. Measure approval CVR, connect rate, and T/A vs. their current Term baseline.</w:t>
      </w:r>
    </w:p>
    <w:p>
      <w:pPr>
        <w:pStyle w:val="BodyText"/>
      </w:pPr>
      <w:r>
        <w:rPr>
          <w:b/>
          <w:bCs/>
        </w:rPr>
        <w:t xml:space="preserve">The economic case — with an important caveat:</w:t>
      </w:r>
      <w:r>
        <w:t xml:space="preserve"> </w:t>
      </w:r>
      <w:r>
        <w:t xml:space="preserve">The routing bet only holds if</w:t>
      </w:r>
      <w:r>
        <w:t xml:space="preserve"> </w:t>
      </w:r>
      <w:r>
        <w:t xml:space="preserve">“Both + Not Sure”</w:t>
      </w:r>
      <w:r>
        <w:t xml:space="preserve"> </w:t>
      </w:r>
      <w:r>
        <w:t xml:space="preserve">users in Term are being approved as</w:t>
      </w:r>
      <w:r>
        <w:t xml:space="preserve"> </w:t>
      </w:r>
      <w:r>
        <w:rPr>
          <w:b/>
          <w:bCs/>
        </w:rPr>
        <w:t xml:space="preserve">Trustage</w:t>
      </w:r>
      <w:r>
        <w:t xml:space="preserve"> </w:t>
      </w:r>
      <w:r>
        <w:t xml:space="preserve">($71 MR/approval), in which case routing to IUL ($190 MR/approval) is a 2.7x revenue upgrade. If they’re converting as</w:t>
      </w:r>
      <w:r>
        <w:t xml:space="preserve"> </w:t>
      </w:r>
      <w:r>
        <w:rPr>
          <w:b/>
          <w:bCs/>
        </w:rPr>
        <w:t xml:space="preserve">Prime/Choice Term</w:t>
      </w:r>
      <w:r>
        <w:t xml:space="preserve"> </w:t>
      </w:r>
      <w:r>
        <w:t xml:space="preserve">($323 MR/approval), routing them to IUL ($190) would be a revenue downgrade. Product approval breakdown for this segment is unknown and needs to be pulled before building a PRD.</w:t>
      </w:r>
    </w:p>
    <w:p>
      <w:pPr>
        <w:pStyle w:val="BodyText"/>
      </w:pPr>
      <w:r>
        <w:rPr>
          <w:b/>
          <w:bCs/>
        </w:rPr>
        <w:t xml:space="preserve">Product MR/Approval comparison (avg Jan 5 – Feb 23):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Act/Approval</w:t>
            </w:r>
          </w:p>
        </w:tc>
        <w:tc>
          <w:tcPr/>
          <w:p>
            <w:pPr>
              <w:pStyle w:val="Compact"/>
            </w:pPr>
            <w:r>
              <w:t xml:space="preserve">ARPU</w:t>
            </w:r>
          </w:p>
        </w:tc>
        <w:tc>
          <w:tcPr/>
          <w:p>
            <w:pPr>
              <w:pStyle w:val="Compact"/>
            </w:pPr>
            <w:r>
              <w:t xml:space="preserve">MR/Approval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Prime/Choice Term</w:t>
            </w:r>
          </w:p>
        </w:tc>
        <w:tc>
          <w:tcPr/>
          <w:p>
            <w:pPr>
              <w:pStyle w:val="Compact"/>
            </w:pPr>
            <w:r>
              <w:t xml:space="preserve">9.0%</w:t>
            </w:r>
          </w:p>
        </w:tc>
        <w:tc>
          <w:tcPr/>
          <w:p>
            <w:pPr>
              <w:pStyle w:val="Compact"/>
            </w:pPr>
            <w:r>
              <w:t xml:space="preserve">$3,704</w:t>
            </w:r>
          </w:p>
        </w:tc>
        <w:tc>
          <w:tcPr/>
          <w:p>
            <w:pPr>
              <w:pStyle w:val="Compact"/>
            </w:pPr>
            <w:r>
              <w:t xml:space="preserve">$323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IUL</w:t>
            </w:r>
          </w:p>
        </w:tc>
        <w:tc>
          <w:tcPr/>
          <w:p>
            <w:pPr>
              <w:pStyle w:val="Compact"/>
            </w:pPr>
            <w:r>
              <w:t xml:space="preserve">9.3%</w:t>
            </w:r>
          </w:p>
        </w:tc>
        <w:tc>
          <w:tcPr/>
          <w:p>
            <w:pPr>
              <w:pStyle w:val="Compact"/>
            </w:pPr>
            <w:r>
              <w:t xml:space="preserve">$2,144</w:t>
            </w:r>
          </w:p>
        </w:tc>
        <w:tc>
          <w:tcPr/>
          <w:p>
            <w:pPr>
              <w:pStyle w:val="Compact"/>
            </w:pPr>
            <w:r>
              <w:t xml:space="preserve">$190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Trustage</w:t>
            </w:r>
          </w:p>
        </w:tc>
        <w:tc>
          <w:tcPr/>
          <w:p>
            <w:pPr>
              <w:pStyle w:val="Compact"/>
            </w:pPr>
            <w:r>
              <w:t xml:space="preserve">6.4%</w:t>
            </w:r>
          </w:p>
        </w:tc>
        <w:tc>
          <w:tcPr/>
          <w:p>
            <w:pPr>
              <w:pStyle w:val="Compact"/>
            </w:pPr>
            <w:r>
              <w:t xml:space="preserve">$1,137</w:t>
            </w:r>
          </w:p>
        </w:tc>
        <w:tc>
          <w:tcPr/>
          <w:p>
            <w:pPr>
              <w:pStyle w:val="Compact"/>
            </w:pPr>
            <w:r>
              <w:t xml:space="preserve">$71</w:t>
            </w:r>
          </w:p>
        </w:tc>
      </w:tr>
    </w:tbl>
    <w:p>
      <w:pPr>
        <w:pStyle w:val="BodyText"/>
      </w:pPr>
      <w:r>
        <w:t xml:space="preserve">IUL and Prime/Choice Term have nearly identical act/approval rates — the revenue gap between them is entirely ARPU-driven. Trustage is the lowest-value product and represents 55% of all approvals.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“Not Sure”</w:t>
      </w:r>
      <w:r>
        <w:t xml:space="preserve"> </w:t>
      </w:r>
      <w:r>
        <w:t xml:space="preserve">users have lower conviction than</w:t>
      </w:r>
      <w:r>
        <w:t xml:space="preserve"> </w:t>
      </w:r>
      <w:r>
        <w:t xml:space="preserve">“Both + Permanent”</w:t>
      </w:r>
      <w:r>
        <w:t xml:space="preserve"> </w:t>
      </w:r>
      <w:r>
        <w:t xml:space="preserve">— approval CVR and connect rate may be worse in the IUL path. We’ve never sent this segment to IUL, so the counterfactual is unknown.</w:t>
      </w:r>
    </w:p>
    <w:p>
      <w:pPr>
        <w:pStyle w:val="BodyText"/>
      </w:pPr>
      <w:r>
        <w:rPr>
          <w:b/>
          <w:bCs/>
        </w:rPr>
        <w:t xml:space="preserve">Required before PRD:</w:t>
      </w:r>
      <w:r>
        <w:t xml:space="preserve"> </w:t>
      </w:r>
      <w:r>
        <w:t xml:space="preserve">Pull product approval breakdown for</w:t>
      </w:r>
      <w:r>
        <w:t xml:space="preserve"> </w:t>
      </w:r>
      <w:r>
        <w:t xml:space="preserve">“Both + Not Sure”</w:t>
      </w:r>
      <w:r>
        <w:t xml:space="preserve"> </w:t>
      </w:r>
      <w:r>
        <w:t xml:space="preserve">users currently in Term. If most are Trustage approvals, the routing bet is strong. If they’re Prime/Choice Term, the case weakens significantly.</w:t>
      </w:r>
    </w:p>
    <w:p>
      <w:pPr>
        <w:pStyle w:val="BodyText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b/>
          <w:bCs/>
        </w:rPr>
        <w:t xml:space="preserve">“Both + Term”</w:t>
      </w:r>
      <w:r>
        <w:rPr>
          <w:b/>
          <w:bCs/>
        </w:rPr>
        <w:t xml:space="preserve"> </w:t>
      </w:r>
      <w:r>
        <w:rPr>
          <w:b/>
          <w:bCs/>
        </w:rPr>
        <w:t xml:space="preserve">(4.1% T/A):</w:t>
      </w:r>
      <w:r>
        <w:t xml:space="preserve"> </w:t>
      </w:r>
      <w:r>
        <w:t xml:space="preserve">These users explicitly chose term duration and have the worst conversion of any segment — worse than clean Term intent users (</w:t>
      </w:r>
      <w:r>
        <w:t xml:space="preserve">“Protect”</w:t>
      </w:r>
      <w:r>
        <w:t xml:space="preserve"> </w:t>
      </w:r>
      <w:r>
        <w:t xml:space="preserve">7.0%). Don’t reroute; they chose Term. But they may be lifecycle/cross-sell candidates post-approval.</w:t>
      </w:r>
    </w:p>
    <w:bookmarkEnd w:id="23"/>
    <w:bookmarkStart w:id="24" w:name="opportunity-7-channel-mix"/>
    <w:p>
      <w:pPr>
        <w:pStyle w:val="Heading3"/>
      </w:pPr>
      <w:r>
        <w:t xml:space="preserve">Opportunity 7: Channel mix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Affiliate (6x Social approval, 14x MR/User) and Search (3.5x Social) are dramatically higher quality but combined only 18% of traffic. Social is 70% of volume but the lowest converter.</w:t>
      </w:r>
      <w:r>
        <w:t xml:space="preserve"> </w:t>
      </w:r>
      <w:r>
        <w:rPr>
          <w:b/>
          <w:bCs/>
        </w:rPr>
        <w:t xml:space="preserve">Levers:</w:t>
      </w:r>
      <w:r>
        <w:t xml:space="preserve"> </w:t>
      </w:r>
      <w:r>
        <w:t xml:space="preserve">Media investment shift toward higher-quality channels; better IUL-specific LP for search-intent users.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Funnel optimizations compound most on Social (most volume) but unit economics improvements are fastest on Search/Affiliate.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ctive-projects"/>
    <w:p>
      <w:pPr>
        <w:pStyle w:val="Heading2"/>
      </w:pPr>
      <w:r>
        <w:t xml:space="preserve">5. Active Projects</w:t>
      </w:r>
    </w:p>
    <w:bookmarkStart w:id="26" w:name="sales-direct-text-bridge"/>
    <w:p>
      <w:pPr>
        <w:pStyle w:val="Heading3"/>
      </w:pPr>
      <w:r>
        <w:t xml:space="preserve">Sales Direct Text Bridge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PRD v2 complete, prototype in progress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4 variants (+ control) testing copy framing and scheduling UX on Sales Direct page, BH only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Hypothesis:</w:t>
      </w:r>
      <w:r>
        <w:t xml:space="preserve"> </w:t>
      </w:r>
      <w:r>
        <w:t xml:space="preserve">Users who can opt into a scheduled call via text are more likely to answer — replaces passive</w:t>
      </w:r>
      <w:r>
        <w:t xml:space="preserve"> </w:t>
      </w:r>
      <w:r>
        <w:t xml:space="preserve">“we’ll call you”</w:t>
      </w:r>
      <w:r>
        <w:t xml:space="preserve"> </w:t>
      </w:r>
      <w:r>
        <w:t xml:space="preserve">with an explicit commitment mechanism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 metric:</w:t>
      </w:r>
      <w:r>
        <w:t xml:space="preserve"> </w:t>
      </w:r>
      <w:r>
        <w:t xml:space="preserve">Phone connect rate (BH)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See:</w:t>
      </w:r>
      <w:r>
        <w:t xml:space="preserve"> </w:t>
      </w:r>
      <w:r>
        <w:t xml:space="preserve">@docs/iul_projects/mar_2026/SalesDirectTextBridge/prd_text_bridge_v2.md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open-questions"/>
    <w:p>
      <w:pPr>
        <w:pStyle w:val="Heading2"/>
      </w:pPr>
      <w:r>
        <w:t xml:space="preserve">6.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the scheduling mechanic in the text? (link, agent-text-back, other)</w:t>
            </w:r>
          </w:p>
        </w:tc>
        <w:tc>
          <w:tcPr/>
          <w:p>
            <w:pPr>
              <w:pStyle w:val="Compact"/>
            </w:pPr>
            <w:r>
              <w:t xml:space="preserve">Blocks Text Bridge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the status of self-serve checkout?</w:t>
            </w:r>
          </w:p>
        </w:tc>
        <w:tc>
          <w:tcPr/>
          <w:p>
            <w:pPr>
              <w:pStyle w:val="Compact"/>
            </w:pPr>
            <w:r>
              <w:t xml:space="preserve">Biggest post-approval surface; Q1 said</w:t>
            </w:r>
            <w:r>
              <w:t xml:space="preserve"> </w:t>
            </w:r>
            <w:r>
              <w:t xml:space="preserve">“on the cusp of launching”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the NBH connect rate strategy after Text Bridge BH learnings?</w:t>
            </w:r>
          </w:p>
        </w:tc>
        <w:tc>
          <w:tcPr/>
          <w:p>
            <w:pPr>
              <w:pStyle w:val="Compact"/>
            </w:pPr>
            <w:r>
              <w:t xml:space="preserve">31% NBH connect is a large pool with growing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 a specific Q2 IUL ad spend and ROAS target?</w:t>
            </w:r>
          </w:p>
        </w:tc>
        <w:tc>
          <w:tcPr/>
          <w:p>
            <w:pPr>
              <w:pStyle w:val="Compact"/>
            </w:pPr>
            <w:r>
              <w:t xml:space="preserve">Sizing the pre-NAP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happened to the Term cross-sell post-approval experience from Q1?</w:t>
            </w:r>
          </w:p>
        </w:tc>
        <w:tc>
          <w:tcPr/>
          <w:p>
            <w:pPr>
              <w:pStyle w:val="Compact"/>
            </w:pPr>
            <w:r>
              <w:t xml:space="preserve">+5% lead lift validated but transmit was negative — what’s the next step?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we run a clean test of agent humanization on Sales Direct?</w:t>
            </w:r>
          </w:p>
        </w:tc>
        <w:tc>
          <w:tcPr/>
          <w:p>
            <w:pPr>
              <w:pStyle w:val="Compact"/>
            </w:pPr>
            <w:r>
              <w:t xml:space="preserve">IC V2 was confounded; unresolved hypothesis with designs 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6" w:name="analytics-questions"/>
    <w:p>
      <w:pPr>
        <w:pStyle w:val="Heading2"/>
      </w:pPr>
      <w:r>
        <w:t xml:space="preserve">7. Analytics Questions</w:t>
      </w:r>
    </w:p>
    <w:p>
      <w:pPr>
        <w:pStyle w:val="FirstParagraph"/>
      </w:pPr>
      <w:r>
        <w:t xml:space="preserve">Data pulls to prioritize with the analytics team before Q2 planning is finalized. Each question has a decision it unblocks.</w:t>
      </w:r>
    </w:p>
    <w:bookmarkStart w:id="29" w:name="Xe29afc4a565b041f1f5c923478ef86e1d175ae3"/>
    <w:p>
      <w:pPr>
        <w:pStyle w:val="Heading3"/>
      </w:pPr>
      <w:r>
        <w:t xml:space="preserve">Q1 — IUL-origin vs Term-origin Trustage performance gap</w:t>
      </w:r>
    </w:p>
    <w:p>
      <w:pPr>
        <w:pStyle w:val="FirstParagraph"/>
      </w:pPr>
      <w:r>
        <w:rPr>
          <w:b/>
          <w:bCs/>
        </w:rPr>
        <w:t xml:space="preserve">Pull:</w:t>
      </w:r>
      <w:r>
        <w:t xml:space="preserve"> </w:t>
      </w:r>
      <w:r>
        <w:t xml:space="preserve">Trustage act/approval rate, segmented by originating funnel path (IUL vs Term).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When a user doesn’t qualify for Ameritas IUL, they fall back to Trustage Term (then TAWL → GAWL). The same chain applies to Prime/Choice Term users. The current UX creates a mismatch for IUL-path users: NAP and interview frame the product as IUL (permanent, wealth-building), approval says</w:t>
      </w:r>
      <w:r>
        <w:t xml:space="preserve"> </w:t>
      </w:r>
      <w:r>
        <w:t xml:space="preserve">“you’ve been approved,”</w:t>
      </w:r>
      <w:r>
        <w:t xml:space="preserve"> </w:t>
      </w:r>
      <w:r>
        <w:t xml:space="preserve">and then package select shows Trustage Term pricing and term language with no transition. Term-path users who fall to Trustage had term expectations all along.</w:t>
      </w:r>
    </w:p>
    <w:p>
      <w:pPr>
        <w:pStyle w:val="BodyText"/>
      </w:pPr>
      <w:r>
        <w:rPr>
          <w:b/>
          <w:bCs/>
        </w:rPr>
        <w:t xml:space="preserve">Hypothesis:</w:t>
      </w:r>
      <w:r>
        <w:t xml:space="preserve"> </w:t>
      </w:r>
      <w:r>
        <w:t xml:space="preserve">IUL-origin Trustage users activate at a meaningfully lower rate than Term-origin Trustage users due to the expectation mismatch.</w:t>
      </w:r>
    </w:p>
    <w:p>
      <w:pPr>
        <w:pStyle w:val="BodyText"/>
      </w:pPr>
      <w:r>
        <w:rPr>
          <w:b/>
          <w:bCs/>
        </w:rPr>
        <w:t xml:space="preserve">Decision it unblocks:</w:t>
      </w:r>
      <w:r>
        <w:t xml:space="preserve"> </w:t>
      </w:r>
      <w:r>
        <w:t xml:space="preserve">If the gap is confirmed, fixing the IUL→Trustage transition (package select copy, framing, expectation-setting pre-approval) becomes a concrete opportunity. If no gap, the issue may be product fit rather than UX and the intervention is different.</w:t>
      </w:r>
    </w:p>
    <w:p>
      <w:r>
        <w:pict>
          <v:rect style="width:0;height:1.5pt" o:hralign="center" o:hrstd="t" o:hr="t"/>
        </w:pict>
      </w:r>
    </w:p>
    <w:bookmarkEnd w:id="29"/>
    <w:bookmarkStart w:id="30" w:name="Xa9f34b966b9dc3556c3864fb847a4f226a8ed82"/>
    <w:p>
      <w:pPr>
        <w:pStyle w:val="Heading3"/>
      </w:pPr>
      <w:r>
        <w:t xml:space="preserve">Q2 — Product approval breakdown for</w:t>
      </w:r>
      <w:r>
        <w:t xml:space="preserve"> </w:t>
      </w:r>
      <w:r>
        <w:t xml:space="preserve">“Both + Not Sure”</w:t>
      </w:r>
      <w:r>
        <w:t xml:space="preserve"> </w:t>
      </w:r>
      <w:r>
        <w:t xml:space="preserve">users in Term</w:t>
      </w:r>
    </w:p>
    <w:p>
      <w:pPr>
        <w:pStyle w:val="FirstParagraph"/>
      </w:pPr>
      <w:r>
        <w:rPr>
          <w:b/>
          <w:bCs/>
        </w:rPr>
        <w:t xml:space="preserve">Pull:</w:t>
      </w:r>
      <w:r>
        <w:t xml:space="preserve"> </w:t>
      </w:r>
      <w:r>
        <w:t xml:space="preserve">Of users who answered</w:t>
      </w:r>
      <w:r>
        <w:t xml:space="preserve"> </w:t>
      </w:r>
      <w:r>
        <w:t xml:space="preserve">“Both”</w:t>
      </w:r>
      <w:r>
        <w:t xml:space="preserve"> </w:t>
      </w:r>
      <w:r>
        <w:t xml:space="preserve">+</w:t>
      </w:r>
      <w:r>
        <w:t xml:space="preserve"> </w:t>
      </w:r>
      <w:r>
        <w:t xml:space="preserve">“Not Sure”</w:t>
      </w:r>
      <w:r>
        <w:t xml:space="preserve"> </w:t>
      </w:r>
      <w:r>
        <w:t xml:space="preserve">on coverage duration (currently routed to Term), what product did they ultimately get approved for? Break out by Trustage vs Prime/Choice Term (and further by Trustage Term / TAWL / GAWL if possible).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“Both + Not Sure”</w:t>
      </w:r>
      <w:r>
        <w:t xml:space="preserve"> </w:t>
      </w:r>
      <w:r>
        <w:t xml:space="preserve">is 18.8% of users and currently routes to Term. The case for rerouting them to IUL depends entirely on what they’re being approved as in Term. If they’re predominantly Trustage approvals ($71 MR/approval), IUL routing ($190 MR/approval) is a 2.7x revenue upgrade. If they’re predominantly Prime/Choice Term ($323 MR/approval), IUL routing is a revenue downgrade.</w:t>
      </w:r>
    </w:p>
    <w:p>
      <w:pPr>
        <w:pStyle w:val="BodyText"/>
      </w:pPr>
      <w:r>
        <w:rPr>
          <w:b/>
          <w:bCs/>
        </w:rPr>
        <w:t xml:space="preserve">Decision it unblocks:</w:t>
      </w:r>
      <w:r>
        <w:t xml:space="preserve"> </w:t>
      </w:r>
      <w:r>
        <w:t xml:space="preserve">Go/no-go on the routing experiment (Opportunity 6). Blocks PRD.</w:t>
      </w:r>
    </w:p>
    <w:p>
      <w:r>
        <w:pict>
          <v:rect style="width:0;height:1.5pt" o:hralign="center" o:hrstd="t" o:hr="t"/>
        </w:pict>
      </w:r>
    </w:p>
    <w:bookmarkEnd w:id="30"/>
    <w:bookmarkStart w:id="31" w:name="Xc35f376f6edf74b44c8ac03f16e0c33b0abd8f8"/>
    <w:p>
      <w:pPr>
        <w:pStyle w:val="Heading3"/>
      </w:pPr>
      <w:r>
        <w:t xml:space="preserve">Q3 — NAP CVR decline: channel mix shift or within-channel degradation?</w:t>
      </w:r>
    </w:p>
    <w:p>
      <w:pPr>
        <w:pStyle w:val="FirstParagraph"/>
      </w:pPr>
      <w:r>
        <w:rPr>
          <w:b/>
          <w:bCs/>
        </w:rPr>
        <w:t xml:space="preserve">Pull:</w:t>
      </w:r>
      <w:r>
        <w:t xml:space="preserve"> </w:t>
      </w:r>
      <w:r>
        <w:t xml:space="preserve">NAP CVR by channel, week over week from Nov 2025 to Feb 2026.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IUL NAP CVR dropped from ~27% (Nov) to ~16% (late Feb) as volume scaled ~4x. Two possible causes: (a) channel mix shifted toward lower-converting channels (more Social, less Search/Affiliate), or (b) within-channel NAP CVR is genuinely declining — the incremental Social audience is lower intent.</w:t>
      </w:r>
    </w:p>
    <w:p>
      <w:pPr>
        <w:pStyle w:val="BodyText"/>
      </w:pPr>
      <w:r>
        <w:rPr>
          <w:b/>
          <w:bCs/>
        </w:rPr>
        <w:t xml:space="preserve">Decision it unblocks:</w:t>
      </w:r>
      <w:r>
        <w:t xml:space="preserve"> </w:t>
      </w:r>
      <w:r>
        <w:t xml:space="preserve">If the decline is channel mix, the fix is media allocation. If it’s within-channel degradation, the fix is product/funnel (LP copy, intent question UX, onboarding). Different problems, different roadmaps.</w:t>
      </w:r>
    </w:p>
    <w:p>
      <w:r>
        <w:pict>
          <v:rect style="width:0;height:1.5pt" o:hralign="center" o:hrstd="t" o:hr="t"/>
        </w:pict>
      </w:r>
    </w:p>
    <w:bookmarkEnd w:id="31"/>
    <w:bookmarkStart w:id="32" w:name="X0da600301b48424df83c1a3c3073d4fee3e31f8"/>
    <w:p>
      <w:pPr>
        <w:pStyle w:val="Heading3"/>
      </w:pPr>
      <w:r>
        <w:t xml:space="preserve">Q4 — BH coverage duration breakdown (equivalent of NBH routing data)</w:t>
      </w:r>
    </w:p>
    <w:p>
      <w:pPr>
        <w:pStyle w:val="FirstParagraph"/>
      </w:pPr>
      <w:r>
        <w:rPr>
          <w:b/>
          <w:bCs/>
        </w:rPr>
        <w:t xml:space="preserve">Pull:</w:t>
      </w:r>
      <w:r>
        <w:t xml:space="preserve"> </w:t>
      </w:r>
      <w:r>
        <w:t xml:space="preserve">BH funnel breakdown by goals × coverage duration answer × routing, matching the NBH dataset structure.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We have the NBH routing breakdown (n=23,851) showing</w:t>
      </w:r>
      <w:r>
        <w:t xml:space="preserve"> </w:t>
      </w:r>
      <w:r>
        <w:t xml:space="preserve">“Both + Not Sure”</w:t>
      </w:r>
      <w:r>
        <w:t xml:space="preserve"> </w:t>
      </w:r>
      <w:r>
        <w:t xml:space="preserve">= 18.8%,</w:t>
      </w:r>
      <w:r>
        <w:t xml:space="preserve"> </w:t>
      </w:r>
      <w:r>
        <w:t xml:space="preserve">“Both + Permanent”</w:t>
      </w:r>
      <w:r>
        <w:t xml:space="preserve"> </w:t>
      </w:r>
      <w:r>
        <w:t xml:space="preserve">= 29.1%,</w:t>
      </w:r>
      <w:r>
        <w:t xml:space="preserve"> </w:t>
      </w:r>
      <w:r>
        <w:t xml:space="preserve">“Both + Term”</w:t>
      </w:r>
      <w:r>
        <w:t xml:space="preserve"> </w:t>
      </w:r>
      <w:r>
        <w:t xml:space="preserve">= 16.8%. BH funnel data only shows by goals (Both/Grow/Protect) without the duration answer. Since intent questions don’t vary by time of day, NBH is a reasonable proxy — but confirming BH volumes and conversion rates would strengthen any routing PRD.</w:t>
      </w:r>
    </w:p>
    <w:p>
      <w:pPr>
        <w:pStyle w:val="BodyText"/>
      </w:pPr>
      <w:r>
        <w:rPr>
          <w:b/>
          <w:bCs/>
        </w:rPr>
        <w:t xml:space="preserve">Decision it unblocks:</w:t>
      </w:r>
      <w:r>
        <w:t xml:space="preserve"> </w:t>
      </w:r>
      <w:r>
        <w:t xml:space="preserve">Validates NBH routing findings apply to BH. Strengthens or weakens the Opportunity 6 routing case.</w:t>
      </w:r>
    </w:p>
    <w:p>
      <w:r>
        <w:pict>
          <v:rect style="width:0;height:1.5pt" o:hralign="center" o:hrstd="t" o:hr="t"/>
        </w:pict>
      </w:r>
    </w:p>
    <w:bookmarkEnd w:id="32"/>
    <w:bookmarkStart w:id="33" w:name="q5-iul-fallback-rate-to-trustage"/>
    <w:p>
      <w:pPr>
        <w:pStyle w:val="Heading3"/>
      </w:pPr>
      <w:r>
        <w:t xml:space="preserve">Q5 — IUL fallback rate to Trustage</w:t>
      </w:r>
    </w:p>
    <w:p>
      <w:pPr>
        <w:pStyle w:val="FirstParagraph"/>
      </w:pPr>
      <w:r>
        <w:rPr>
          <w:b/>
          <w:bCs/>
        </w:rPr>
        <w:t xml:space="preserve">Pull:</w:t>
      </w:r>
      <w:r>
        <w:t xml:space="preserve"> </w:t>
      </w:r>
      <w:r>
        <w:t xml:space="preserve">Of users approved through the IUL path, what % were approved as Ameritas IUL vs Trustage Term vs TAWL vs GAWL?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We know Trustage is 55% of all approvals across both paths, but we don’t know how much of that volume originates from the IUL funnel specifically. The IUL→Trustage transition is a known UX problem (Opportunity 6 / Q1), but the scale is unknown. If the majority of IUL-path approvals fall to Trustage, it’s one of the largest post-approval issues we have. If it’s a minority, it’s a meaningful but bounded problem.</w:t>
      </w:r>
    </w:p>
    <w:p>
      <w:pPr>
        <w:pStyle w:val="BodyText"/>
      </w:pPr>
      <w:r>
        <w:rPr>
          <w:b/>
          <w:bCs/>
        </w:rPr>
        <w:t xml:space="preserve">Decision it unblocks:</w:t>
      </w:r>
      <w:r>
        <w:t xml:space="preserve"> </w:t>
      </w:r>
      <w:r>
        <w:t xml:space="preserve">Sizes the IUL→Trustage transition opportunity. Determines whether fixing the handoff belongs in the top tier of Q2 priorities or is secondary to connect rate and pre-NAP work.</w:t>
      </w:r>
    </w:p>
    <w:p>
      <w:r>
        <w:pict>
          <v:rect style="width:0;height:1.5pt" o:hralign="center" o:hrstd="t" o:hr="t"/>
        </w:pict>
      </w:r>
    </w:p>
    <w:bookmarkEnd w:id="33"/>
    <w:bookmarkStart w:id="34" w:name="q6-pre-interview-screen-level-drop"/>
    <w:p>
      <w:pPr>
        <w:pStyle w:val="Heading3"/>
      </w:pPr>
      <w:r>
        <w:t xml:space="preserve">Q6 — Pre-interview screen-level drop</w:t>
      </w:r>
    </w:p>
    <w:p>
      <w:pPr>
        <w:pStyle w:val="FirstParagraph"/>
      </w:pPr>
      <w:r>
        <w:rPr>
          <w:b/>
          <w:bCs/>
        </w:rPr>
        <w:t xml:space="preserve">Pull:</w:t>
      </w:r>
      <w:r>
        <w:t xml:space="preserve"> </w:t>
      </w:r>
      <w:r>
        <w:t xml:space="preserve">Funnel drop rates at each screen within the pre-interview — goals screen, each intent question (coverage duration, dependents, expenses, wealth use), and the Step 1 intro — through to NAP.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We know 74% of LP visitors never reach NAP, but the drop is attributed to the entire pre-interview as a block. We don’t know whether users are abandoning at the goals screen (before answering anything), at the coverage duration question (the routing fork), or further in. Each has a different fix: if it’s the goals screen, the problem is the proposition before any questions are answered; if it’s the duration question, the framing of that specific question may be causing drop — which also connects directly to the routing discussion.</w:t>
      </w:r>
    </w:p>
    <w:p>
      <w:pPr>
        <w:pStyle w:val="BodyText"/>
      </w:pPr>
      <w:r>
        <w:rPr>
          <w:b/>
          <w:bCs/>
        </w:rPr>
        <w:t xml:space="preserve">Decision it unblocks:</w:t>
      </w:r>
      <w:r>
        <w:t xml:space="preserve"> </w:t>
      </w:r>
      <w:r>
        <w:t xml:space="preserve">Determines where to focus Opportunity 1 (pre-NAP CVR). Different screen-level drop points lead to entirely different interventions.</w:t>
      </w:r>
    </w:p>
    <w:p>
      <w:r>
        <w:pict>
          <v:rect style="width:0;height:1.5pt" o:hralign="center" o:hrstd="t" o:hr="t"/>
        </w:pict>
      </w:r>
    </w:p>
    <w:bookmarkEnd w:id="34"/>
    <w:bookmarkStart w:id="35" w:name="X2f1ad9eaf4493c0c83095e56fba53b4da5781fb"/>
    <w:p>
      <w:pPr>
        <w:pStyle w:val="Heading3"/>
      </w:pPr>
      <w:r>
        <w:t xml:space="preserve">Q7 — NAP → email drop rate by product (IUL NAP vs Term NAP)</w:t>
      </w:r>
    </w:p>
    <w:p>
      <w:pPr>
        <w:pStyle w:val="FirstParagraph"/>
      </w:pPr>
      <w:r>
        <w:rPr>
          <w:b/>
          <w:bCs/>
        </w:rPr>
        <w:t xml:space="preserve">Pull:</w:t>
      </w:r>
      <w:r>
        <w:t xml:space="preserve"> </w:t>
      </w:r>
      <w:r>
        <w:t xml:space="preserve">NAP → email submission CVR, broken out by product shown on the NAP screen (IUL NAP vs Term NAP).</w:t>
      </w:r>
    </w:p>
    <w:p>
      <w:pPr>
        <w:pStyle w:val="BodyText"/>
      </w:pPr>
      <w:r>
        <w:rPr>
          <w:b/>
          <w:bCs/>
        </w:rPr>
        <w:t xml:space="preserve">Background:</w:t>
      </w:r>
      <w:r>
        <w:t xml:space="preserve"> </w:t>
      </w:r>
      <w:r>
        <w:t xml:space="preserve">~36% of users who reach NAP don’t submit their email — an underexplored drop. We don’t know if that’s split evenly between IUL and Term NAPs. Given WL NAP CVR is 46–59% vs IUL’s 16–27%, it’s likely the IUL NAP is driving most of the drop. If confirmed, the IUL product recommendation screen itself is the problem — not just the pre-NAP funnel — and the intervention is the NAP design and copy, not upstream intent questions.</w:t>
      </w:r>
    </w:p>
    <w:p>
      <w:pPr>
        <w:pStyle w:val="BodyText"/>
      </w:pPr>
      <w:r>
        <w:rPr>
          <w:b/>
          <w:bCs/>
        </w:rPr>
        <w:t xml:space="preserve">Decision it unblocks:</w:t>
      </w:r>
      <w:r>
        <w:t xml:space="preserve"> </w:t>
      </w:r>
      <w:r>
        <w:t xml:space="preserve">Determines whether the 36% NAP→email drop is an IUL-specific problem or a shared one. If IUL-specific, it becomes its own optimization surface separate from the broader pre-NAP CVR work.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hAnsi="Arial"/>
      <w:b w:val="0"/>
      <w:i w:val="0"/>
      <w:color w:val="000000"/>
      <w:sz w:val="40"/>
      <w:szCs w:val="40"/>
      <w:u w:val="none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hAnsi="Arial"/>
      <w:b w:val="0"/>
      <w:i w:val="0"/>
      <w:color w:val="000000"/>
      <w:sz w:val="32"/>
      <w:szCs w:val="32"/>
      <w:u w:val="none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hAnsi="Arial"/>
      <w:b w:val="0"/>
      <w:i w:val="0"/>
      <w:color w:val="000000"/>
      <w:sz w:val="28"/>
      <w:szCs w:val="28"/>
      <w:u w:val="non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hAnsi="Arial"/>
      <w:b w:val="0"/>
      <w:i w:val="0"/>
      <w:color w:val="000000"/>
      <w:sz w:val="24"/>
      <w:u w:val="none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category>planning</cp:category>
  <cp:keywords/>
  <dcterms:created xsi:type="dcterms:W3CDTF">2026-03-09T18:50:41Z</dcterms:created>
  <dcterms:modified xsi:type="dcterms:W3CDTF">2026-03-09T18:50:41Z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_updated">
    <vt:lpwstr>2026-03-09</vt:lpwstr>
  </property>
</Properties>
</file>