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kills-overview"/>
    <w:p>
      <w:pPr>
        <w:pStyle w:val="Heading1"/>
      </w:pPr>
      <w:r>
        <w:t xml:space="preserve">Skills Overview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5f41c09df1b487143d5ece30bbdde9a4076774">
        <w:r>
          <w:rPr>
            <w:rStyle w:val="Hyperlink"/>
          </w:rPr>
          <w:t xml:space="preserve">1. PRD Pipeline</w:t>
        </w:r>
      </w:hyperlink>
    </w:p>
    <w:p>
      <w:pPr>
        <w:pStyle w:val="Compact"/>
        <w:numPr>
          <w:ilvl w:val="1"/>
          <w:numId w:val="1002"/>
        </w:numPr>
      </w:pPr>
      <w:hyperlink w:anchor="X7d3e9c25d9137028d4afd04a8be85999a55ad95">
        <w:r>
          <w:rPr>
            <w:rStyle w:val="Hyperlink"/>
          </w:rPr>
          <w:t xml:space="preserve">1.1 /prd-gather-context</w:t>
        </w:r>
      </w:hyperlink>
    </w:p>
    <w:p>
      <w:pPr>
        <w:pStyle w:val="Compact"/>
        <w:numPr>
          <w:ilvl w:val="1"/>
          <w:numId w:val="1002"/>
        </w:numPr>
      </w:pPr>
      <w:hyperlink w:anchor="X119f1b381f6c45f80a5bc690fa6c24da5405eaf">
        <w:r>
          <w:rPr>
            <w:rStyle w:val="Hyperlink"/>
          </w:rPr>
          <w:t xml:space="preserve">1.2 /prd-generate</w:t>
        </w:r>
      </w:hyperlink>
    </w:p>
    <w:p>
      <w:pPr>
        <w:pStyle w:val="Compact"/>
        <w:numPr>
          <w:ilvl w:val="1"/>
          <w:numId w:val="1002"/>
        </w:numPr>
      </w:pPr>
      <w:hyperlink w:anchor="X5002ffb5f0cb2a5e0080d43b3553ff504c84995">
        <w:r>
          <w:rPr>
            <w:rStyle w:val="Hyperlink"/>
          </w:rPr>
          <w:t xml:space="preserve">1.3 /prd-review</w:t>
        </w:r>
      </w:hyperlink>
    </w:p>
    <w:p>
      <w:pPr>
        <w:pStyle w:val="Compact"/>
        <w:numPr>
          <w:ilvl w:val="1"/>
          <w:numId w:val="1002"/>
        </w:numPr>
      </w:pPr>
      <w:hyperlink w:anchor="X85298849ce81884fdce23adbcf2acd02ec6b870">
        <w:r>
          <w:rPr>
            <w:rStyle w:val="Hyperlink"/>
          </w:rPr>
          <w:t xml:space="preserve">1.4 /md-to-docx</w:t>
        </w:r>
      </w:hyperlink>
    </w:p>
    <w:p>
      <w:pPr>
        <w:pStyle w:val="Compact"/>
        <w:numPr>
          <w:ilvl w:val="0"/>
          <w:numId w:val="1001"/>
        </w:numPr>
      </w:pPr>
      <w:hyperlink w:anchor="X2eba706413d8fd49ff5cd3b079cfcc349c26fd2">
        <w:r>
          <w:rPr>
            <w:rStyle w:val="Hyperlink"/>
          </w:rPr>
          <w:t xml:space="preserve">2. Prototype Pipeline</w:t>
        </w:r>
      </w:hyperlink>
    </w:p>
    <w:p>
      <w:pPr>
        <w:pStyle w:val="Compact"/>
        <w:numPr>
          <w:ilvl w:val="1"/>
          <w:numId w:val="1003"/>
        </w:numPr>
      </w:pPr>
      <w:hyperlink w:anchor="X2b37e9c562362b4a933c9a0444f713778be8805">
        <w:r>
          <w:rPr>
            <w:rStyle w:val="Hyperlink"/>
          </w:rPr>
          <w:t xml:space="preserve">2.1 /create-prototype</w:t>
        </w:r>
      </w:hyperlink>
    </w:p>
    <w:p>
      <w:pPr>
        <w:pStyle w:val="Compact"/>
        <w:numPr>
          <w:ilvl w:val="1"/>
          <w:numId w:val="1003"/>
        </w:numPr>
      </w:pPr>
      <w:hyperlink w:anchor="X74e07c887c19983b200393abbd8db52dd455843">
        <w:r>
          <w:rPr>
            <w:rStyle w:val="Hyperlink"/>
          </w:rPr>
          <w:t xml:space="preserve">2.2 /frontend-design</w:t>
        </w:r>
      </w:hyperlink>
    </w:p>
    <w:p>
      <w:pPr>
        <w:pStyle w:val="Compact"/>
        <w:numPr>
          <w:ilvl w:val="0"/>
          <w:numId w:val="1001"/>
        </w:numPr>
      </w:pPr>
      <w:hyperlink w:anchor="Xe302a93a194d26d38aaa1c545a7e3f1ac9a28f4">
        <w:r>
          <w:rPr>
            <w:rStyle w:val="Hyperlink"/>
          </w:rPr>
          <w:t xml:space="preserve">3. Browser Tools</w:t>
        </w:r>
      </w:hyperlink>
    </w:p>
    <w:p>
      <w:pPr>
        <w:pStyle w:val="Compact"/>
        <w:numPr>
          <w:ilvl w:val="1"/>
          <w:numId w:val="1004"/>
        </w:numPr>
      </w:pPr>
      <w:hyperlink w:anchor="Xf772c79b09601ed47fa21228fd3dcee2f9536c5">
        <w:r>
          <w:rPr>
            <w:rStyle w:val="Hyperlink"/>
          </w:rPr>
          <w:t xml:space="preserve">3.1 /agent-browser</w:t>
        </w:r>
      </w:hyperlink>
    </w:p>
    <w:p>
      <w:pPr>
        <w:pStyle w:val="Compact"/>
        <w:numPr>
          <w:ilvl w:val="1"/>
          <w:numId w:val="1004"/>
        </w:numPr>
      </w:pPr>
      <w:hyperlink w:anchor="X25908b7583f9936298d37cb844dd57c4f692917">
        <w:r>
          <w:rPr>
            <w:rStyle w:val="Hyperlink"/>
          </w:rPr>
          <w:t xml:space="preserve">3.2 /chrome-devtools</w:t>
        </w:r>
      </w:hyperlink>
    </w:p>
    <w:p>
      <w:pPr>
        <w:pStyle w:val="Compact"/>
        <w:numPr>
          <w:ilvl w:val="0"/>
          <w:numId w:val="1001"/>
        </w:numPr>
      </w:pPr>
      <w:hyperlink w:anchor="X2b62184e5470af0c06aae0b7c75b066c7e88c51">
        <w:r>
          <w:rPr>
            <w:rStyle w:val="Hyperlink"/>
          </w:rPr>
          <w:t xml:space="preserve">4. Design Integration</w:t>
        </w:r>
      </w:hyperlink>
    </w:p>
    <w:p>
      <w:pPr>
        <w:pStyle w:val="Compact"/>
        <w:numPr>
          <w:ilvl w:val="1"/>
          <w:numId w:val="1005"/>
        </w:numPr>
      </w:pPr>
      <w:hyperlink w:anchor="Xc3b9d40b845b680493f1df0a4dc6a2abe50be25">
        <w:r>
          <w:rPr>
            <w:rStyle w:val="Hyperlink"/>
          </w:rPr>
          <w:t xml:space="preserve">4.1 /figma-access</w:t>
        </w:r>
      </w:hyperlink>
    </w:p>
    <w:p>
      <w:pPr>
        <w:pStyle w:val="Compact"/>
        <w:numPr>
          <w:ilvl w:val="0"/>
          <w:numId w:val="1001"/>
        </w:numPr>
      </w:pPr>
      <w:hyperlink w:anchor="X663073ad5b5f87faf8374bdc8d1be2d1d5f32a6">
        <w:r>
          <w:rPr>
            <w:rStyle w:val="Hyperlink"/>
          </w:rPr>
          <w:t xml:space="preserve">5. Project Management</w:t>
        </w:r>
      </w:hyperlink>
    </w:p>
    <w:p>
      <w:pPr>
        <w:pStyle w:val="Compact"/>
        <w:numPr>
          <w:ilvl w:val="1"/>
          <w:numId w:val="1006"/>
        </w:numPr>
      </w:pPr>
      <w:hyperlink w:anchor="Xb2cac578cb56c1ffaac31e068c6f3aafd8adac8">
        <w:r>
          <w:rPr>
            <w:rStyle w:val="Hyperlink"/>
          </w:rPr>
          <w:t xml:space="preserve">5.1 /jira-access</w:t>
        </w:r>
      </w:hyperlink>
    </w:p>
    <w:p>
      <w:pPr>
        <w:pStyle w:val="Compact"/>
        <w:numPr>
          <w:ilvl w:val="0"/>
          <w:numId w:val="1001"/>
        </w:numPr>
      </w:pPr>
      <w:hyperlink w:anchor="X5780d607c0eac9dbf26ca95102ba1ebc2d20028">
        <w:r>
          <w:rPr>
            <w:rStyle w:val="Hyperlink"/>
          </w:rPr>
          <w:t xml:space="preserve">6. Document Workflows</w:t>
        </w:r>
      </w:hyperlink>
    </w:p>
    <w:p>
      <w:pPr>
        <w:pStyle w:val="Compact"/>
        <w:numPr>
          <w:ilvl w:val="1"/>
          <w:numId w:val="1007"/>
        </w:numPr>
      </w:pPr>
      <w:hyperlink w:anchor="X15ee258a0e3d5f0c9e57370d4dc93e97101c919">
        <w:r>
          <w:rPr>
            <w:rStyle w:val="Hyperlink"/>
          </w:rPr>
          <w:t xml:space="preserve">6.1 /gws-workspace</w:t>
        </w:r>
      </w:hyperlink>
    </w:p>
    <w:p>
      <w:pPr>
        <w:pStyle w:val="Compact"/>
        <w:numPr>
          <w:ilvl w:val="1"/>
          <w:numId w:val="1007"/>
        </w:numPr>
      </w:pPr>
      <w:hyperlink w:anchor="Xce7db4a325f536275c805969564d0eaf5ec642f">
        <w:r>
          <w:rPr>
            <w:rStyle w:val="Hyperlink"/>
          </w:rPr>
          <w:t xml:space="preserve">6.2 /md-to-gdoc</w:t>
        </w:r>
      </w:hyperlink>
    </w:p>
    <w:p>
      <w:pPr>
        <w:pStyle w:val="Compact"/>
        <w:numPr>
          <w:ilvl w:val="0"/>
          <w:numId w:val="1001"/>
        </w:numPr>
      </w:pPr>
      <w:hyperlink w:anchor="X93cf1ff3e14babc4ba56e2dceacb0bb289085cc">
        <w:r>
          <w:rPr>
            <w:rStyle w:val="Hyperlink"/>
          </w:rPr>
          <w:t xml:space="preserve">7. Second Opinions</w:t>
        </w:r>
      </w:hyperlink>
    </w:p>
    <w:p>
      <w:pPr>
        <w:pStyle w:val="Compact"/>
        <w:numPr>
          <w:ilvl w:val="0"/>
          <w:numId w:val="1001"/>
        </w:numPr>
      </w:pPr>
      <w:hyperlink w:anchor="X95afa402cc2d3224ff1704107f134949c8fc246">
        <w:r>
          <w:rPr>
            <w:rStyle w:val="Hyperlink"/>
          </w:rPr>
          <w:t xml:space="preserve">8. Skill Quick Reference</w:t>
        </w:r>
      </w:hyperlink>
      <w:r>
        <w:t xml:space="preserve"> </w:t>
      </w:r>
    </w:p>
    <w:p>
      <w:r>
        <w:pict>
          <v:rect style="width:0;height:1.5pt" o:hralign="center" o:hrstd="t" o:hr="t"/>
        </w:pict>
      </w:r>
    </w:p>
    <w:bookmarkEnd w:id="9"/>
    <w:bookmarkStart w:id="14" w:name="prd-pipeline"/>
    <w:p>
      <w:pPr>
        <w:pStyle w:val="Heading2"/>
      </w:pPr>
      <w:r>
        <w:t xml:space="preserve">1. PRD Pipeline</w:t>
      </w:r>
    </w:p>
    <w:p>
      <w:pPr>
        <w:pStyle w:val="FirstParagraph"/>
      </w:pPr>
      <w:r>
        <w:t xml:space="preserve">Four skills that take a raw hypothesis to a shareable, reviewed, exported document.</w:t>
      </w:r>
    </w:p>
    <w:bookmarkStart w:id="10" w:name="prd-gather-context"/>
    <w:p>
      <w:pPr>
        <w:pStyle w:val="Heading3"/>
      </w:pPr>
      <w:r>
        <w:t xml:space="preserve">1.1 /prd-gather-context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A structured 7-phase thinking session that moves from a vague problem to a ranked list of hypotheses with mechanisms, constraints, and success metrics. Output is a</w:t>
      </w:r>
      <w:r>
        <w:t xml:space="preserve"> </w:t>
      </w:r>
      <w:r>
        <w:rPr>
          <w:rStyle w:val="VerbatimChar"/>
        </w:rPr>
        <w:t xml:space="preserve">context_[name].md</w:t>
      </w:r>
      <w:r>
        <w:t xml:space="preserve"> </w:t>
      </w:r>
      <w:r>
        <w:t xml:space="preserve">file that feeds directly into</w:t>
      </w:r>
      <w:r>
        <w:t xml:space="preserve"> </w:t>
      </w:r>
      <w:r>
        <w:rPr>
          <w:rStyle w:val="VerbatimChar"/>
        </w:rPr>
        <w:t xml:space="preserve">/prd-generate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A problem statement or idea — even a rough one.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context_[name].md</w:t>
      </w:r>
      <w:r>
        <w:t xml:space="preserve"> </w:t>
      </w:r>
      <w:r>
        <w:t xml:space="preserve">with problem statement, ranked hypotheses (1–10 conviction scores), constraints, and success metrics.</w:t>
      </w:r>
    </w:p>
    <w:p>
      <w:pPr>
        <w:pStyle w:val="BodyText"/>
      </w:pPr>
      <w:r>
        <w:rPr>
          <w:b/>
          <w:bCs/>
        </w:rPr>
        <w:t xml:space="preserve">Key behaviors:</w:t>
      </w:r>
    </w:p>
    <w:p>
      <w:pPr>
        <w:pStyle w:val="Compact"/>
        <w:numPr>
          <w:ilvl w:val="0"/>
          <w:numId w:val="1008"/>
        </w:numPr>
      </w:pPr>
      <w:r>
        <w:t xml:space="preserve">Pushes back on vague framing (</w:t>
      </w:r>
      <w:r>
        <w:t xml:space="preserve">“what do you mean by low-intent?”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Proposes 2–3 treatments per user hesitation — doesn’t prescribe</w:t>
      </w:r>
    </w:p>
    <w:p>
      <w:pPr>
        <w:pStyle w:val="Compact"/>
        <w:numPr>
          <w:ilvl w:val="0"/>
          <w:numId w:val="1008"/>
        </w:numPr>
      </w:pPr>
      <w:r>
        <w:t xml:space="preserve">References precedent without copying it</w:t>
      </w:r>
    </w:p>
    <w:p>
      <w:pPr>
        <w:pStyle w:val="Compact"/>
        <w:numPr>
          <w:ilvl w:val="0"/>
          <w:numId w:val="1008"/>
        </w:numPr>
      </w:pPr>
      <w:r>
        <w:t xml:space="preserve">Doesn’t move to Phase 2 until Phase 1 is solid</w:t>
      </w:r>
    </w:p>
    <w:p>
      <w:pPr>
        <w:pStyle w:val="FirstParagraph"/>
      </w:pPr>
      <w:r>
        <w:rPr>
          <w:b/>
          <w:bCs/>
        </w:rPr>
        <w:t xml:space="preserve">Invoke when:</w:t>
      </w:r>
      <w:r>
        <w:t xml:space="preserve"> </w:t>
      </w:r>
      <w:r>
        <w:t xml:space="preserve">Starting any new test, feature, or optimization. Use before</w:t>
      </w:r>
      <w:r>
        <w:t xml:space="preserve"> </w:t>
      </w:r>
      <w:r>
        <w:rPr>
          <w:rStyle w:val="VerbatimChar"/>
        </w:rPr>
        <w:t xml:space="preserve">/prd-generate</w:t>
      </w:r>
      <w:r>
        <w:t xml:space="preserve"> </w:t>
      </w:r>
      <w:r>
        <w:t xml:space="preserve">unless you already have a clear context doc.</w:t>
      </w:r>
    </w:p>
    <w:p>
      <w:r>
        <w:pict>
          <v:rect style="width:0;height:1.5pt" o:hralign="center" o:hrstd="t" o:hr="t"/>
        </w:pict>
      </w:r>
    </w:p>
    <w:bookmarkEnd w:id="10"/>
    <w:bookmarkStart w:id="11" w:name="prd-generate"/>
    <w:p>
      <w:pPr>
        <w:pStyle w:val="Heading3"/>
      </w:pPr>
      <w:r>
        <w:t xml:space="preserve">1.2 /prd-generate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Converts a context doc into a complete, hypothesis-driven PRD. Collaboratively defines test dimension and variants before writing anything — preventing cosmetically different variants that test the same thing.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A context doc from</w:t>
      </w:r>
      <w:r>
        <w:t xml:space="preserve"> </w:t>
      </w:r>
      <w:r>
        <w:rPr>
          <w:rStyle w:val="VerbatimChar"/>
        </w:rPr>
        <w:t xml:space="preserve">/prd-gather-context</w:t>
      </w:r>
      <w:r>
        <w:t xml:space="preserve"> </w:t>
      </w:r>
      <w:r>
        <w:t xml:space="preserve">(or your own brief with problem, hypotheses, constraints, and metrics).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prd_[name].md</w:t>
      </w:r>
      <w:r>
        <w:t xml:space="preserve"> </w:t>
      </w:r>
      <w:r>
        <w:t xml:space="preserve">with 8 sections: Objective, Principles, Context, Design Pattern, Test Variants, Success Metrics, Constraints, Next Steps.</w:t>
      </w:r>
    </w:p>
    <w:p>
      <w:pPr>
        <w:pStyle w:val="BodyText"/>
      </w:pPr>
      <w:r>
        <w:rPr>
          <w:b/>
          <w:bCs/>
        </w:rPr>
        <w:t xml:space="preserve">Key behaviors:</w:t>
      </w:r>
    </w:p>
    <w:p>
      <w:pPr>
        <w:pStyle w:val="Compact"/>
        <w:numPr>
          <w:ilvl w:val="0"/>
          <w:numId w:val="1009"/>
        </w:numPr>
      </w:pPr>
      <w:r>
        <w:t xml:space="preserve">Requires behavior-prediction hypotheses (</w:t>
      </w:r>
      <w:r>
        <w:t xml:space="preserve">“users delay because X; this treatment makes inaction feel costly”</w:t>
      </w:r>
      <w:r>
        <w:t xml:space="preserve">) — not feature descriptions</w:t>
      </w:r>
    </w:p>
    <w:p>
      <w:pPr>
        <w:pStyle w:val="Compact"/>
        <w:numPr>
          <w:ilvl w:val="0"/>
          <w:numId w:val="1009"/>
        </w:numPr>
      </w:pPr>
      <w:r>
        <w:t xml:space="preserve">Validates variant isolation before writing (are variants actually testing different things?)</w:t>
      </w:r>
    </w:p>
    <w:p>
      <w:pPr>
        <w:pStyle w:val="Compact"/>
        <w:numPr>
          <w:ilvl w:val="0"/>
          <w:numId w:val="1009"/>
        </w:numPr>
      </w:pPr>
      <w:r>
        <w:t xml:space="preserve">Enforces IUL compliance rules if it’s an IUL project</w:t>
      </w:r>
    </w:p>
    <w:p>
      <w:pPr>
        <w:pStyle w:val="Compact"/>
        <w:numPr>
          <w:ilvl w:val="0"/>
          <w:numId w:val="1009"/>
        </w:numPr>
      </w:pPr>
      <w:r>
        <w:t xml:space="preserve">Applies a pre-save quality checklist before writing the file</w:t>
      </w:r>
    </w:p>
    <w:p>
      <w:pPr>
        <w:pStyle w:val="FirstParagraph"/>
      </w:pPr>
      <w:r>
        <w:rPr>
          <w:b/>
          <w:bCs/>
        </w:rPr>
        <w:t xml:space="preserve">Invoke when:</w:t>
      </w:r>
      <w:r>
        <w:t xml:space="preserve"> </w:t>
      </w:r>
      <w:r>
        <w:t xml:space="preserve">You have a context doc and are ready to scaffold a PRD.</w:t>
      </w:r>
    </w:p>
    <w:p>
      <w:r>
        <w:pict>
          <v:rect style="width:0;height:1.5pt" o:hralign="center" o:hrstd="t" o:hr="t"/>
        </w:pict>
      </w:r>
    </w:p>
    <w:bookmarkEnd w:id="11"/>
    <w:bookmarkStart w:id="12" w:name="prd-review"/>
    <w:p>
      <w:pPr>
        <w:pStyle w:val="Heading3"/>
      </w:pPr>
      <w:r>
        <w:t xml:space="preserve">1.3 /prd-review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Audits a PRD across six quality dimensions and produces a structured report with ratings, specific quoted issues, and suggested rewrites. Never gives generic feedback — always quotes the actual text and shows what improved looks like.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A PRD file or pasted PRD content.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Audit report with per-dimension ratings (Strong / Good / Needs Work), Must Fix / Should Fix / Nice to Have issues, and a Launch Readiness Checklist.</w:t>
      </w:r>
    </w:p>
    <w:p>
      <w:pPr>
        <w:pStyle w:val="BodyText"/>
      </w:pPr>
      <w:r>
        <w:rPr>
          <w:b/>
          <w:bCs/>
        </w:rPr>
        <w:t xml:space="preserve">Six dimensions:</w:t>
      </w:r>
    </w:p>
    <w:p>
      <w:pPr>
        <w:pStyle w:val="Compact"/>
        <w:numPr>
          <w:ilvl w:val="0"/>
          <w:numId w:val="1010"/>
        </w:numPr>
      </w:pPr>
      <w:r>
        <w:t xml:space="preserve">Structural Quality — problem specificity, principles, hypothesis mechanics</w:t>
      </w:r>
    </w:p>
    <w:p>
      <w:pPr>
        <w:pStyle w:val="Compact"/>
        <w:numPr>
          <w:ilvl w:val="0"/>
          <w:numId w:val="1010"/>
        </w:numPr>
      </w:pPr>
      <w:r>
        <w:t xml:space="preserve">Copy Quality — word precision, character limits, pronoun consistency</w:t>
      </w:r>
    </w:p>
    <w:p>
      <w:pPr>
        <w:pStyle w:val="Compact"/>
        <w:numPr>
          <w:ilvl w:val="0"/>
          <w:numId w:val="1010"/>
        </w:numPr>
      </w:pPr>
      <w:r>
        <w:t xml:space="preserve">Hypothesis Strength — testability, behavioral predictions, conviction levels</w:t>
      </w:r>
    </w:p>
    <w:p>
      <w:pPr>
        <w:pStyle w:val="Compact"/>
        <w:numPr>
          <w:ilvl w:val="0"/>
          <w:numId w:val="1010"/>
        </w:numPr>
      </w:pPr>
      <w:r>
        <w:t xml:space="preserve">Gap Analysis — unexplored hesitations, overlapping tests, metric gaps</w:t>
      </w:r>
    </w:p>
    <w:p>
      <w:pPr>
        <w:pStyle w:val="Compact"/>
        <w:numPr>
          <w:ilvl w:val="0"/>
          <w:numId w:val="1010"/>
        </w:numPr>
      </w:pPr>
      <w:r>
        <w:t xml:space="preserve">Precedent Context — past test references, learning applied vs. copied</w:t>
      </w:r>
    </w:p>
    <w:p>
      <w:pPr>
        <w:pStyle w:val="Compact"/>
        <w:numPr>
          <w:ilvl w:val="0"/>
          <w:numId w:val="1010"/>
        </w:numPr>
      </w:pPr>
      <w:r>
        <w:t xml:space="preserve">Logical Consistency — narrative flow, contradictions, role clarity</w:t>
      </w:r>
    </w:p>
    <w:p>
      <w:pPr>
        <w:pStyle w:val="FirstParagraph"/>
      </w:pPr>
      <w:r>
        <w:rPr>
          <w:b/>
          <w:bCs/>
        </w:rPr>
        <w:t xml:space="preserve">Invoke when:</w:t>
      </w:r>
      <w:r>
        <w:t xml:space="preserve"> </w:t>
      </w:r>
      <w:r>
        <w:t xml:space="preserve">After generating a PRD, before sharing with stakeholders, or when you want a second opinion on hypothesis strength.</w:t>
      </w:r>
    </w:p>
    <w:p>
      <w:r>
        <w:pict>
          <v:rect style="width:0;height:1.5pt" o:hralign="center" o:hrstd="t" o:hr="t"/>
        </w:pict>
      </w:r>
    </w:p>
    <w:bookmarkEnd w:id="12"/>
    <w:bookmarkStart w:id="13" w:name="md-to-docx"/>
    <w:p>
      <w:pPr>
        <w:pStyle w:val="Heading3"/>
      </w:pPr>
      <w:r>
        <w:t xml:space="preserve">1.4 /md-to-docx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Converts a markdown file to a formatted DOCX using pandoc with the correct flags for Ethos styling. Auto-updates</w:t>
      </w:r>
      <w:r>
        <w:t xml:space="preserve"> </w:t>
      </w:r>
      <w:r>
        <w:rPr>
          <w:rStyle w:val="VerbatimChar"/>
        </w:rPr>
        <w:t xml:space="preserve">last_exported</w:t>
      </w:r>
      <w:r>
        <w:t xml:space="preserve"> </w:t>
      </w:r>
      <w:r>
        <w:t xml:space="preserve">in frontmatter so you always know if your export is stale.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File path to any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(typically a</w:t>
      </w:r>
      <w:r>
        <w:t xml:space="preserve"> </w:t>
      </w:r>
      <w:r>
        <w:rPr>
          <w:rStyle w:val="VerbatimChar"/>
        </w:rPr>
        <w:t xml:space="preserve">prd_[name].md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at the same path, styled with Arial 11 body text. Updates</w:t>
      </w:r>
      <w:r>
        <w:t xml:space="preserve"> </w:t>
      </w:r>
      <w:r>
        <w:rPr>
          <w:rStyle w:val="VerbatimChar"/>
        </w:rPr>
        <w:t xml:space="preserve">last_exported</w:t>
      </w:r>
      <w:r>
        <w:t xml:space="preserve"> </w:t>
      </w:r>
      <w:r>
        <w:t xml:space="preserve">in the MD frontmatter.</w:t>
      </w:r>
    </w:p>
    <w:p>
      <w:pPr>
        <w:pStyle w:val="BodyText"/>
      </w:pPr>
      <w:r>
        <w:rPr>
          <w:b/>
          <w:bCs/>
        </w:rPr>
        <w:t xml:space="preserve">Invoke when:</w:t>
      </w:r>
      <w:r>
        <w:t xml:space="preserve"> </w:t>
      </w:r>
      <w:r>
        <w:t xml:space="preserve">Ready to share a PRD with stakeholders or upload to Drive.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prototype-pipeline"/>
    <w:p>
      <w:pPr>
        <w:pStyle w:val="Heading2"/>
      </w:pPr>
      <w:r>
        <w:t xml:space="preserve">2. Prototype Pipeline</w:t>
      </w:r>
    </w:p>
    <w:bookmarkStart w:id="15" w:name="create-prototype"/>
    <w:p>
      <w:pPr>
        <w:pStyle w:val="Heading3"/>
      </w:pPr>
      <w:r>
        <w:t xml:space="preserve">2.1 /create-prototype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An interactive brief-gathering session that collects context (funnel stage, hypothesis, variant count), reads a PRD if provided, flags gaps without blocking, and produces a structured brief. Hands off directly to</w:t>
      </w:r>
      <w:r>
        <w:t xml:space="preserve"> </w:t>
      </w:r>
      <w:r>
        <w:rPr>
          <w:rStyle w:val="VerbatimChar"/>
        </w:rPr>
        <w:t xml:space="preserve">/frontend-design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A concept, screen name, or PRD link.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A structured prototype brief specifying file names, routes, EDS component pattern, variant structure, and interaction notes — then triggers</w:t>
      </w:r>
      <w:r>
        <w:t xml:space="preserve"> </w:t>
      </w:r>
      <w:r>
        <w:rPr>
          <w:rStyle w:val="VerbatimChar"/>
        </w:rPr>
        <w:t xml:space="preserve">/frontend-design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behaviors:</w:t>
      </w:r>
    </w:p>
    <w:p>
      <w:pPr>
        <w:pStyle w:val="Compact"/>
        <w:numPr>
          <w:ilvl w:val="0"/>
          <w:numId w:val="1011"/>
        </w:numPr>
      </w:pPr>
      <w:r>
        <w:t xml:space="preserve">Reads a PRD fully before asking questions — doesn’t re-ask what the PRD answers</w:t>
      </w:r>
    </w:p>
    <w:p>
      <w:pPr>
        <w:pStyle w:val="Compact"/>
        <w:numPr>
          <w:ilvl w:val="0"/>
          <w:numId w:val="1011"/>
        </w:numPr>
      </w:pPr>
      <w:r>
        <w:t xml:space="preserve">Determines EDS pattern automatically from funnel stage (LP vs. onboarding vs. BOF)</w:t>
      </w:r>
    </w:p>
    <w:p>
      <w:pPr>
        <w:pStyle w:val="Compact"/>
        <w:numPr>
          <w:ilvl w:val="0"/>
          <w:numId w:val="1011"/>
        </w:numPr>
      </w:pPr>
      <w:r>
        <w:t xml:space="preserve">Sets up file structure for single prototypes or multi-variant grouped experiments</w:t>
      </w:r>
    </w:p>
    <w:p>
      <w:pPr>
        <w:pStyle w:val="Compact"/>
        <w:numPr>
          <w:ilvl w:val="0"/>
          <w:numId w:val="1011"/>
        </w:numPr>
      </w:pPr>
      <w:r>
        <w:t xml:space="preserve">Flags unclear items in Open Questions without blocking progress</w:t>
      </w:r>
    </w:p>
    <w:p>
      <w:pPr>
        <w:pStyle w:val="FirstParagraph"/>
      </w:pPr>
      <w:r>
        <w:rPr>
          <w:b/>
          <w:bCs/>
        </w:rPr>
        <w:t xml:space="preserve">Invoke when:</w:t>
      </w:r>
      <w:r>
        <w:t xml:space="preserve"> </w:t>
      </w:r>
      <w:r>
        <w:t xml:space="preserve">Starting any new prototype. Handles both single screens and multi-variant A/B experiments.</w:t>
      </w:r>
    </w:p>
    <w:p>
      <w:r>
        <w:pict>
          <v:rect style="width:0;height:1.5pt" o:hralign="center" o:hrstd="t" o:hr="t"/>
        </w:pict>
      </w:r>
    </w:p>
    <w:bookmarkEnd w:id="15"/>
    <w:bookmarkStart w:id="16" w:name="frontend-design"/>
    <w:p>
      <w:pPr>
        <w:pStyle w:val="Heading3"/>
      </w:pPr>
      <w:r>
        <w:t xml:space="preserve">2.2 /frontend-design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Generates production-grade React + EDS v2 prototype code from a brief. Enforces EDS component usage and Ethos design tokens — no generic AI output.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A structured brief (from</w:t>
      </w:r>
      <w:r>
        <w:t xml:space="preserve"> </w:t>
      </w:r>
      <w:r>
        <w:rPr>
          <w:rStyle w:val="VerbatimChar"/>
        </w:rPr>
        <w:t xml:space="preserve">/create-prototype</w:t>
      </w:r>
      <w:r>
        <w:t xml:space="preserve">) or a fully described concept.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React</w:t>
      </w:r>
      <w:r>
        <w:t xml:space="preserve"> </w:t>
      </w:r>
      <w:r>
        <w:rPr>
          <w:rStyle w:val="VerbatimChar"/>
        </w:rPr>
        <w:t xml:space="preserve">.tsx</w:t>
      </w:r>
      <w:r>
        <w:t xml:space="preserve"> </w:t>
      </w:r>
      <w:r>
        <w:t xml:space="preserve">component file using</w:t>
      </w:r>
      <w:r>
        <w:t xml:space="preserve"> </w:t>
      </w:r>
      <w:r>
        <w:rPr>
          <w:rStyle w:val="VerbatimChar"/>
        </w:rPr>
        <w:t xml:space="preserve">PhoneFrame</w:t>
      </w:r>
      <w:r>
        <w:t xml:space="preserve">, EDS v2 components from</w:t>
      </w:r>
      <w:r>
        <w:t xml:space="preserve"> </w:t>
      </w:r>
      <w:r>
        <w:rPr>
          <w:rStyle w:val="VerbatimChar"/>
        </w:rPr>
        <w:t xml:space="preserve">src/eds.tsx</w:t>
      </w:r>
      <w:r>
        <w:t xml:space="preserve">, and verified Ethos type/color tokens.</w:t>
      </w:r>
    </w:p>
    <w:p>
      <w:pPr>
        <w:pStyle w:val="BodyText"/>
      </w:pPr>
      <w:r>
        <w:rPr>
          <w:b/>
          <w:bCs/>
        </w:rPr>
        <w:t xml:space="preserve">Key behaviors:</w:t>
      </w:r>
    </w:p>
    <w:p>
      <w:pPr>
        <w:pStyle w:val="Compact"/>
        <w:numPr>
          <w:ilvl w:val="0"/>
          <w:numId w:val="1012"/>
        </w:numPr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from EDS — never raw</w:t>
      </w:r>
      <w:r>
        <w:t xml:space="preserve"> </w:t>
      </w:r>
      <w:r>
        <w:rPr>
          <w:rStyle w:val="VerbatimChar"/>
        </w:rPr>
        <w:t xml:space="preserve">&lt;button&gt;</w:t>
      </w:r>
    </w:p>
    <w:p>
      <w:pPr>
        <w:pStyle w:val="Compact"/>
        <w:numPr>
          <w:ilvl w:val="0"/>
          <w:numId w:val="1012"/>
        </w:numPr>
      </w:pPr>
      <w:r>
        <w:t xml:space="preserve">Requires font tokens from</w:t>
      </w:r>
      <w:r>
        <w:t xml:space="preserve"> </w:t>
      </w:r>
      <w:r>
        <w:rPr>
          <w:rStyle w:val="VerbatimChar"/>
        </w:rPr>
        <w:t xml:space="preserve">src/styles.ts</w:t>
      </w:r>
      <w:r>
        <w:t xml:space="preserve"> </w:t>
      </w:r>
      <w:r>
        <w:t xml:space="preserve">— never inline font strings or hardcoded hex</w:t>
      </w:r>
    </w:p>
    <w:p>
      <w:pPr>
        <w:pStyle w:val="Compact"/>
        <w:numPr>
          <w:ilvl w:val="0"/>
          <w:numId w:val="1012"/>
        </w:numPr>
      </w:pPr>
      <w:r>
        <w:t xml:space="preserve">Selects LP vs. app/BOF pattern automatically from funnel stage</w:t>
      </w:r>
    </w:p>
    <w:p>
      <w:pPr>
        <w:pStyle w:val="Compact"/>
        <w:numPr>
          <w:ilvl w:val="0"/>
          <w:numId w:val="1012"/>
        </w:numPr>
      </w:pPr>
      <w:r>
        <w:t xml:space="preserve">Applies Design Thinking framework before coding (purpose, differentiation, quality bar)</w:t>
      </w:r>
    </w:p>
    <w:p>
      <w:pPr>
        <w:pStyle w:val="Compact"/>
        <w:numPr>
          <w:ilvl w:val="0"/>
          <w:numId w:val="1012"/>
        </w:numPr>
      </w:pPr>
      <w:r>
        <w:t xml:space="preserve">Adds variant switcher and click feedback panel for stakeholder demos</w:t>
      </w:r>
    </w:p>
    <w:p>
      <w:pPr>
        <w:pStyle w:val="FirstParagraph"/>
      </w:pPr>
      <w:r>
        <w:rPr>
          <w:b/>
          <w:bCs/>
        </w:rPr>
        <w:t xml:space="preserve">Invoke when:</w:t>
      </w:r>
      <w:r>
        <w:t xml:space="preserve"> </w:t>
      </w:r>
      <w:r>
        <w:t xml:space="preserve">You have a complete brief and want code generated. Use</w:t>
      </w:r>
      <w:r>
        <w:t xml:space="preserve"> </w:t>
      </w:r>
      <w:r>
        <w:rPr>
          <w:rStyle w:val="VerbatimChar"/>
        </w:rPr>
        <w:t xml:space="preserve">/create-prototype</w:t>
      </w:r>
      <w:r>
        <w:t xml:space="preserve"> </w:t>
      </w:r>
      <w:r>
        <w:t xml:space="preserve">first if the brief isn’t ready.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browser-tools"/>
    <w:p>
      <w:pPr>
        <w:pStyle w:val="Heading2"/>
      </w:pPr>
      <w:r>
        <w:t xml:space="preserve">3. Browser Tools</w:t>
      </w:r>
    </w:p>
    <w:p>
      <w:pPr>
        <w:pStyle w:val="FirstParagraph"/>
      </w:pPr>
      <w:r>
        <w:t xml:space="preserve">Two tools for different browser workflows. See</w:t>
      </w:r>
      <w:r>
        <w:t xml:space="preserve"> </w:t>
      </w:r>
      <w:r>
        <w:t xml:space="preserve">@CLAUDE.md</w:t>
      </w:r>
      <w:r>
        <w:t xml:space="preserve"> </w:t>
      </w:r>
      <w:r>
        <w:t xml:space="preserve">for the decision rule.</w:t>
      </w:r>
    </w:p>
    <w:bookmarkStart w:id="18" w:name="agent-browser"/>
    <w:p>
      <w:pPr>
        <w:pStyle w:val="Heading3"/>
      </w:pPr>
      <w:r>
        <w:t xml:space="preserve">3.1 /agent-browser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Headless browser automation CLI for multi-step workflows, web scraping, and prototype testing. Launches a fresh Chromium session — no existing tab needed.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A URL, a task description, or a sequence of interactions to automate.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Screenshots, extracted content, form submission results, or test pass/fail results.</w:t>
      </w:r>
    </w:p>
    <w:p>
      <w:pPr>
        <w:pStyle w:val="BodyText"/>
      </w:pPr>
      <w:r>
        <w:rPr>
          <w:b/>
          <w:bCs/>
        </w:rPr>
        <w:t xml:space="preserve">Key behaviors:</w:t>
      </w:r>
    </w:p>
    <w:p>
      <w:pPr>
        <w:pStyle w:val="Compact"/>
        <w:numPr>
          <w:ilvl w:val="0"/>
          <w:numId w:val="1013"/>
        </w:numPr>
      </w:pPr>
      <w:r>
        <w:t xml:space="preserve">Navigates to new URLs headlessly — doesn’t require Chrome to be open</w:t>
      </w:r>
    </w:p>
    <w:p>
      <w:pPr>
        <w:pStyle w:val="Compact"/>
        <w:numPr>
          <w:ilvl w:val="0"/>
          <w:numId w:val="1013"/>
        </w:numPr>
      </w:pPr>
      <w:r>
        <w:t xml:space="preserve">Handles auth flows, multi-page sequences, and state persistence across steps</w:t>
      </w:r>
    </w:p>
    <w:p>
      <w:pPr>
        <w:pStyle w:val="Compact"/>
        <w:numPr>
          <w:ilvl w:val="0"/>
          <w:numId w:val="1013"/>
        </w:numPr>
      </w:pPr>
      <w:r>
        <w:t xml:space="preserve">More token-efficient than DevTools for automation tasks</w:t>
      </w:r>
    </w:p>
    <w:p>
      <w:pPr>
        <w:pStyle w:val="Compact"/>
        <w:numPr>
          <w:ilvl w:val="0"/>
          <w:numId w:val="1013"/>
        </w:numPr>
      </w:pPr>
      <w:r>
        <w:t xml:space="preserve">Supports responsive testing at arbitrary viewport sizes</w:t>
      </w:r>
    </w:p>
    <w:p>
      <w:pPr>
        <w:pStyle w:val="FirstParagraph"/>
      </w:pPr>
      <w:r>
        <w:rPr>
          <w:b/>
          <w:bCs/>
        </w:rPr>
        <w:t xml:space="preserve">Invoke when:</w:t>
      </w:r>
      <w:r>
        <w:t xml:space="preserve"> </w:t>
      </w:r>
      <w:r>
        <w:t xml:space="preserve">Automating workflows, scraping data, testing full user flows, or navigating to a URL that isn’t already open in Chrome.</w:t>
      </w:r>
    </w:p>
    <w:p>
      <w:r>
        <w:pict>
          <v:rect style="width:0;height:1.5pt" o:hralign="center" o:hrstd="t" o:hr="t"/>
        </w:pict>
      </w:r>
    </w:p>
    <w:bookmarkEnd w:id="18"/>
    <w:bookmarkStart w:id="19" w:name="chrome-devtools"/>
    <w:p>
      <w:pPr>
        <w:pStyle w:val="Heading3"/>
      </w:pPr>
      <w:r>
        <w:t xml:space="preserve">3.2 /chrome-devtools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Reads, inspects, and interacts with live tabs already open in Chrome via the Chrome DevTools MCP. 29 tools across navigation, input, emulation, debugging, network, and performance.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A tab already open in Chrome (identified via</w:t>
      </w:r>
      <w:r>
        <w:t xml:space="preserve"> </w:t>
      </w:r>
      <w:r>
        <w:rPr>
          <w:rStyle w:val="VerbatimChar"/>
        </w:rPr>
        <w:t xml:space="preserve">list_pages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Screenshots, DOM snapshots, console messages, network requests, Lighthouse audits, or JavaScript evaluation results.</w:t>
      </w:r>
    </w:p>
    <w:p>
      <w:pPr>
        <w:pStyle w:val="BodyText"/>
      </w:pPr>
      <w:r>
        <w:rPr>
          <w:b/>
          <w:bCs/>
        </w:rPr>
        <w:t xml:space="preserve">Key behaviors:</w:t>
      </w:r>
    </w:p>
    <w:p>
      <w:pPr>
        <w:pStyle w:val="Compact"/>
        <w:numPr>
          <w:ilvl w:val="0"/>
          <w:numId w:val="1014"/>
        </w:numPr>
      </w:pPr>
      <w:r>
        <w:t xml:space="preserve">Works on existing Chrome tabs — no new browser launched</w:t>
      </w:r>
    </w:p>
    <w:p>
      <w:pPr>
        <w:pStyle w:val="Compact"/>
        <w:numPr>
          <w:ilvl w:val="0"/>
          <w:numId w:val="1014"/>
        </w:numPr>
      </w:pPr>
      <w:r>
        <w:t xml:space="preserve">Always:</w:t>
      </w:r>
      <w:r>
        <w:t xml:space="preserve"> </w:t>
      </w:r>
      <w:r>
        <w:rPr>
          <w:rStyle w:val="VerbatimChar"/>
        </w:rPr>
        <w:t xml:space="preserve">list_pages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select_page</w:t>
      </w:r>
      <w:r>
        <w:t xml:space="preserve"> </w:t>
      </w:r>
      <w:r>
        <w:t xml:space="preserve">→ act (tab ID required before every action)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evaluate_script</w:t>
      </w:r>
      <w:r>
        <w:t xml:space="preserve"> </w:t>
      </w:r>
      <w:r>
        <w:t xml:space="preserve">is the escape hatch — anything in the DevTools console works here</w:t>
      </w:r>
    </w:p>
    <w:p>
      <w:pPr>
        <w:pStyle w:val="Compact"/>
        <w:numPr>
          <w:ilvl w:val="0"/>
          <w:numId w:val="1014"/>
        </w:numPr>
      </w:pPr>
      <w:r>
        <w:t xml:space="preserve">Requires the Chrome DevTools MCP extension to be running</w:t>
      </w:r>
    </w:p>
    <w:p>
      <w:pPr>
        <w:pStyle w:val="FirstParagraph"/>
      </w:pPr>
      <w:r>
        <w:rPr>
          <w:b/>
          <w:bCs/>
        </w:rPr>
        <w:t xml:space="preserve">Invoke when:</w:t>
      </w:r>
      <w:r>
        <w:t xml:space="preserve"> </w:t>
      </w:r>
      <w:r>
        <w:t xml:space="preserve">A page is already open in Chrome and you need to inspect it, screenshot it, check console errors, audit performance, or run JavaScript against it.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design-integration"/>
    <w:p>
      <w:pPr>
        <w:pStyle w:val="Heading2"/>
      </w:pPr>
      <w:r>
        <w:t xml:space="preserve">4. Design Integration</w:t>
      </w:r>
    </w:p>
    <w:bookmarkStart w:id="21" w:name="figma-access"/>
    <w:p>
      <w:pPr>
        <w:pStyle w:val="Heading3"/>
      </w:pPr>
      <w:r>
        <w:t xml:space="preserve">4.1 /figma-access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Reads Figma designs, takes screenshots, extracts design tokens, generates code from mockups, and maps Figma components to code components (Code Connect).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A Figma URL, a file key + node ID, or a request to see what’s currently open in Figma Desktop.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Screenshots, design context, generated React/HTML code, extracted token values, or Code Connect mappings.</w:t>
      </w:r>
    </w:p>
    <w:p>
      <w:pPr>
        <w:pStyle w:val="BodyText"/>
      </w:pPr>
      <w:r>
        <w:rPr>
          <w:b/>
          <w:bCs/>
        </w:rPr>
        <w:t xml:space="preserve">Key behaviors:</w:t>
      </w:r>
    </w:p>
    <w:p>
      <w:pPr>
        <w:pStyle w:val="Compact"/>
        <w:numPr>
          <w:ilvl w:val="0"/>
          <w:numId w:val="1015"/>
        </w:numPr>
      </w:pPr>
      <w:r>
        <w:t xml:space="preserve">Figma Desktop integration: works without a URL if a file is open and selected</w:t>
      </w:r>
    </w:p>
    <w:p>
      <w:pPr>
        <w:pStyle w:val="Compact"/>
        <w:numPr>
          <w:ilvl w:val="0"/>
          <w:numId w:val="1015"/>
        </w:numPr>
      </w:pPr>
      <w:r>
        <w:t xml:space="preserve">URL-based access: parses fileKey and nodeId from Figma URLs automatically</w:t>
      </w:r>
    </w:p>
    <w:p>
      <w:pPr>
        <w:pStyle w:val="Compact"/>
        <w:numPr>
          <w:ilvl w:val="0"/>
          <w:numId w:val="1015"/>
        </w:numPr>
      </w:pPr>
      <w:r>
        <w:t xml:space="preserve">Generates code adapted to the project’s EDS token system — not generic output</w:t>
      </w:r>
    </w:p>
    <w:p>
      <w:pPr>
        <w:pStyle w:val="Compact"/>
        <w:numPr>
          <w:ilvl w:val="0"/>
          <w:numId w:val="1015"/>
        </w:numPr>
      </w:pPr>
      <w:r>
        <w:t xml:space="preserve">Flags when a file is too large to fetch in full and requests specific nodes instead</w:t>
      </w:r>
    </w:p>
    <w:p>
      <w:pPr>
        <w:pStyle w:val="FirstParagraph"/>
      </w:pPr>
      <w:r>
        <w:rPr>
          <w:b/>
          <w:bCs/>
        </w:rPr>
        <w:t xml:space="preserve">Invoke when:</w:t>
      </w:r>
      <w:r>
        <w:t xml:space="preserve"> </w:t>
      </w:r>
      <w:r>
        <w:t xml:space="preserve">Implementing a design from Figma, checking what’s open, extracting tokens, or mapping components.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roject-management"/>
    <w:p>
      <w:pPr>
        <w:pStyle w:val="Heading2"/>
      </w:pPr>
      <w:r>
        <w:t xml:space="preserve">5. Project Management</w:t>
      </w:r>
    </w:p>
    <w:bookmarkStart w:id="23" w:name="jira-access"/>
    <w:p>
      <w:pPr>
        <w:pStyle w:val="Heading3"/>
      </w:pPr>
      <w:r>
        <w:t xml:space="preserve">5.1 /jira-access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Full read/write access to the CQ Jira project. Creates, reads, updates, and transitions tickets. Auto-populates mandatory fields (Product Area = IUL, Quarter from current date) on every ticket created for Juan.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Natural language —</w:t>
      </w:r>
      <w:r>
        <w:t xml:space="preserve"> </w:t>
      </w:r>
      <w:r>
        <w:t xml:space="preserve">“find ticket CQ-1397”</w:t>
      </w:r>
      <w:r>
        <w:t xml:space="preserve">,</w:t>
      </w:r>
      <w:r>
        <w:t xml:space="preserve"> </w:t>
      </w:r>
      <w:r>
        <w:t xml:space="preserve">“create an experiment for X”</w:t>
      </w:r>
      <w:r>
        <w:t xml:space="preserve">,</w:t>
      </w:r>
      <w:r>
        <w:t xml:space="preserve"> </w:t>
      </w:r>
      <w:r>
        <w:t xml:space="preserve">“add the Optimizely link to CQ-1500”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Ticket details, search results, created/updated tickets.</w:t>
      </w:r>
    </w:p>
    <w:p>
      <w:pPr>
        <w:pStyle w:val="BodyText"/>
      </w:pPr>
      <w:r>
        <w:rPr>
          <w:b/>
          <w:bCs/>
        </w:rPr>
        <w:t xml:space="preserve">Key behaviors:</w:t>
      </w:r>
    </w:p>
    <w:p>
      <w:pPr>
        <w:pStyle w:val="Compact"/>
        <w:numPr>
          <w:ilvl w:val="0"/>
          <w:numId w:val="1016"/>
        </w:numPr>
      </w:pPr>
      <w:r>
        <w:t xml:space="preserve">Auto-populates: Product Area (IUL), Quarter (from current date), PM (Juan), Assignee (Juan)</w:t>
      </w:r>
    </w:p>
    <w:p>
      <w:pPr>
        <w:pStyle w:val="Compact"/>
        <w:numPr>
          <w:ilvl w:val="0"/>
          <w:numId w:val="1016"/>
        </w:numPr>
      </w:pPr>
      <w:r>
        <w:t xml:space="preserve">Supports JQL for advanced search (</w:t>
      </w:r>
      <w:r>
        <w:rPr>
          <w:rStyle w:val="VerbatimChar"/>
        </w:rPr>
        <w:t xml:space="preserve">project = CQ AND status = "In Experiment"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Creates Experiment, Task, Bug, Story, and Operational Task issue types</w:t>
      </w:r>
    </w:p>
    <w:p>
      <w:pPr>
        <w:pStyle w:val="Compact"/>
        <w:numPr>
          <w:ilvl w:val="0"/>
          <w:numId w:val="1016"/>
        </w:numPr>
      </w:pPr>
      <w:r>
        <w:t xml:space="preserve">Handles multi-line descriptions correctly (template literals, not escaped</w:t>
      </w:r>
      <w:r>
        <w:t xml:space="preserve"> </w:t>
      </w:r>
      <w:r>
        <w:rPr>
          <w:rStyle w:val="VerbatimChar"/>
        </w:rPr>
        <w:t xml:space="preserve">\n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Links Figma, Optimizely, Mode, and Full Stories URLs to tickets</w:t>
      </w:r>
    </w:p>
    <w:p>
      <w:pPr>
        <w:pStyle w:val="FirstParagraph"/>
      </w:pPr>
      <w:r>
        <w:rPr>
          <w:b/>
          <w:bCs/>
        </w:rPr>
        <w:t xml:space="preserve">Invoke when:</w:t>
      </w:r>
      <w:r>
        <w:t xml:space="preserve"> </w:t>
      </w:r>
      <w:r>
        <w:t xml:space="preserve">Creating or updating a Jira ticket, searching for duplicates, or checking experiment status.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document-workflows"/>
    <w:p>
      <w:pPr>
        <w:pStyle w:val="Heading2"/>
      </w:pPr>
      <w:r>
        <w:t xml:space="preserve">6. Document Workflows</w:t>
      </w:r>
    </w:p>
    <w:bookmarkStart w:id="25" w:name="gws-workspace"/>
    <w:p>
      <w:pPr>
        <w:pStyle w:val="Heading3"/>
      </w:pPr>
      <w:r>
        <w:t xml:space="preserve">6.1 /gws-workspace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Read and write Google Docs, Sheets, Slides, and Drive files using the</w:t>
      </w:r>
      <w:r>
        <w:t xml:space="preserve"> </w:t>
      </w:r>
      <w:r>
        <w:rPr>
          <w:rStyle w:val="VerbatimChar"/>
        </w:rPr>
        <w:t xml:space="preserve">gws</w:t>
      </w:r>
      <w:r>
        <w:t xml:space="preserve"> </w:t>
      </w:r>
      <w:r>
        <w:t xml:space="preserve">CLI. Covers the full Google Workspace API surface.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A Google doc/sheet/slide URL or file ID, plus the operation to perform.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Document content, sheet data, updated files, or uploaded Drive assets.</w:t>
      </w:r>
    </w:p>
    <w:p>
      <w:pPr>
        <w:pStyle w:val="BodyText"/>
      </w:pPr>
      <w:r>
        <w:rPr>
          <w:b/>
          <w:bCs/>
        </w:rPr>
        <w:t xml:space="preserve">Supports:</w:t>
      </w:r>
    </w:p>
    <w:p>
      <w:pPr>
        <w:pStyle w:val="Compact"/>
        <w:numPr>
          <w:ilvl w:val="0"/>
          <w:numId w:val="1017"/>
        </w:numPr>
      </w:pPr>
      <w:r>
        <w:t xml:space="preserve">Docs: read, append, batch update</w:t>
      </w:r>
    </w:p>
    <w:p>
      <w:pPr>
        <w:pStyle w:val="Compact"/>
        <w:numPr>
          <w:ilvl w:val="0"/>
          <w:numId w:val="1017"/>
        </w:numPr>
      </w:pPr>
      <w:r>
        <w:t xml:space="preserve">Sheets: read ranges, append rows, update cells, batch get</w:t>
      </w:r>
    </w:p>
    <w:p>
      <w:pPr>
        <w:pStyle w:val="Compact"/>
        <w:numPr>
          <w:ilvl w:val="0"/>
          <w:numId w:val="1017"/>
        </w:numPr>
      </w:pPr>
      <w:r>
        <w:t xml:space="preserve">Slides: read, create, batch update</w:t>
      </w:r>
    </w:p>
    <w:p>
      <w:pPr>
        <w:pStyle w:val="Compact"/>
        <w:numPr>
          <w:ilvl w:val="0"/>
          <w:numId w:val="1017"/>
        </w:numPr>
      </w:pPr>
      <w:r>
        <w:t xml:space="preserve">Drive: search, upload, export as PDF</w:t>
      </w:r>
    </w:p>
    <w:p>
      <w:pPr>
        <w:pStyle w:val="FirstParagraph"/>
      </w:pPr>
      <w:r>
        <w:rPr>
          <w:b/>
          <w:bCs/>
        </w:rPr>
        <w:t xml:space="preserve">Invoke when:</w:t>
      </w:r>
      <w:r>
        <w:t xml:space="preserve"> </w:t>
      </w:r>
      <w:r>
        <w:t xml:space="preserve">Reading or writing any Google Workspace file — docs, trackers, presentations, Drive.</w:t>
      </w:r>
    </w:p>
    <w:p>
      <w:r>
        <w:pict>
          <v:rect style="width:0;height:1.5pt" o:hralign="center" o:hrstd="t" o:hr="t"/>
        </w:pict>
      </w:r>
    </w:p>
    <w:bookmarkEnd w:id="25"/>
    <w:bookmarkStart w:id="26" w:name="md-to-gdoc"/>
    <w:p>
      <w:pPr>
        <w:pStyle w:val="Heading3"/>
      </w:pPr>
      <w:r>
        <w:t xml:space="preserve">6.2 /md-to-gdoc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Converts a local Markdown file into a fully formatted Google Doc tab. Handles headings, bold, italic, tables, and bullets with proper Google Doc paragraph spacing. Clears and rewrites the tab on each run (idempotent).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A markdown file path + a Google Doc URL (with tab ID).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A formatted Google Doc tab matching the markdown source.</w:t>
      </w:r>
    </w:p>
    <w:p>
      <w:pPr>
        <w:pStyle w:val="BodyText"/>
      </w:pPr>
      <w:r>
        <w:rPr>
          <w:b/>
          <w:bCs/>
        </w:rPr>
        <w:t xml:space="preserve">Invoke when:</w:t>
      </w:r>
      <w:r>
        <w:t xml:space="preserve"> </w:t>
      </w:r>
      <w:r>
        <w:t xml:space="preserve">Exporting a context doc, PRD, or notes file to a Google Doc tab for sharing.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econd-opinions"/>
    <w:p>
      <w:pPr>
        <w:pStyle w:val="Heading2"/>
      </w:pPr>
      <w:r>
        <w:t xml:space="preserve">7. Second Opinions</w:t>
      </w:r>
    </w:p>
    <w:p>
      <w:pPr>
        <w:pStyle w:val="FirstParagraph"/>
      </w:pPr>
      <w:r>
        <w:t xml:space="preserve">Two AI agents available for independent analysis, critique, or parallel prototype builds.</w:t>
      </w:r>
    </w:p>
    <w:p>
      <w:pPr>
        <w:pStyle w:val="BodyText"/>
      </w:pPr>
      <w:r>
        <w:rPr>
          <w:b/>
          <w:bCs/>
        </w:rPr>
        <w:t xml:space="preserve">gemini-agent</w:t>
      </w:r>
      <w:r>
        <w:t xml:space="preserve"> </w:t>
      </w:r>
      <w:r>
        <w:t xml:space="preserve">— 1M token context window. Best for reading many files at once, cross-project consistency checks, and large-scale audits.</w:t>
      </w:r>
    </w:p>
    <w:p>
      <w:pPr>
        <w:pStyle w:val="BodyText"/>
      </w:pPr>
      <w:r>
        <w:rPr>
          <w:b/>
          <w:bCs/>
        </w:rPr>
        <w:t xml:space="preserve">codex-agent</w:t>
      </w:r>
      <w:r>
        <w:t xml:space="preserve"> </w:t>
      </w:r>
      <w:r>
        <w:t xml:space="preserve">— Runs code, executes scripts, tests prototypes at specific viewport sizes.</w:t>
      </w:r>
    </w:p>
    <w:p>
      <w:pPr>
        <w:pStyle w:val="BodyText"/>
      </w:pPr>
      <w:r>
        <w:rPr>
          <w:b/>
          <w:bCs/>
        </w:rPr>
        <w:t xml:space="preserve">Example uses:</w:t>
      </w:r>
    </w:p>
    <w:p>
      <w:pPr>
        <w:pStyle w:val="Compact"/>
        <w:numPr>
          <w:ilvl w:val="0"/>
          <w:numId w:val="1018"/>
        </w:numPr>
      </w:pPr>
      <w:r>
        <w:t xml:space="preserve">“Have the gemini-agent review all Mar 2026 PRDs and tell me if the hypotheses are consistent”</w:t>
      </w:r>
    </w:p>
    <w:p>
      <w:pPr>
        <w:pStyle w:val="Compact"/>
        <w:numPr>
          <w:ilvl w:val="0"/>
          <w:numId w:val="1018"/>
        </w:numPr>
      </w:pPr>
      <w:r>
        <w:t xml:space="preserve">“Have the codex-agent build a competing version of this prototype”</w:t>
      </w:r>
    </w:p>
    <w:p>
      <w:pPr>
        <w:pStyle w:val="Compact"/>
        <w:numPr>
          <w:ilvl w:val="0"/>
          <w:numId w:val="1018"/>
        </w:numPr>
      </w:pPr>
      <w:r>
        <w:t xml:space="preserve">“Have both agents draft competing variants of this hero copy”</w:t>
      </w:r>
    </w:p>
    <w:p>
      <w:pPr>
        <w:pStyle w:val="FirstParagraph"/>
      </w:pPr>
      <w:r>
        <w:t xml:space="preserve">Both agents are invoked by natural language — no special commands needed.</w:t>
      </w:r>
    </w:p>
    <w:p>
      <w:r>
        <w:pict>
          <v:rect style="width:0;height:1.5pt" o:hralign="center" o:hrstd="t" o:hr="t"/>
        </w:pict>
      </w:r>
    </w:p>
    <w:bookmarkEnd w:id="28"/>
    <w:bookmarkStart w:id="29" w:name="skill-quick-reference"/>
    <w:p>
      <w:pPr>
        <w:pStyle w:val="Heading2"/>
      </w:pPr>
      <w:r>
        <w:t xml:space="preserve">8. Skill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/prd-gather-context</w:t>
            </w:r>
          </w:p>
        </w:tc>
        <w:tc>
          <w:tcPr/>
          <w:p>
            <w:pPr>
              <w:pStyle w:val="Compact"/>
            </w:pPr>
            <w:r>
              <w:t xml:space="preserve">Rough problem or idea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context_[name].md</w:t>
            </w:r>
          </w:p>
        </w:tc>
        <w:tc>
          <w:tcPr/>
          <w:p>
            <w:pPr>
              <w:pStyle w:val="Compact"/>
            </w:pPr>
            <w:r>
              <w:t xml:space="preserve">Starting a new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/prd-generate</w:t>
            </w:r>
          </w:p>
        </w:tc>
        <w:tc>
          <w:tcPr/>
          <w:p>
            <w:pPr>
              <w:pStyle w:val="Compact"/>
            </w:pPr>
            <w:r>
              <w:t xml:space="preserve">Context 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prd_[name].md</w:t>
            </w:r>
          </w:p>
        </w:tc>
        <w:tc>
          <w:tcPr/>
          <w:p>
            <w:pPr>
              <w:pStyle w:val="Compact"/>
            </w:pPr>
            <w:r>
              <w:t xml:space="preserve">Ready to scaffold a PRD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/prd-review</w:t>
            </w:r>
          </w:p>
        </w:tc>
        <w:tc>
          <w:tcPr/>
          <w:p>
            <w:pPr>
              <w:pStyle w:val="Compact"/>
            </w:pPr>
            <w:r>
              <w:t xml:space="preserve">PRD file</w:t>
            </w:r>
          </w:p>
        </w:tc>
        <w:tc>
          <w:tcPr/>
          <w:p>
            <w:pPr>
              <w:pStyle w:val="Compact"/>
            </w:pPr>
            <w:r>
              <w:t xml:space="preserve">Audit report</w:t>
            </w:r>
          </w:p>
        </w:tc>
        <w:tc>
          <w:tcPr/>
          <w:p>
            <w:pPr>
              <w:pStyle w:val="Compact"/>
            </w:pPr>
            <w:r>
              <w:t xml:space="preserve">Before sharing with stakeholders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/md-to-docx</w:t>
            </w:r>
          </w:p>
        </w:tc>
        <w:tc>
          <w:tcPr/>
          <w:p>
            <w:pPr>
              <w:pStyle w:val="Compact"/>
            </w:pPr>
            <w:r>
              <w:t xml:space="preserve">Markdown 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Ready to share externally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/create-prototype</w:t>
            </w:r>
          </w:p>
        </w:tc>
        <w:tc>
          <w:tcPr/>
          <w:p>
            <w:pPr>
              <w:pStyle w:val="Compact"/>
            </w:pPr>
            <w:r>
              <w:t xml:space="preserve">Concept or PRD</w:t>
            </w:r>
          </w:p>
        </w:tc>
        <w:tc>
          <w:tcPr/>
          <w:p>
            <w:pPr>
              <w:pStyle w:val="Compact"/>
            </w:pPr>
            <w:r>
              <w:t xml:space="preserve">Prototype brief + triggers</w:t>
            </w:r>
            <w:r>
              <w:t xml:space="preserve"> </w:t>
            </w:r>
            <w:r>
              <w:rPr>
                <w:rStyle w:val="VerbatimChar"/>
              </w:rPr>
              <w:t xml:space="preserve">/frontend-design</w:t>
            </w:r>
          </w:p>
        </w:tc>
        <w:tc>
          <w:tcPr/>
          <w:p>
            <w:pPr>
              <w:pStyle w:val="Compact"/>
            </w:pPr>
            <w:r>
              <w:t xml:space="preserve">Starting any prototype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/frontend-design</w:t>
            </w:r>
          </w:p>
        </w:tc>
        <w:tc>
          <w:tcPr/>
          <w:p>
            <w:pPr>
              <w:pStyle w:val="Compact"/>
            </w:pPr>
            <w:r>
              <w:t xml:space="preserve">Complete brief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  <w:r>
              <w:t xml:space="preserve"> </w:t>
            </w:r>
            <w:r>
              <w:rPr>
                <w:rStyle w:val="VerbatimChar"/>
              </w:rPr>
              <w:t xml:space="preserve">.tsx</w:t>
            </w:r>
            <w:r>
              <w:t xml:space="preserve"> </w:t>
            </w:r>
            <w:r>
              <w:t xml:space="preserve">component (EDS components, Ethos tokens)</w:t>
            </w:r>
          </w:p>
        </w:tc>
        <w:tc>
          <w:tcPr/>
          <w:p>
            <w:pPr>
              <w:pStyle w:val="Compact"/>
            </w:pPr>
            <w:r>
              <w:t xml:space="preserve">Brief already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/agent-browser</w:t>
            </w:r>
          </w:p>
        </w:tc>
        <w:tc>
          <w:tcPr/>
          <w:p>
            <w:pPr>
              <w:pStyle w:val="Compact"/>
            </w:pPr>
            <w:r>
              <w:t xml:space="preserve">URL or task description</w:t>
            </w:r>
          </w:p>
        </w:tc>
        <w:tc>
          <w:tcPr/>
          <w:p>
            <w:pPr>
              <w:pStyle w:val="Compact"/>
            </w:pPr>
            <w:r>
              <w:t xml:space="preserve">Screenshots, content, test results</w:t>
            </w:r>
          </w:p>
        </w:tc>
        <w:tc>
          <w:tcPr/>
          <w:p>
            <w:pPr>
              <w:pStyle w:val="Compact"/>
            </w:pPr>
            <w:r>
              <w:t xml:space="preserve">Automation, scraping, new URLs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/chrome-devtools</w:t>
            </w:r>
          </w:p>
        </w:tc>
        <w:tc>
          <w:tcPr/>
          <w:p>
            <w:pPr>
              <w:pStyle w:val="Compact"/>
            </w:pPr>
            <w:r>
              <w:t xml:space="preserve">Open Chrome tab</w:t>
            </w:r>
          </w:p>
        </w:tc>
        <w:tc>
          <w:tcPr/>
          <w:p>
            <w:pPr>
              <w:pStyle w:val="Compact"/>
            </w:pPr>
            <w:r>
              <w:t xml:space="preserve">Screenshots, DOM, console, network, audits</w:t>
            </w:r>
          </w:p>
        </w:tc>
        <w:tc>
          <w:tcPr/>
          <w:p>
            <w:pPr>
              <w:pStyle w:val="Compact"/>
            </w:pPr>
            <w:r>
              <w:t xml:space="preserve">Inspecting live tabs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/figma-access</w:t>
            </w:r>
          </w:p>
        </w:tc>
        <w:tc>
          <w:tcPr/>
          <w:p>
            <w:pPr>
              <w:pStyle w:val="Compact"/>
            </w:pPr>
            <w:r>
              <w:t xml:space="preserve">Figma URL or open file</w:t>
            </w:r>
          </w:p>
        </w:tc>
        <w:tc>
          <w:tcPr/>
          <w:p>
            <w:pPr>
              <w:pStyle w:val="Compact"/>
            </w:pPr>
            <w:r>
              <w:t xml:space="preserve">Screenshots, code, tokens</w:t>
            </w:r>
          </w:p>
        </w:tc>
        <w:tc>
          <w:tcPr/>
          <w:p>
            <w:pPr>
              <w:pStyle w:val="Compact"/>
            </w:pPr>
            <w:r>
              <w:t xml:space="preserve">Implementing a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/jira-access</w:t>
            </w:r>
          </w:p>
        </w:tc>
        <w:tc>
          <w:tcPr/>
          <w:p>
            <w:pPr>
              <w:pStyle w:val="Compact"/>
            </w:pPr>
            <w:r>
              <w:t xml:space="preserve">Natural language</w:t>
            </w:r>
          </w:p>
        </w:tc>
        <w:tc>
          <w:tcPr/>
          <w:p>
            <w:pPr>
              <w:pStyle w:val="Compact"/>
            </w:pPr>
            <w:r>
              <w:t xml:space="preserve">Ticket read/write</w:t>
            </w:r>
          </w:p>
        </w:tc>
        <w:tc>
          <w:tcPr/>
          <w:p>
            <w:pPr>
              <w:pStyle w:val="Compact"/>
            </w:pPr>
            <w:r>
              <w:t xml:space="preserve">Jira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/gws-workspace</w:t>
            </w:r>
          </w:p>
        </w:tc>
        <w:tc>
          <w:tcPr/>
          <w:p>
            <w:pPr>
              <w:pStyle w:val="Compact"/>
            </w:pPr>
            <w:r>
              <w:t xml:space="preserve">Doc/sheet URL + operation</w:t>
            </w:r>
          </w:p>
        </w:tc>
        <w:tc>
          <w:tcPr/>
          <w:p>
            <w:pPr>
              <w:pStyle w:val="Compact"/>
            </w:pPr>
            <w:r>
              <w:t xml:space="preserve">File content or update</w:t>
            </w:r>
          </w:p>
        </w:tc>
        <w:tc>
          <w:tcPr/>
          <w:p>
            <w:pPr>
              <w:pStyle w:val="Compact"/>
            </w:pPr>
            <w:r>
              <w:t xml:space="preserve">Google Workspace read/write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/md-to-gdoc</w:t>
            </w:r>
          </w:p>
        </w:tc>
        <w:tc>
          <w:tcPr/>
          <w:p>
            <w:pPr>
              <w:pStyle w:val="Compact"/>
            </w:pPr>
            <w:r>
              <w:t xml:space="preserve">Markdown file + Doc URL</w:t>
            </w:r>
          </w:p>
        </w:tc>
        <w:tc>
          <w:tcPr/>
          <w:p>
            <w:pPr>
              <w:pStyle w:val="Compact"/>
            </w:pPr>
            <w:r>
              <w:t xml:space="preserve">Formatted Google Doc tab</w:t>
            </w:r>
          </w:p>
        </w:tc>
        <w:tc>
          <w:tcPr/>
          <w:p>
            <w:pPr>
              <w:pStyle w:val="Compact"/>
            </w:pPr>
            <w:r>
              <w:t xml:space="preserve">Exporting MD to a 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gemini-agent</w:t>
            </w:r>
          </w:p>
        </w:tc>
        <w:tc>
          <w:tcPr/>
          <w:p>
            <w:pPr>
              <w:pStyle w:val="Compact"/>
            </w:pPr>
            <w:r>
              <w:t xml:space="preserve">Any task</w:t>
            </w:r>
          </w:p>
        </w:tc>
        <w:tc>
          <w:tcPr/>
          <w:p>
            <w:pPr>
              <w:pStyle w:val="Compact"/>
            </w:pPr>
            <w:r>
              <w:t xml:space="preserve">Analysis, review, or code</w:t>
            </w:r>
          </w:p>
        </w:tc>
        <w:tc>
          <w:tcPr/>
          <w:p>
            <w:pPr>
              <w:pStyle w:val="Compact"/>
            </w:pPr>
            <w:r>
              <w:t xml:space="preserve">Second opinion, large-context reads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codex-agent</w:t>
            </w:r>
          </w:p>
        </w:tc>
        <w:tc>
          <w:tcPr/>
          <w:p>
            <w:pPr>
              <w:pStyle w:val="Compact"/>
            </w:pPr>
            <w:r>
              <w:t xml:space="preserve">Any task</w:t>
            </w:r>
          </w:p>
        </w:tc>
        <w:tc>
          <w:tcPr/>
          <w:p>
            <w:pPr>
              <w:pStyle w:val="Compact"/>
            </w:pPr>
            <w:r>
              <w:t xml:space="preserve">Analysis, review, or code</w:t>
            </w:r>
          </w:p>
        </w:tc>
        <w:tc>
          <w:tcPr/>
          <w:p>
            <w:pPr>
              <w:pStyle w:val="Compact"/>
            </w:pPr>
            <w:r>
              <w:t xml:space="preserve">Second opinion, running code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b w:val="0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hAnsi="Arial"/>
      <w:b w:val="0"/>
      <w:i w:val="0"/>
      <w:color w:val="000000"/>
      <w:sz w:val="40"/>
      <w:szCs w:val="40"/>
      <w:u w:val="none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hAnsi="Arial"/>
      <w:b w:val="0"/>
      <w:i w:val="0"/>
      <w:color w:val="000000"/>
      <w:sz w:val="32"/>
      <w:szCs w:val="32"/>
      <w:u w:val="none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hAnsi="Arial"/>
      <w:b w:val="0"/>
      <w:i w:val="0"/>
      <w:color w:val="000000"/>
      <w:sz w:val="28"/>
      <w:szCs w:val="28"/>
      <w:u w:val="non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hAnsi="Arial"/>
      <w:b w:val="0"/>
      <w:i w:val="0"/>
      <w:color w:val="000000"/>
      <w:sz w:val="24"/>
      <w:u w:val="none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category>reference</cp:category>
  <cp:keywords/>
  <dcterms:created xsi:type="dcterms:W3CDTF">2026-03-09T19:55:15Z</dcterms:created>
  <dcterms:modified xsi:type="dcterms:W3CDTF">2026-03-09T19:55:15Z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_updated">
    <vt:lpwstr>2026-03-09</vt:lpwstr>
  </property>
</Properties>
</file>