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 w:line="260" w:lineRule="auto"/>
      </w:pPr>
      <w:r>
        <w:rPr>
          <w:b/>
          <w:sz w:val="44"/>
          <w:szCs w:val="44"/>
          <w:color w:val="1B365D"/>
        </w:rPr>
        <w:t xml:space="preserve">BUSINESS PROPOSAL &amp; TECHNICAL SCOPE OF WORK</w:t>
      </w:r>
    </w:p>
    <w:p>
      <w:pPr>
        <w:jc w:val="center"/>
        <w:spacing w:before="0" w:after="120" w:line="260" w:lineRule="auto"/>
      </w:pPr>
      <w:r>
        <w:rPr>
          <w:b/>
          <w:sz w:val="28"/>
          <w:szCs w:val="28"/>
          <w:color w:val="D97706"/>
        </w:rPr>
        <w:t xml:space="preserve">Phase 1: Sugar Mills Intelligence &amp; Daily Tender Rates Portal</w:t>
      </w:r>
    </w:p>
    <w:p>
      <w:pPr>
        <w:jc w:val="center"/>
        <w:spacing w:before="0" w:after="200" w:line="260" w:lineRule="auto"/>
      </w:pPr>
      <w:r>
        <w:rPr>
          <w:b/>
          <w:sz w:val="22"/>
          <w:szCs w:val="22"/>
          <w:color w:val="059669"/>
        </w:rPr>
        <w:t xml:space="preserve">100% Automated Sugar Mill Rates Ingestion | Zero Manual Entry</w:t>
      </w:r>
    </w:p>
    <w:p>
      <w:pPr>
        <w:jc w:val="center"/>
        <w:spacing w:before="0" w:after="300" w:line="260" w:lineRule="auto"/>
      </w:pPr>
      <w:r>
        <w:rPr>
          <w:i/>
          <w:sz w:val="20"/>
          <w:szCs w:val="20"/>
          <w:color w:val="666666"/>
        </w:rPr>
        <w:t xml:space="preserve">Benchmark Reference: ChiniMandi Model | Framework: WordPress + Automated Ingestion Bot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1. Phase 1 Project Scope &amp; Objective</w:t>
      </w:r>
    </w:p>
    <w:p>
      <w:pPr>
        <w:spacing w:before="0" w:after="140" w:line="260" w:lineRule="auto"/>
      </w:pPr>
      <w:r>
        <w:rPr>
          <w:sz w:val="22"/>
          <w:szCs w:val="22"/>
          <w:color w:val="333333"/>
        </w:rPr>
        <w:t xml:space="preserve">The objective of Phase 1 is to launch a streamlined, highly focused digital news and data portal centered entirely around Sugar Mills (Chini Mills). The portal delivers real-time Sugar Mill Tender Rates (Ex-Mill factory rates), regional mill updates, industry news, and advertisement monetization. The system runs on 100% auto-pilot, eliminating the need for the client to enter or type daily mill data manually.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2. Phase 1 Deliverables &amp; Features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A: Autonomous Sugar Mill Tender Rates Engine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Automated Mill Rates Ingestion: </w:t>
      </w:r>
      <w:r>
        <w:rPr>
          <w:sz w:val="22"/>
          <w:color w:val="444444"/>
        </w:rPr>
        <w:t xml:space="preserve">Daily mill-gate tender prices (Ex-Mill rates) for major sugar producing states (Maharashtra, Uttar Pradesh, Karnataka, Gujarat) are automatically collected and updated in the portal database via scheduled background bots.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Zero Manual Effort: </w:t>
      </w:r>
      <w:r>
        <w:rPr>
          <w:sz w:val="22"/>
          <w:color w:val="444444"/>
        </w:rPr>
        <w:t xml:space="preserve">No manual data entry required by the client. The system automatically refreshes daily prices during peak morning/afternoon tender hours.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Searchable &amp; Filterable Frontend Tables: </w:t>
      </w:r>
      <w:r>
        <w:rPr>
          <w:sz w:val="22"/>
          <w:color w:val="444444"/>
        </w:rPr>
        <w:t xml:space="preserve">Clean, interactive table allowing visitors to instantly filter by State, Mill Name, Grade (M-30, S-30), and Date.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Emergency Admin Panel: </w:t>
      </w:r>
      <w:r>
        <w:rPr>
          <w:sz w:val="22"/>
          <w:color w:val="444444"/>
        </w:rPr>
        <w:t xml:space="preserve">A simple back-office dashboard is also provided as a backup option in case the client ever wishes to manually adjust or add custom rates.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B: Industry News &amp; Editorial CMS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Categorized Sugar Industry Desks: </w:t>
      </w:r>
      <w:r>
        <w:rPr>
          <w:sz w:val="22"/>
          <w:color w:val="444444"/>
        </w:rPr>
        <w:t xml:space="preserve">Dedicated sections for Sugar Mill Operations, Policy &amp; Quota Releases, Cane Crushing Updates, and Bio-Energy/Ethanol.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Mobile-First Layout: </w:t>
      </w:r>
      <w:r>
        <w:rPr>
          <w:sz w:val="22"/>
          <w:color w:val="444444"/>
        </w:rPr>
        <w:t xml:space="preserve">Super-fast, responsive reading experience optimized for mobile browsers, WhatsApp link sharing, and Google SEO.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C: E-Paper &amp; Daily PDF Newsletter Archive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Digital Bulletin Archive: </w:t>
      </w:r>
      <w:r>
        <w:rPr>
          <w:sz w:val="22"/>
          <w:color w:val="444444"/>
        </w:rPr>
        <w:t xml:space="preserve">Dedicated section for publishing and archiving daily/weekly sugar mill tender summaries and quota notifications.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Embedded Viewer &amp; Download: </w:t>
      </w:r>
      <w:r>
        <w:rPr>
          <w:sz w:val="22"/>
          <w:color w:val="444444"/>
        </w:rPr>
        <w:t xml:space="preserve">Integrated flipbook/PDF viewer with 1-click download button for traders and millers.</w:t>
      </w:r>
    </w:p>
    <w:p>
      <w:pPr>
        <w:spacing w:before="200" w:after="80" w:line="260" w:lineRule="auto"/>
      </w:pPr>
      <w:r>
        <w:rPr>
          <w:b/>
          <w:sz w:val="26"/>
          <w:szCs w:val="26"/>
          <w:color w:val="2B547E"/>
        </w:rPr>
        <w:t xml:space="preserve">Module D: Strategic Ad Monetization Setup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Pre-Engineered Ad Slots: </w:t>
      </w:r>
      <w:r>
        <w:rPr>
          <w:sz w:val="22"/>
          <w:color w:val="444444"/>
        </w:rPr>
        <w:t xml:space="preserve">Monetization-ready banner placements for sugar mills, equipment manufacturers, logistics providers, and Google AdSense: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• Top Header Banner (728x90)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• Right Sidebar Sticky Rectangles (300x250 / 300x600)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• In-Article Automatic Ad Injection 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3. Data Services &amp; Operating Cost Transparency</w:t>
      </w:r>
    </w:p>
    <w:p>
      <w:pPr>
        <w:spacing w:before="0" w:after="140" w:line="260" w:lineRule="auto"/>
      </w:pPr>
      <w:r>
        <w:rPr>
          <w:sz w:val="22"/>
          <w:szCs w:val="22"/>
          <w:color w:val="333333"/>
        </w:rPr>
        <w:t xml:space="preserve">All background automation for Phase 1 runs on self-owned custom server scripts. There are ZERO third-party API subscription costs: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8" w:space="0" w:color="1B365D"/>
          <w:right w:val="single" w:sz="6" w:space="0" w:color="CCCCCC"/>
          <w:insideH w:val="single" w:sz="4" w:space="0" w:color="E0E0E0"/>
          <w:insideV w:val="single" w:sz="4" w:space="0" w:color="E0E0E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</w:trPr>
        <w:tc>
          <w:tcPr>
            <w:tcW w:w="2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Data Category</w:t>
            </w:r>
          </w:p>
        </w:tc>
        <w:tc>
          <w:tcPr>
            <w:tcW w:w="26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Ingestion Source</w:t>
            </w:r>
          </w:p>
        </w:tc>
        <w:tc>
          <w:tcPr>
            <w:tcW w:w="2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Automation Mode</w:t>
            </w:r>
          </w:p>
        </w:tc>
        <w:tc>
          <w:tcPr>
            <w:tcW w:w="22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Client Recurring Cost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Sugar Mill Tender Rates (UP, MH, KA, GJ)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Custom Background Ingestion Bot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Automated Cron Job (Twice Daily)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₹0 (100% Free / Self-Owned)</w:t>
            </w:r>
          </w:p>
        </w:tc>
      </w:tr>
      <w:tr>
        <w:tc>
          <w:tcPr>
            <w:tcW w:w="2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Sugar Mill Industry News</w:t>
            </w:r>
          </w:p>
        </w:tc>
        <w:tc>
          <w:tcPr>
            <w:tcW w:w="26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Automated Industry Syndication Feeds</w:t>
            </w:r>
          </w:p>
        </w:tc>
        <w:tc>
          <w:tcPr>
            <w:tcW w:w="2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Auto-Curated &amp; Published</w:t>
            </w:r>
          </w:p>
        </w:tc>
        <w:tc>
          <w:tcPr>
            <w:tcW w:w="22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₹0 (100% Free)</w:t>
            </w:r>
          </w:p>
        </w:tc>
      </w:tr>
    </w:tbl>
    <w:p>
      <w:pPr>
        <w:spacing w:after="160"/>
      </w:pPr>
    </w:p>
    <w:p>
      <w:pPr>
        <w:spacing w:before="0" w:after="200" w:line="260" w:lineRule="auto"/>
      </w:pPr>
      <w:r>
        <w:rPr>
          <w:i/>
          <w:sz w:val="20"/>
          <w:szCs w:val="20"/>
          <w:color w:val="059669"/>
        </w:rPr>
        <w:t xml:space="preserve">Note: There are NO monthly API bills or software subscription fees for the client in Phase 1.</w:t>
      </w: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4. Phase 1 Implementation Timeline</w:t>
      </w:r>
    </w:p>
    <w:tbl>
      <w:tblPr>
        <w:tblW w:w="9600" w:type="dxa"/>
        <w:tblBorders>
          <w:top w:val="single" w:sz="6" w:space="0" w:color="CCCCCC"/>
          <w:left w:val="single" w:sz="6" w:space="0" w:color="CCCCCC"/>
          <w:bottom w:val="single" w:sz="8" w:space="0" w:color="1B365D"/>
          <w:right w:val="single" w:sz="6" w:space="0" w:color="CCCCCC"/>
          <w:insideH w:val="single" w:sz="4" w:space="0" w:color="E0E0E0"/>
          <w:insideV w:val="single" w:sz="4" w:space="0" w:color="E0E0E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</w:trPr>
        <w:tc>
          <w:tcPr>
            <w:tcW w:w="1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Phase</w:t>
            </w:r>
          </w:p>
        </w:tc>
        <w:tc>
          <w:tcPr>
            <w:tcW w:w="24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Scope Description</w:t>
            </w:r>
          </w:p>
        </w:tc>
        <w:tc>
          <w:tcPr>
            <w:tcW w:w="42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Key Deliverables</w:t>
            </w:r>
          </w:p>
        </w:tc>
        <w:tc>
          <w:tcPr>
            <w:tcW w:w="1600" w:type="dxa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sz w:val="20"/>
                <w:color w:val="FFFFFF"/>
              </w:rPr>
              <w:t>Timeline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 1 – 2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Portal Setup &amp; Layout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WordPress Architecture, Sugar Theme Design, Category Setup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2 Days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 3 – 4</w:t>
            </w:r>
          </w:p>
        </w:tc>
        <w:tc>
          <w:tcPr>
            <w:tcW w:w="2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Sugar Mill Ingestion Bot</w:t>
            </w:r>
          </w:p>
        </w:tc>
        <w:tc>
          <w:tcPr>
            <w:tcW w:w="42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Automated Mill Rate Scraper &amp; Database Structure</w:t>
            </w:r>
          </w:p>
        </w:tc>
        <w:tc>
          <w:tcPr>
            <w:tcW w:w="16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2 Days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 5 – 6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Interactive Tables &amp; Ads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State-wise Search Filters, E-Paper Module &amp; Ad Spots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2 Days</w:t>
            </w:r>
          </w:p>
        </w:tc>
      </w:tr>
      <w:tr>
        <w:tc>
          <w:tcPr>
            <w:tcW w:w="1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Day 7</w:t>
            </w:r>
          </w:p>
        </w:tc>
        <w:tc>
          <w:tcPr>
            <w:tcW w:w="24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Testing &amp; Go-Live</w:t>
            </w:r>
          </w:p>
        </w:tc>
        <w:tc>
          <w:tcPr>
            <w:tcW w:w="42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Mobile Optimization, Cross-browser Testing &amp; Final Launch</w:t>
            </w:r>
          </w:p>
        </w:tc>
        <w:tc>
          <w:tcPr>
            <w:tcW w:w="1600" w:type="dxa"/>
            <w:shd w:val="clear" w:color="auto" w:fill="F7FAFC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1 Day</w:t>
            </w:r>
          </w:p>
        </w:tc>
      </w:tr>
      <w:tr>
        <w:tc>
          <w:tcPr>
            <w:tcW w:w="1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TOTAL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Turnkey Phase 1 Launch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Complete Working Sugar Mill Portal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  <w:color w:val="333333"/>
              </w:rPr>
              <w:t>5 – 7 Working Days</w:t>
            </w:r>
          </w:p>
        </w:tc>
      </w:tr>
    </w:tbl>
    <w:p>
      <w:pPr>
        <w:spacing w:after="160"/>
      </w:pPr>
    </w:p>
    <w:p>
      <w:pPr>
        <w:spacing w:before="300" w:after="120" w:line="260" w:lineRule="auto"/>
      </w:pPr>
      <w:r>
        <w:rPr>
          <w:b/>
          <w:sz w:val="32"/>
          <w:szCs w:val="32"/>
          <w:color w:val="1B365D"/>
        </w:rPr>
        <w:t xml:space="preserve">5. Commercials &amp; Investment (Phase 1)</w:t>
      </w:r>
    </w:p>
    <w:p>
      <w:pPr>
        <w:spacing w:before="0" w:after="100" w:line="260" w:lineRule="auto"/>
      </w:pPr>
      <w:r>
        <w:rPr>
          <w:b/>
          <w:sz w:val="28"/>
          <w:szCs w:val="28"/>
          <w:color w:val="1B365D"/>
        </w:rPr>
        <w:t xml:space="preserve">Fixed Phase 1 Development Investment: ₹15,000/- (Fifteen Thousand Indian Rupees)</w:t>
      </w:r>
    </w:p>
    <w:p>
      <w:pPr>
        <w:spacing w:before="0" w:after="60" w:line="260" w:lineRule="auto"/>
      </w:pPr>
      <w:r>
        <w:rPr>
          <w:b/>
          <w:sz w:val="22"/>
          <w:szCs w:val="22"/>
          <w:color w:val="333333"/>
        </w:rPr>
        <w:t xml:space="preserve">Scope Included in Fixed Fee: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Turnkey Portal Setup with Clean Professional Magazine Layout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100% Automated Daily Sugar Mill Tender Rate Ingestion Bots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Interactive Searchable Mill Rates Table (State, Mill &amp; Grade Filters)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Sugar Industry News &amp; Category Desks Architecture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E-Paper / Daily PDF Newsletter Archive System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Complete Advertisement Banner Management Framework </w:t>
      </w:r>
    </w:p>
    <w:p>
      <w:pPr>
        <w:pStyle w:val="ListParagraph"/>
        <w:numPr>
          <w:ilvl w:val="0"/>
          <w:numId w:val="1"/>
        </w:numPr>
        <w:ind w:left="720" w:hanging="360"/>
        <w:spacing w:before="60" w:after="80" w:line="240" w:lineRule="auto"/>
      </w:pPr>
      <w:r>
        <w:rPr>
          <w:b/>
          <w:sz w:val="22"/>
          <w:color w:val="1B365D"/>
        </w:rPr>
        <w:t xml:space="preserve">30 Days Complimentary Post-Launch Technical Support </w:t>
      </w:r>
    </w:p>
    <w:p>
      <w:pPr>
        <w:spacing w:before="120" w:after="180" w:line="260" w:lineRule="auto"/>
      </w:pPr>
      <w:r>
        <w:rPr>
          <w:i/>
          <w:sz w:val="20"/>
          <w:szCs w:val="20"/>
          <w:color w:val="666666"/>
        </w:rPr>
        <w:t xml:space="preserve">Note: Future expansions (such as Global Commodities, Live Stock Indices, and Advanced Analytics) can be seamlessly integrated in Phase 2 as the portal scales.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3333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