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100" w:line="260" w:lineRule="auto"/>
      </w:pPr>
      <w:r>
        <w:rPr>
          <w:b/>
          <w:sz w:val="44"/>
          <w:szCs w:val="44"/>
          <w:color w:val="1B365D"/>
        </w:rPr>
        <w:t xml:space="preserve">BUSINESS PROPOSAL &amp; TECHNICAL SCOPE OF WORK</w:t>
      </w:r>
    </w:p>
    <w:p>
      <w:pPr>
        <w:jc w:val="center"/>
        <w:spacing w:before="0" w:after="120" w:line="260" w:lineRule="auto"/>
      </w:pPr>
      <w:r>
        <w:rPr>
          <w:b/>
          <w:sz w:val="28"/>
          <w:szCs w:val="28"/>
          <w:color w:val="D97706"/>
        </w:rPr>
        <w:t xml:space="preserve">Sugar Industry News, Live Rates &amp; Market Intelligence Portal</w:t>
      </w:r>
    </w:p>
    <w:p>
      <w:pPr>
        <w:jc w:val="center"/>
        <w:spacing w:before="0" w:after="200" w:line="260" w:lineRule="auto"/>
      </w:pPr>
      <w:r>
        <w:rPr>
          <w:b/>
          <w:sz w:val="22"/>
          <w:szCs w:val="22"/>
          <w:color w:val="059669"/>
        </w:rPr>
        <w:t xml:space="preserve">100% Fully Automated / Zero Manual Data Entry Architecture</w:t>
      </w:r>
    </w:p>
    <w:p>
      <w:pPr>
        <w:jc w:val="center"/>
        <w:spacing w:before="0" w:after="300" w:line="260" w:lineRule="auto"/>
      </w:pPr>
      <w:r>
        <w:rPr>
          <w:i/>
          <w:sz w:val="20"/>
          <w:szCs w:val="20"/>
          <w:color w:val="666666"/>
        </w:rPr>
        <w:t xml:space="preserve">Benchmark Reference: ChiniMandi Architecture | Technology: WordPress CMS + Automated Ingestion Bots</w:t>
      </w:r>
    </w:p>
    <w:p>
      <w:pPr>
        <w:spacing w:before="300" w:after="120" w:line="260" w:lineRule="auto"/>
      </w:pPr>
      <w:r>
        <w:rPr>
          <w:b/>
          <w:sz w:val="32"/>
          <w:szCs w:val="32"/>
          <w:color w:val="1B365D"/>
        </w:rPr>
        <w:t xml:space="preserve">1. Project Overview &amp; Auto-Pilot Objective</w:t>
      </w:r>
    </w:p>
    <w:p>
      <w:pPr>
        <w:spacing w:before="0" w:after="140" w:line="260" w:lineRule="auto"/>
      </w:pPr>
      <w:r>
        <w:rPr>
          <w:sz w:val="22"/>
          <w:szCs w:val="22"/>
          <w:color w:val="333333"/>
        </w:rPr>
        <w:t xml:space="preserve">The objective is to develop a 100% autonomous, hands-free commodity and industry intelligence portal. The client will NOT need to manually type or upload any daily data. The entire portal will operate on automated background synchronization engines, continuously feeding Sugar Mill Tender Rates, Wholesale Mandi Prices, Global Commodity Tickers, Financial Indices, and Industry News on autopilot.</w:t>
      </w:r>
    </w:p>
    <w:p>
      <w:pPr>
        <w:spacing w:before="300" w:after="120" w:line="260" w:lineRule="auto"/>
      </w:pPr>
      <w:r>
        <w:rPr>
          <w:b/>
          <w:sz w:val="32"/>
          <w:szCs w:val="32"/>
          <w:color w:val="1B365D"/>
        </w:rPr>
        <w:t xml:space="preserve">2. Core Functional Modules (100% Automated)</w:t>
      </w:r>
    </w:p>
    <w:p>
      <w:pPr>
        <w:spacing w:before="200" w:after="80" w:line="260" w:lineRule="auto"/>
      </w:pPr>
      <w:r>
        <w:rPr>
          <w:b/>
          <w:sz w:val="26"/>
          <w:szCs w:val="26"/>
          <w:color w:val="2B547E"/>
        </w:rPr>
        <w:t xml:space="preserve">Module A: Autonomous Domestic Sugar Rates Engine (Zero Manual Input)</w:t>
      </w:r>
    </w:p>
    <w:p>
      <w:pPr>
        <w:pStyle w:val="ListParagraph"/>
        <w:numPr>
          <w:ilvl w:val="0"/>
          <w:numId w:val="1"/>
        </w:numPr>
        <w:ind w:left="720" w:hanging="360"/>
        <w:spacing w:before="60" w:after="80" w:line="240" w:lineRule="auto"/>
      </w:pPr>
      <w:r>
        <w:rPr>
          <w:b/>
          <w:sz w:val="22"/>
          <w:color w:val="1B365D"/>
        </w:rPr>
        <w:t xml:space="preserve">Automated Wholesale Mandi Sync: </w:t>
      </w:r>
      <w:r>
        <w:rPr>
          <w:sz w:val="22"/>
          <w:color w:val="444444"/>
        </w:rPr>
        <w:t xml:space="preserve">Daily automated synchronization with all-India Mandis (Delhi, Kanpur, Mumbai, Kolkata, Chennai, Hyderabad, Raipur, etc.) via scheduled background cron jobs. Zero manual typing required.</w:t>
      </w:r>
    </w:p>
    <w:p>
      <w:pPr>
        <w:pStyle w:val="ListParagraph"/>
        <w:numPr>
          <w:ilvl w:val="0"/>
          <w:numId w:val="1"/>
        </w:numPr>
        <w:ind w:left="720" w:hanging="360"/>
        <w:spacing w:before="60" w:after="80" w:line="240" w:lineRule="auto"/>
      </w:pPr>
      <w:r>
        <w:rPr>
          <w:b/>
          <w:sz w:val="22"/>
          <w:color w:val="1B365D"/>
        </w:rPr>
        <w:t xml:space="preserve">Automated Mill Tender Rates Ingestion: </w:t>
      </w:r>
      <w:r>
        <w:rPr>
          <w:sz w:val="22"/>
          <w:color w:val="444444"/>
        </w:rPr>
        <w:t xml:space="preserve">Daily mill-gate tender prices across Maharashtra, UP, Karnataka, and Gujarat are captured and updated automatically in the portal database.</w:t>
      </w:r>
    </w:p>
    <w:p>
      <w:pPr>
        <w:pStyle w:val="ListParagraph"/>
        <w:numPr>
          <w:ilvl w:val="0"/>
          <w:numId w:val="1"/>
        </w:numPr>
        <w:ind w:left="720" w:hanging="360"/>
        <w:spacing w:before="60" w:after="80" w:line="240" w:lineRule="auto"/>
      </w:pPr>
      <w:r>
        <w:rPr>
          <w:b/>
          <w:sz w:val="22"/>
          <w:color w:val="1B365D"/>
        </w:rPr>
        <w:t xml:space="preserve">Searchable Frontend Tables: </w:t>
      </w:r>
      <w:r>
        <w:rPr>
          <w:sz w:val="22"/>
          <w:color w:val="444444"/>
        </w:rPr>
        <w:t xml:space="preserve">Instant search by state, mill name, date, and grade (M-30, S-30) for web and mobile visitors.</w:t>
      </w:r>
    </w:p>
    <w:p>
      <w:pPr>
        <w:spacing w:before="200" w:after="80" w:line="260" w:lineRule="auto"/>
      </w:pPr>
      <w:r>
        <w:rPr>
          <w:b/>
          <w:sz w:val="26"/>
          <w:szCs w:val="26"/>
          <w:color w:val="2B547E"/>
        </w:rPr>
        <w:t xml:space="preserve">Module B: Real-Time Global Commodities &amp; Financial Tickers</w:t>
      </w:r>
    </w:p>
    <w:p>
      <w:pPr>
        <w:spacing w:before="0" w:after="140" w:line="260" w:lineRule="auto"/>
      </w:pPr>
      <w:r>
        <w:rPr>
          <w:sz w:val="22"/>
          <w:szCs w:val="22"/>
          <w:color w:val="333333"/>
        </w:rPr>
        <w:t xml:space="preserve">A continuous auto-updating market ticker tape streaming real-time rates at the top header of every page:</w:t>
      </w:r>
    </w:p>
    <w:p>
      <w:pPr>
        <w:pStyle w:val="ListParagraph"/>
        <w:numPr>
          <w:ilvl w:val="0"/>
          <w:numId w:val="1"/>
        </w:numPr>
        <w:ind w:left="720" w:hanging="360"/>
        <w:spacing w:before="60" w:after="80" w:line="240" w:lineRule="auto"/>
      </w:pPr>
      <w:r>
        <w:rPr>
          <w:b/>
          <w:sz w:val="22"/>
          <w:color w:val="1B365D"/>
        </w:rPr>
        <w:t xml:space="preserve">International Sugar Futures: </w:t>
      </w:r>
      <w:r>
        <w:rPr>
          <w:sz w:val="22"/>
          <w:color w:val="444444"/>
        </w:rPr>
        <w:t xml:space="preserve">London Sugar #5 (White Sugar), US Sugar #11 (Raw Sugar).</w:t>
      </w:r>
    </w:p>
    <w:p>
      <w:pPr>
        <w:pStyle w:val="ListParagraph"/>
        <w:numPr>
          <w:ilvl w:val="0"/>
          <w:numId w:val="1"/>
        </w:numPr>
        <w:ind w:left="720" w:hanging="360"/>
        <w:spacing w:before="60" w:after="80" w:line="240" w:lineRule="auto"/>
      </w:pPr>
      <w:r>
        <w:rPr>
          <w:b/>
          <w:sz w:val="22"/>
          <w:color w:val="1B365D"/>
        </w:rPr>
        <w:t xml:space="preserve">Allied Energy &amp; Agri Commodities: </w:t>
      </w:r>
      <w:r>
        <w:rPr>
          <w:sz w:val="22"/>
          <w:color w:val="444444"/>
        </w:rPr>
        <w:t xml:space="preserve">Chicago Ethanol, CBOT Corn, WTI Crude Oil.</w:t>
      </w:r>
    </w:p>
    <w:p>
      <w:pPr>
        <w:pStyle w:val="ListParagraph"/>
        <w:numPr>
          <w:ilvl w:val="0"/>
          <w:numId w:val="1"/>
        </w:numPr>
        <w:ind w:left="720" w:hanging="360"/>
        <w:spacing w:before="60" w:after="80" w:line="240" w:lineRule="auto"/>
      </w:pPr>
      <w:r>
        <w:rPr>
          <w:b/>
          <w:sz w:val="22"/>
          <w:color w:val="1B365D"/>
        </w:rPr>
        <w:t xml:space="preserve">Foreign Exchange (Forex): </w:t>
      </w:r>
      <w:r>
        <w:rPr>
          <w:sz w:val="22"/>
          <w:color w:val="444444"/>
        </w:rPr>
        <w:t xml:space="preserve">USD / INR, USD / BRL (Brazilian Real).</w:t>
      </w:r>
    </w:p>
    <w:p>
      <w:pPr>
        <w:pStyle w:val="ListParagraph"/>
        <w:numPr>
          <w:ilvl w:val="0"/>
          <w:numId w:val="1"/>
        </w:numPr>
        <w:ind w:left="720" w:hanging="360"/>
        <w:spacing w:before="60" w:after="80" w:line="240" w:lineRule="auto"/>
      </w:pPr>
      <w:r>
        <w:rPr>
          <w:b/>
          <w:sz w:val="22"/>
          <w:color w:val="1B365D"/>
        </w:rPr>
        <w:t xml:space="preserve">Stock Indices &amp; Sugar Equities: </w:t>
      </w:r>
      <w:r>
        <w:rPr>
          <w:sz w:val="22"/>
          <w:color w:val="444444"/>
        </w:rPr>
        <w:t xml:space="preserve">BSE Sensex, NIFTY 50, and leading NSE Sugar Stocks (Balrampur Chini, Shree Renuka Sugars, Bajaj Hindusthan, Triveni, Dalmia Bharat Sugar, etc.).</w:t>
      </w:r>
    </w:p>
    <w:p>
      <w:pPr>
        <w:spacing w:before="200" w:after="80" w:line="260" w:lineRule="auto"/>
      </w:pPr>
      <w:r>
        <w:rPr>
          <w:b/>
          <w:sz w:val="26"/>
          <w:szCs w:val="26"/>
          <w:color w:val="2B547E"/>
        </w:rPr>
        <w:t xml:space="preserve">Module C: Automated Industry News &amp; Content Curation</w:t>
      </w:r>
    </w:p>
    <w:p>
      <w:pPr>
        <w:pStyle w:val="ListParagraph"/>
        <w:numPr>
          <w:ilvl w:val="0"/>
          <w:numId w:val="1"/>
        </w:numPr>
        <w:ind w:left="720" w:hanging="360"/>
        <w:spacing w:before="60" w:after="80" w:line="240" w:lineRule="auto"/>
      </w:pPr>
      <w:r>
        <w:rPr>
          <w:b/>
          <w:sz w:val="22"/>
          <w:color w:val="1B365D"/>
        </w:rPr>
        <w:t xml:space="preserve">Hands-Free News Ingestion: </w:t>
      </w:r>
      <w:r>
        <w:rPr>
          <w:sz w:val="22"/>
          <w:color w:val="444444"/>
        </w:rPr>
        <w:t xml:space="preserve">Automated content syndication engine that continuously curates and publishes verified sugar, ethanol, and agro-commodity news under respective categories.</w:t>
      </w:r>
    </w:p>
    <w:p>
      <w:pPr>
        <w:pStyle w:val="ListParagraph"/>
        <w:numPr>
          <w:ilvl w:val="0"/>
          <w:numId w:val="1"/>
        </w:numPr>
        <w:ind w:left="720" w:hanging="360"/>
        <w:spacing w:before="60" w:after="80" w:line="240" w:lineRule="auto"/>
      </w:pPr>
      <w:r>
        <w:rPr>
          <w:b/>
          <w:sz w:val="22"/>
          <w:color w:val="1B365D"/>
        </w:rPr>
        <w:t xml:space="preserve">Category Desks: </w:t>
      </w:r>
      <w:r>
        <w:rPr>
          <w:sz w:val="22"/>
          <w:color w:val="444444"/>
        </w:rPr>
        <w:t xml:space="preserve">Domestic Sugar, Ethanol &amp; Bio-Energy, International Trade, Weather &amp; Monsoon, and Govt Notifications (Quota &amp; MSP).</w:t>
      </w:r>
    </w:p>
    <w:p>
      <w:pPr>
        <w:spacing w:before="200" w:after="80" w:line="260" w:lineRule="auto"/>
      </w:pPr>
      <w:r>
        <w:rPr>
          <w:b/>
          <w:sz w:val="26"/>
          <w:szCs w:val="26"/>
          <w:color w:val="2B547E"/>
        </w:rPr>
        <w:t xml:space="preserve">Module D: E-Paper &amp; Daily PDF Newsletter Archive</w:t>
      </w:r>
    </w:p>
    <w:p>
      <w:pPr>
        <w:pStyle w:val="ListParagraph"/>
        <w:numPr>
          <w:ilvl w:val="0"/>
          <w:numId w:val="1"/>
        </w:numPr>
        <w:ind w:left="720" w:hanging="360"/>
        <w:spacing w:before="60" w:after="80" w:line="240" w:lineRule="auto"/>
      </w:pPr>
      <w:r>
        <w:rPr>
          <w:b/>
          <w:sz w:val="22"/>
          <w:color w:val="1B365D"/>
        </w:rPr>
        <w:t xml:space="preserve">Digital Edition Archive: </w:t>
      </w:r>
      <w:r>
        <w:rPr>
          <w:sz w:val="22"/>
          <w:color w:val="444444"/>
        </w:rPr>
        <w:t xml:space="preserve">Dedicated section for daily/weekly market roundups, government quota circulars, and PDF newsletters.</w:t>
      </w:r>
    </w:p>
    <w:p>
      <w:pPr>
        <w:pStyle w:val="ListParagraph"/>
        <w:numPr>
          <w:ilvl w:val="0"/>
          <w:numId w:val="1"/>
        </w:numPr>
        <w:ind w:left="720" w:hanging="360"/>
        <w:spacing w:before="60" w:after="80" w:line="240" w:lineRule="auto"/>
      </w:pPr>
      <w:r>
        <w:rPr>
          <w:b/>
          <w:sz w:val="22"/>
          <w:color w:val="1B365D"/>
        </w:rPr>
        <w:t xml:space="preserve">Flipbook / PDF Preview &amp; 1-Click Download: </w:t>
      </w:r>
      <w:r>
        <w:rPr>
          <w:sz w:val="22"/>
          <w:color w:val="444444"/>
        </w:rPr>
        <w:t xml:space="preserve">Embedded responsive viewer with high-speed download for mobile and desktop users.</w:t>
      </w:r>
    </w:p>
    <w:p>
      <w:pPr>
        <w:spacing w:before="200" w:after="80" w:line="260" w:lineRule="auto"/>
      </w:pPr>
      <w:r>
        <w:rPr>
          <w:b/>
          <w:sz w:val="26"/>
          <w:szCs w:val="26"/>
          <w:color w:val="2B547E"/>
        </w:rPr>
        <w:t xml:space="preserve">Module E: Strategic Advertisement &amp; Monetization System</w:t>
      </w:r>
    </w:p>
    <w:p>
      <w:pPr>
        <w:pStyle w:val="ListParagraph"/>
        <w:numPr>
          <w:ilvl w:val="0"/>
          <w:numId w:val="1"/>
        </w:numPr>
        <w:ind w:left="720" w:hanging="360"/>
        <w:spacing w:before="60" w:after="80" w:line="240" w:lineRule="auto"/>
      </w:pPr>
      <w:r>
        <w:rPr>
          <w:b/>
          <w:sz w:val="22"/>
          <w:color w:val="1B365D"/>
        </w:rPr>
        <w:t xml:space="preserve">High-CTR Banner Locations: </w:t>
      </w:r>
      <w:r>
        <w:rPr>
          <w:sz w:val="22"/>
          <w:color w:val="444444"/>
        </w:rPr>
        <w:t xml:space="preserve">Pre-engineered banner ad slots ready for direct sponsors (sugar mills, machinery suppliers, logistics, banks) and Google AdSense: Top Header (728x90), Right Sidebar Sticky (300x250 / 300x600), and In-article Content Injection.</w:t>
      </w:r>
    </w:p>
    <w:p>
      <w:pPr>
        <w:spacing w:before="300" w:after="120" w:line="260" w:lineRule="auto"/>
      </w:pPr>
      <w:r>
        <w:rPr>
          <w:b/>
          <w:sz w:val="32"/>
          <w:szCs w:val="32"/>
          <w:color w:val="1B365D"/>
        </w:rPr>
        <w:t xml:space="preserve">3. Third-Party Data Services: Free Limits &amp; Upgrade Costs</w:t>
      </w:r>
    </w:p>
    <w:p>
      <w:pPr>
        <w:spacing w:before="0" w:after="140" w:line="260" w:lineRule="auto"/>
      </w:pPr>
      <w:r>
        <w:rPr>
          <w:sz w:val="22"/>
          <w:szCs w:val="22"/>
          <w:color w:val="333333"/>
        </w:rPr>
        <w:t xml:space="preserve">To ensure zero recurring operational overhead, all automated feeds operate on public data infrastructure, institutional widgets, and custom server-side scripts:</w:t>
      </w:r>
    </w:p>
    <w:tbl>
      <w:tblPr>
        <w:tblW w:w="9600" w:type="dxa"/>
        <w:tblBorders>
          <w:top w:val="single" w:sz="6" w:space="0" w:color="CCCCCC"/>
          <w:left w:val="single" w:sz="6" w:space="0" w:color="CCCCCC"/>
          <w:bottom w:val="single" w:sz="8" w:space="0" w:color="1B365D"/>
          <w:right w:val="single" w:sz="6" w:space="0" w:color="CCCCCC"/>
          <w:insideH w:val="single" w:sz="4" w:space="0" w:color="E0E0E0"/>
          <w:insideV w:val="single" w:sz="4" w:space="0" w:color="E0E0E0"/>
        </w:tblBorders>
        <w:tblCellMar>
          <w:top w:w="120" w:type="dxa"/>
          <w:left w:w="140" w:type="dxa"/>
          <w:bottom w:w="120" w:type="dxa"/>
          <w:right w:w="140" w:type="dxa"/>
        </w:tblCellMar>
      </w:tblPr>
      <w:tr>
        <w:trPr>
          <w:tblHeader/>
        </w:trPr>
        <w:tc>
          <w:tcPr>
            <w:tcW w:w="1800" w:type="dxa"/>
            <w:shd w:val="clear" w:color="auto" w:fill="1B365D"/>
          </w:tcPr>
          <w:p>
            <w:pPr>
              <w:spacing w:before="60" w:after="60"/>
            </w:pPr>
            <w:r>
              <w:rPr>
                <w:b/>
                <w:sz w:val="20"/>
                <w:color w:val="FFFFFF"/>
              </w:rPr>
              <w:t>Data Feed</w:t>
            </w:r>
          </w:p>
        </w:tc>
        <w:tc>
          <w:tcPr>
            <w:tcW w:w="2000" w:type="dxa"/>
            <w:shd w:val="clear" w:color="auto" w:fill="1B365D"/>
          </w:tcPr>
          <w:p>
            <w:pPr>
              <w:spacing w:before="60" w:after="60"/>
            </w:pPr>
            <w:r>
              <w:rPr>
                <w:b/>
                <w:sz w:val="20"/>
                <w:color w:val="FFFFFF"/>
              </w:rPr>
              <w:t>Provider / Source</w:t>
            </w:r>
          </w:p>
        </w:tc>
        <w:tc>
          <w:tcPr>
            <w:tcW w:w="2000" w:type="dxa"/>
            <w:shd w:val="clear" w:color="auto" w:fill="1B365D"/>
          </w:tcPr>
          <w:p>
            <w:pPr>
              <w:spacing w:before="60" w:after="60"/>
            </w:pPr>
            <w:r>
              <w:rPr>
                <w:b/>
                <w:sz w:val="20"/>
                <w:color w:val="FFFFFF"/>
              </w:rPr>
              <w:t>Free Tier Limit</w:t>
            </w:r>
          </w:p>
        </w:tc>
        <w:tc>
          <w:tcPr>
            <w:tcW w:w="1800" w:type="dxa"/>
            <w:shd w:val="clear" w:color="auto" w:fill="1B365D"/>
          </w:tcPr>
          <w:p>
            <w:pPr>
              <w:spacing w:before="60" w:after="60"/>
            </w:pPr>
            <w:r>
              <w:rPr>
                <w:b/>
                <w:sz w:val="20"/>
                <w:color w:val="FFFFFF"/>
              </w:rPr>
              <w:t>Projected Portal Usage</w:t>
            </w:r>
          </w:p>
        </w:tc>
        <w:tc>
          <w:tcPr>
            <w:tcW w:w="2000" w:type="dxa"/>
            <w:shd w:val="clear" w:color="auto" w:fill="1B365D"/>
          </w:tcPr>
          <w:p>
            <w:pPr>
              <w:spacing w:before="60" w:after="60"/>
            </w:pPr>
            <w:r>
              <w:rPr>
                <w:b/>
                <w:sz w:val="20"/>
                <w:color w:val="FFFFFF"/>
              </w:rPr>
              <w:t>Upgrade Cost (If Exceeded)</w:t>
            </w:r>
          </w:p>
        </w:tc>
      </w:tr>
      <w:tr>
        <w:tc>
          <w:tcPr>
            <w:tcW w:w="1800" w:type="dxa"/>
            <w:shd w:val="clear" w:color="auto" w:fill="FFFFFF"/>
          </w:tcPr>
          <w:p>
            <w:pPr>
              <w:spacing w:before="60" w:after="60"/>
            </w:pPr>
            <w:r>
              <w:rPr>
                <w:sz w:val="19"/>
                <w:color w:val="333333"/>
              </w:rPr>
              <w:t>Domestic Mandi Prices</w:t>
            </w:r>
          </w:p>
        </w:tc>
        <w:tc>
          <w:tcPr>
            <w:tcW w:w="2000" w:type="dxa"/>
            <w:shd w:val="clear" w:color="auto" w:fill="FFFFFF"/>
          </w:tcPr>
          <w:p>
            <w:pPr>
              <w:spacing w:before="60" w:after="60"/>
            </w:pPr>
            <w:r>
              <w:rPr>
                <w:sz w:val="19"/>
                <w:color w:val="333333"/>
              </w:rPr>
              <w:t>Govt of India Open Data (Agmarknet)</w:t>
            </w:r>
          </w:p>
        </w:tc>
        <w:tc>
          <w:tcPr>
            <w:tcW w:w="2000" w:type="dxa"/>
            <w:shd w:val="clear" w:color="auto" w:fill="FFFFFF"/>
          </w:tcPr>
          <w:p>
            <w:pPr>
              <w:spacing w:before="60" w:after="60"/>
            </w:pPr>
            <w:r>
              <w:rPr>
                <w:sz w:val="19"/>
                <w:color w:val="333333"/>
              </w:rPr>
              <w:t>10,000 API calls / day</w:t>
            </w:r>
          </w:p>
        </w:tc>
        <w:tc>
          <w:tcPr>
            <w:tcW w:w="1800" w:type="dxa"/>
            <w:shd w:val="clear" w:color="auto" w:fill="FFFFFF"/>
          </w:tcPr>
          <w:p>
            <w:pPr>
              <w:spacing w:before="60" w:after="60"/>
            </w:pPr>
            <w:r>
              <w:rPr>
                <w:sz w:val="19"/>
                <w:color w:val="333333"/>
              </w:rPr>
              <w:t>~2 to 4 calls / day (Server-cached)</w:t>
            </w:r>
          </w:p>
        </w:tc>
        <w:tc>
          <w:tcPr>
            <w:tcW w:w="2000" w:type="dxa"/>
            <w:shd w:val="clear" w:color="auto" w:fill="FFFFFF"/>
          </w:tcPr>
          <w:p>
            <w:pPr>
              <w:spacing w:before="60" w:after="60"/>
            </w:pPr>
            <w:r>
              <w:rPr>
                <w:sz w:val="19"/>
                <w:color w:val="333333"/>
              </w:rPr>
              <w:t>₹0 (Always 100% Free Govt Policy)</w:t>
            </w:r>
          </w:p>
        </w:tc>
      </w:tr>
      <w:tr>
        <w:tc>
          <w:tcPr>
            <w:tcW w:w="1800" w:type="dxa"/>
            <w:shd w:val="clear" w:color="auto" w:fill="F7FAFC"/>
          </w:tcPr>
          <w:p>
            <w:pPr>
              <w:spacing w:before="60" w:after="60"/>
            </w:pPr>
            <w:r>
              <w:rPr>
                <w:sz w:val="19"/>
                <w:color w:val="333333"/>
              </w:rPr>
              <w:t>Sugar Mill Tender Rates</w:t>
            </w:r>
          </w:p>
        </w:tc>
        <w:tc>
          <w:tcPr>
            <w:tcW w:w="2000" w:type="dxa"/>
            <w:shd w:val="clear" w:color="auto" w:fill="F7FAFC"/>
          </w:tcPr>
          <w:p>
            <w:pPr>
              <w:spacing w:before="60" w:after="60"/>
            </w:pPr>
            <w:r>
              <w:rPr>
                <w:sz w:val="19"/>
                <w:color w:val="333333"/>
              </w:rPr>
              <w:t>Custom Automated Ingestion Bot</w:t>
            </w:r>
          </w:p>
        </w:tc>
        <w:tc>
          <w:tcPr>
            <w:tcW w:w="2000" w:type="dxa"/>
            <w:shd w:val="clear" w:color="auto" w:fill="F7FAFC"/>
          </w:tcPr>
          <w:p>
            <w:pPr>
              <w:spacing w:before="60" w:after="60"/>
            </w:pPr>
            <w:r>
              <w:rPr>
                <w:sz w:val="19"/>
                <w:color w:val="333333"/>
              </w:rPr>
              <w:t>Self-Hosted (Runs on Server)</w:t>
            </w:r>
          </w:p>
        </w:tc>
        <w:tc>
          <w:tcPr>
            <w:tcW w:w="1800" w:type="dxa"/>
            <w:shd w:val="clear" w:color="auto" w:fill="F7FAFC"/>
          </w:tcPr>
          <w:p>
            <w:pPr>
              <w:spacing w:before="60" w:after="60"/>
            </w:pPr>
            <w:r>
              <w:rPr>
                <w:sz w:val="19"/>
                <w:color w:val="333333"/>
              </w:rPr>
              <w:t>1 to 2 automated runs / day</w:t>
            </w:r>
          </w:p>
        </w:tc>
        <w:tc>
          <w:tcPr>
            <w:tcW w:w="2000" w:type="dxa"/>
            <w:shd w:val="clear" w:color="auto" w:fill="F7FAFC"/>
          </w:tcPr>
          <w:p>
            <w:pPr>
              <w:spacing w:before="60" w:after="60"/>
            </w:pPr>
            <w:r>
              <w:rPr>
                <w:sz w:val="19"/>
                <w:color w:val="333333"/>
              </w:rPr>
              <w:t>₹0 (Self-owned custom code)</w:t>
            </w:r>
          </w:p>
        </w:tc>
      </w:tr>
      <w:tr>
        <w:tc>
          <w:tcPr>
            <w:tcW w:w="1800" w:type="dxa"/>
            <w:shd w:val="clear" w:color="auto" w:fill="FFFFFF"/>
          </w:tcPr>
          <w:p>
            <w:pPr>
              <w:spacing w:before="60" w:after="60"/>
            </w:pPr>
            <w:r>
              <w:rPr>
                <w:sz w:val="19"/>
                <w:color w:val="333333"/>
              </w:rPr>
              <w:t>Global Commodities &amp; Forex (London #5, US #11, Corn, Ethanol, Crude, USD/INR, USD/BRL)</w:t>
            </w:r>
          </w:p>
        </w:tc>
        <w:tc>
          <w:tcPr>
            <w:tcW w:w="2000" w:type="dxa"/>
            <w:shd w:val="clear" w:color="auto" w:fill="FFFFFF"/>
          </w:tcPr>
          <w:p>
            <w:pPr>
              <w:spacing w:before="60" w:after="60"/>
            </w:pPr>
            <w:r>
              <w:rPr>
                <w:sz w:val="19"/>
                <w:color w:val="333333"/>
              </w:rPr>
              <w:t>Global Financial Market Widget Network</w:t>
            </w:r>
          </w:p>
        </w:tc>
        <w:tc>
          <w:tcPr>
            <w:tcW w:w="2000" w:type="dxa"/>
            <w:shd w:val="clear" w:color="auto" w:fill="FFFFFF"/>
          </w:tcPr>
          <w:p>
            <w:pPr>
              <w:spacing w:before="60" w:after="60"/>
            </w:pPr>
            <w:r>
              <w:rPr>
                <w:sz w:val="19"/>
                <w:color w:val="333333"/>
              </w:rPr>
              <w:t>Unlimited Pageviews (Standard Distribution)</w:t>
            </w:r>
          </w:p>
        </w:tc>
        <w:tc>
          <w:tcPr>
            <w:tcW w:w="1800" w:type="dxa"/>
            <w:shd w:val="clear" w:color="auto" w:fill="FFFFFF"/>
          </w:tcPr>
          <w:p>
            <w:pPr>
              <w:spacing w:before="60" w:after="60"/>
            </w:pPr>
            <w:r>
              <w:rPr>
                <w:sz w:val="19"/>
                <w:color w:val="333333"/>
              </w:rPr>
              <w:t>Unlimited</w:t>
            </w:r>
          </w:p>
        </w:tc>
        <w:tc>
          <w:tcPr>
            <w:tcW w:w="2000" w:type="dxa"/>
            <w:shd w:val="clear" w:color="auto" w:fill="FFFFFF"/>
          </w:tcPr>
          <w:p>
            <w:pPr>
              <w:spacing w:before="60" w:after="60"/>
            </w:pPr>
            <w:r>
              <w:rPr>
                <w:sz w:val="19"/>
                <w:color w:val="333333"/>
              </w:rPr>
              <w:t>₹0 (Free indefinitely; Optional raw JSON feed: ~$15/mo)</w:t>
            </w:r>
          </w:p>
        </w:tc>
      </w:tr>
      <w:tr>
        <w:tc>
          <w:tcPr>
            <w:tcW w:w="1800" w:type="dxa"/>
            <w:shd w:val="clear" w:color="auto" w:fill="F7FAFC"/>
          </w:tcPr>
          <w:p>
            <w:pPr>
              <w:spacing w:before="60" w:after="60"/>
            </w:pPr>
            <w:r>
              <w:rPr>
                <w:sz w:val="19"/>
                <w:color w:val="333333"/>
              </w:rPr>
              <w:t>Stock Indices &amp; Sugar Equities (Sensex, Nifty50, Sugar Mill Stocks)</w:t>
            </w:r>
          </w:p>
        </w:tc>
        <w:tc>
          <w:tcPr>
            <w:tcW w:w="2000" w:type="dxa"/>
            <w:shd w:val="clear" w:color="auto" w:fill="F7FAFC"/>
          </w:tcPr>
          <w:p>
            <w:pPr>
              <w:spacing w:before="60" w:after="60"/>
            </w:pPr>
            <w:r>
              <w:rPr>
                <w:sz w:val="19"/>
                <w:color w:val="333333"/>
              </w:rPr>
              <w:t>Stockdio Financial Cloud</w:t>
            </w:r>
          </w:p>
        </w:tc>
        <w:tc>
          <w:tcPr>
            <w:tcW w:w="2000" w:type="dxa"/>
            <w:shd w:val="clear" w:color="auto" w:fill="F7FAFC"/>
          </w:tcPr>
          <w:p>
            <w:pPr>
              <w:spacing w:before="60" w:after="60"/>
            </w:pPr>
            <w:r>
              <w:rPr>
                <w:sz w:val="19"/>
                <w:color w:val="333333"/>
              </w:rPr>
              <w:t>10,000 Requests / month</w:t>
            </w:r>
          </w:p>
        </w:tc>
        <w:tc>
          <w:tcPr>
            <w:tcW w:w="1800" w:type="dxa"/>
            <w:shd w:val="clear" w:color="auto" w:fill="F7FAFC"/>
          </w:tcPr>
          <w:p>
            <w:pPr>
              <w:spacing w:before="60" w:after="60"/>
            </w:pPr>
            <w:r>
              <w:rPr>
                <w:sz w:val="19"/>
                <w:color w:val="333333"/>
              </w:rPr>
              <w:t>~500 to 1,000 / month (Aggregated view)</w:t>
            </w:r>
          </w:p>
        </w:tc>
        <w:tc>
          <w:tcPr>
            <w:tcW w:w="2000" w:type="dxa"/>
            <w:shd w:val="clear" w:color="auto" w:fill="F7FAFC"/>
          </w:tcPr>
          <w:p>
            <w:pPr>
              <w:spacing w:before="60" w:after="60"/>
            </w:pPr>
            <w:r>
              <w:rPr>
                <w:sz w:val="19"/>
                <w:color w:val="333333"/>
              </w:rPr>
              <w:t>~$8 / month (~₹650/mo) only if 10k monthly calls exceeded</w:t>
            </w:r>
          </w:p>
        </w:tc>
      </w:tr>
    </w:tbl>
    <w:p>
      <w:pPr>
        <w:spacing w:after="160"/>
      </w:pPr>
    </w:p>
    <w:p>
      <w:pPr>
        <w:spacing w:before="0" w:after="200" w:line="260" w:lineRule="auto"/>
      </w:pPr>
      <w:r>
        <w:rPr>
          <w:i/>
          <w:sz w:val="20"/>
          <w:szCs w:val="20"/>
          <w:color w:val="555555"/>
        </w:rPr>
        <w:t xml:space="preserve">Note: Local server caching ensures that visitor traffic does NOT consume third-party API quotas. Monthly API expense for the client remains ₹0.</w:t>
      </w:r>
    </w:p>
    <w:p>
      <w:pPr>
        <w:spacing w:before="300" w:after="120" w:line="260" w:lineRule="auto"/>
      </w:pPr>
      <w:r>
        <w:rPr>
          <w:b/>
          <w:sz w:val="32"/>
          <w:szCs w:val="32"/>
          <w:color w:val="1B365D"/>
        </w:rPr>
        <w:t xml:space="preserve">4. Implementation Timeline (Phased Roadmap)</w:t>
      </w:r>
    </w:p>
    <w:tbl>
      <w:tblPr>
        <w:tblW w:w="9600" w:type="dxa"/>
        <w:tblBorders>
          <w:top w:val="single" w:sz="6" w:space="0" w:color="CCCCCC"/>
          <w:left w:val="single" w:sz="6" w:space="0" w:color="CCCCCC"/>
          <w:bottom w:val="single" w:sz="8" w:space="0" w:color="1B365D"/>
          <w:right w:val="single" w:sz="6" w:space="0" w:color="CCCCCC"/>
          <w:insideH w:val="single" w:sz="4" w:space="0" w:color="E0E0E0"/>
          <w:insideV w:val="single" w:sz="4" w:space="0" w:color="E0E0E0"/>
        </w:tblBorders>
        <w:tblCellMar>
          <w:top w:w="120" w:type="dxa"/>
          <w:left w:w="140" w:type="dxa"/>
          <w:bottom w:w="120" w:type="dxa"/>
          <w:right w:w="140" w:type="dxa"/>
        </w:tblCellMar>
      </w:tblPr>
      <w:tr>
        <w:trPr>
          <w:tblHeader/>
        </w:trPr>
        <w:tc>
          <w:tcPr>
            <w:tcW w:w="1400" w:type="dxa"/>
            <w:shd w:val="clear" w:color="auto" w:fill="1B365D"/>
          </w:tcPr>
          <w:p>
            <w:pPr>
              <w:spacing w:before="60" w:after="60"/>
            </w:pPr>
            <w:r>
              <w:rPr>
                <w:b/>
                <w:sz w:val="20"/>
                <w:color w:val="FFFFFF"/>
              </w:rPr>
              <w:t>Phase</w:t>
            </w:r>
          </w:p>
        </w:tc>
        <w:tc>
          <w:tcPr>
            <w:tcW w:w="2200" w:type="dxa"/>
            <w:shd w:val="clear" w:color="auto" w:fill="1B365D"/>
          </w:tcPr>
          <w:p>
            <w:pPr>
              <w:spacing w:before="60" w:after="60"/>
            </w:pPr>
            <w:r>
              <w:rPr>
                <w:b/>
                <w:sz w:val="20"/>
                <w:color w:val="FFFFFF"/>
              </w:rPr>
              <w:t>Milestone</w:t>
            </w:r>
          </w:p>
        </w:tc>
        <w:tc>
          <w:tcPr>
            <w:tcW w:w="4400" w:type="dxa"/>
            <w:shd w:val="clear" w:color="auto" w:fill="1B365D"/>
          </w:tcPr>
          <w:p>
            <w:pPr>
              <w:spacing w:before="60" w:after="60"/>
            </w:pPr>
            <w:r>
              <w:rPr>
                <w:b/>
                <w:sz w:val="20"/>
                <w:color w:val="FFFFFF"/>
              </w:rPr>
              <w:t>Deliverables</w:t>
            </w:r>
          </w:p>
        </w:tc>
        <w:tc>
          <w:tcPr>
            <w:tcW w:w="1600" w:type="dxa"/>
            <w:shd w:val="clear" w:color="auto" w:fill="1B365D"/>
          </w:tcPr>
          <w:p>
            <w:pPr>
              <w:spacing w:before="60" w:after="60"/>
            </w:pPr>
            <w:r>
              <w:rPr>
                <w:b/>
                <w:sz w:val="20"/>
                <w:color w:val="FFFFFF"/>
              </w:rPr>
              <w:t>Timeline</w:t>
            </w:r>
          </w:p>
        </w:tc>
      </w:tr>
      <w:tr>
        <w:tc>
          <w:tcPr>
            <w:tcW w:w="1400" w:type="dxa"/>
            <w:shd w:val="clear" w:color="auto" w:fill="FFFFFF"/>
          </w:tcPr>
          <w:p>
            <w:pPr>
              <w:spacing w:before="60" w:after="60"/>
            </w:pPr>
            <w:r>
              <w:rPr>
                <w:sz w:val="19"/>
                <w:color w:val="333333"/>
              </w:rPr>
              <w:t>Phase 1</w:t>
            </w:r>
          </w:p>
        </w:tc>
        <w:tc>
          <w:tcPr>
            <w:tcW w:w="2200" w:type="dxa"/>
            <w:shd w:val="clear" w:color="auto" w:fill="FFFFFF"/>
          </w:tcPr>
          <w:p>
            <w:pPr>
              <w:spacing w:before="60" w:after="60"/>
            </w:pPr>
            <w:r>
              <w:rPr>
                <w:sz w:val="19"/>
                <w:color w:val="333333"/>
              </w:rPr>
              <w:t>Foundation &amp; CMS Architecture</w:t>
            </w:r>
          </w:p>
        </w:tc>
        <w:tc>
          <w:tcPr>
            <w:tcW w:w="4400" w:type="dxa"/>
            <w:shd w:val="clear" w:color="auto" w:fill="FFFFFF"/>
          </w:tcPr>
          <w:p>
            <w:pPr>
              <w:spacing w:before="60" w:after="60"/>
            </w:pPr>
            <w:r>
              <w:rPr>
                <w:sz w:val="19"/>
                <w:color w:val="333333"/>
              </w:rPr>
              <w:t>Portal Structure, News Categories, Layout Design</w:t>
            </w:r>
          </w:p>
        </w:tc>
        <w:tc>
          <w:tcPr>
            <w:tcW w:w="1600" w:type="dxa"/>
            <w:shd w:val="clear" w:color="auto" w:fill="FFFFFF"/>
          </w:tcPr>
          <w:p>
            <w:pPr>
              <w:spacing w:before="60" w:after="60"/>
            </w:pPr>
            <w:r>
              <w:rPr>
                <w:sz w:val="19"/>
                <w:color w:val="333333"/>
              </w:rPr>
              <w:t>Days 1 – 2</w:t>
            </w:r>
          </w:p>
        </w:tc>
      </w:tr>
      <w:tr>
        <w:tc>
          <w:tcPr>
            <w:tcW w:w="1400" w:type="dxa"/>
            <w:shd w:val="clear" w:color="auto" w:fill="F7FAFC"/>
          </w:tcPr>
          <w:p>
            <w:pPr>
              <w:spacing w:before="60" w:after="60"/>
            </w:pPr>
            <w:r>
              <w:rPr>
                <w:sz w:val="19"/>
                <w:color w:val="333333"/>
              </w:rPr>
              <w:t>Phase 2</w:t>
            </w:r>
          </w:p>
        </w:tc>
        <w:tc>
          <w:tcPr>
            <w:tcW w:w="2200" w:type="dxa"/>
            <w:shd w:val="clear" w:color="auto" w:fill="F7FAFC"/>
          </w:tcPr>
          <w:p>
            <w:pPr>
              <w:spacing w:before="60" w:after="60"/>
            </w:pPr>
            <w:r>
              <w:rPr>
                <w:sz w:val="19"/>
                <w:color w:val="333333"/>
              </w:rPr>
              <w:t>Financial Tickers &amp; Mandi Feeds</w:t>
            </w:r>
          </w:p>
        </w:tc>
        <w:tc>
          <w:tcPr>
            <w:tcW w:w="4400" w:type="dxa"/>
            <w:shd w:val="clear" w:color="auto" w:fill="F7FAFC"/>
          </w:tcPr>
          <w:p>
            <w:pPr>
              <w:spacing w:before="60" w:after="60"/>
            </w:pPr>
            <w:r>
              <w:rPr>
                <w:sz w:val="19"/>
                <w:color w:val="333333"/>
              </w:rPr>
              <w:t>Real-time Commodity &amp; Currency Ticker Integration</w:t>
            </w:r>
          </w:p>
        </w:tc>
        <w:tc>
          <w:tcPr>
            <w:tcW w:w="1600" w:type="dxa"/>
            <w:shd w:val="clear" w:color="auto" w:fill="F7FAFC"/>
          </w:tcPr>
          <w:p>
            <w:pPr>
              <w:spacing w:before="60" w:after="60"/>
            </w:pPr>
            <w:r>
              <w:rPr>
                <w:sz w:val="19"/>
                <w:color w:val="333333"/>
              </w:rPr>
              <w:t>Days 3 – 4</w:t>
            </w:r>
          </w:p>
        </w:tc>
      </w:tr>
      <w:tr>
        <w:tc>
          <w:tcPr>
            <w:tcW w:w="1400" w:type="dxa"/>
            <w:shd w:val="clear" w:color="auto" w:fill="FFFFFF"/>
          </w:tcPr>
          <w:p>
            <w:pPr>
              <w:spacing w:before="60" w:after="60"/>
            </w:pPr>
            <w:r>
              <w:rPr>
                <w:sz w:val="19"/>
                <w:color w:val="333333"/>
              </w:rPr>
              <w:t>Phase 3</w:t>
            </w:r>
          </w:p>
        </w:tc>
        <w:tc>
          <w:tcPr>
            <w:tcW w:w="2200" w:type="dxa"/>
            <w:shd w:val="clear" w:color="auto" w:fill="FFFFFF"/>
          </w:tcPr>
          <w:p>
            <w:pPr>
              <w:spacing w:before="60" w:after="60"/>
            </w:pPr>
            <w:r>
              <w:rPr>
                <w:sz w:val="19"/>
                <w:color w:val="333333"/>
              </w:rPr>
              <w:t>Sugar Mill Tender Engine</w:t>
            </w:r>
          </w:p>
        </w:tc>
        <w:tc>
          <w:tcPr>
            <w:tcW w:w="4400" w:type="dxa"/>
            <w:shd w:val="clear" w:color="auto" w:fill="FFFFFF"/>
          </w:tcPr>
          <w:p>
            <w:pPr>
              <w:spacing w:before="60" w:after="60"/>
            </w:pPr>
            <w:r>
              <w:rPr>
                <w:sz w:val="19"/>
                <w:color w:val="333333"/>
              </w:rPr>
              <w:t>Automated Bot Ingestion, Database Tables &amp; Search Filters</w:t>
            </w:r>
          </w:p>
        </w:tc>
        <w:tc>
          <w:tcPr>
            <w:tcW w:w="1600" w:type="dxa"/>
            <w:shd w:val="clear" w:color="auto" w:fill="FFFFFF"/>
          </w:tcPr>
          <w:p>
            <w:pPr>
              <w:spacing w:before="60" w:after="60"/>
            </w:pPr>
            <w:r>
              <w:rPr>
                <w:sz w:val="19"/>
                <w:color w:val="333333"/>
              </w:rPr>
              <w:t>Days 5 – 6</w:t>
            </w:r>
          </w:p>
        </w:tc>
      </w:tr>
      <w:tr>
        <w:tc>
          <w:tcPr>
            <w:tcW w:w="1400" w:type="dxa"/>
            <w:shd w:val="clear" w:color="auto" w:fill="F7FAFC"/>
          </w:tcPr>
          <w:p>
            <w:pPr>
              <w:spacing w:before="60" w:after="60"/>
            </w:pPr>
            <w:r>
              <w:rPr>
                <w:sz w:val="19"/>
                <w:color w:val="333333"/>
              </w:rPr>
              <w:t>Phase 4</w:t>
            </w:r>
          </w:p>
        </w:tc>
        <w:tc>
          <w:tcPr>
            <w:tcW w:w="2200" w:type="dxa"/>
            <w:shd w:val="clear" w:color="auto" w:fill="F7FAFC"/>
          </w:tcPr>
          <w:p>
            <w:pPr>
              <w:spacing w:before="60" w:after="60"/>
            </w:pPr>
            <w:r>
              <w:rPr>
                <w:sz w:val="19"/>
                <w:color w:val="333333"/>
              </w:rPr>
              <w:t>News Feeder, E-Paper &amp; Launch</w:t>
            </w:r>
          </w:p>
        </w:tc>
        <w:tc>
          <w:tcPr>
            <w:tcW w:w="4400" w:type="dxa"/>
            <w:shd w:val="clear" w:color="auto" w:fill="F7FAFC"/>
          </w:tcPr>
          <w:p>
            <w:pPr>
              <w:spacing w:before="60" w:after="60"/>
            </w:pPr>
            <w:r>
              <w:rPr>
                <w:sz w:val="19"/>
                <w:color w:val="333333"/>
              </w:rPr>
              <w:t>Auto-News Engine, Ad Slots, Cross-device Testing &amp; Go-Live</w:t>
            </w:r>
          </w:p>
        </w:tc>
        <w:tc>
          <w:tcPr>
            <w:tcW w:w="1600" w:type="dxa"/>
            <w:shd w:val="clear" w:color="auto" w:fill="F7FAFC"/>
          </w:tcPr>
          <w:p>
            <w:pPr>
              <w:spacing w:before="60" w:after="60"/>
            </w:pPr>
            <w:r>
              <w:rPr>
                <w:sz w:val="19"/>
                <w:color w:val="333333"/>
              </w:rPr>
              <w:t>Days 7 – 8</w:t>
            </w:r>
          </w:p>
        </w:tc>
      </w:tr>
      <w:tr>
        <w:tc>
          <w:tcPr>
            <w:tcW w:w="1400" w:type="dxa"/>
            <w:shd w:val="clear" w:color="auto" w:fill="FFFFFF"/>
          </w:tcPr>
          <w:p>
            <w:pPr>
              <w:spacing w:before="60" w:after="60"/>
            </w:pPr>
            <w:r>
              <w:rPr>
                <w:sz w:val="19"/>
                <w:color w:val="333333"/>
              </w:rPr>
              <w:t>TOTAL</w:t>
            </w:r>
          </w:p>
        </w:tc>
        <w:tc>
          <w:tcPr>
            <w:tcW w:w="2200" w:type="dxa"/>
            <w:shd w:val="clear" w:color="auto" w:fill="FFFFFF"/>
          </w:tcPr>
          <w:p>
            <w:pPr>
              <w:spacing w:before="60" w:after="60"/>
            </w:pPr>
            <w:r>
              <w:rPr>
                <w:sz w:val="19"/>
                <w:color w:val="333333"/>
              </w:rPr>
              <w:t>Complete Production Deployment</w:t>
            </w:r>
          </w:p>
        </w:tc>
        <w:tc>
          <w:tcPr>
            <w:tcW w:w="4400" w:type="dxa"/>
            <w:shd w:val="clear" w:color="auto" w:fill="FFFFFF"/>
          </w:tcPr>
          <w:p>
            <w:pPr>
              <w:spacing w:before="60" w:after="60"/>
            </w:pPr>
            <w:r>
              <w:rPr>
                <w:sz w:val="19"/>
                <w:color w:val="333333"/>
              </w:rPr>
              <w:t>Turnkey 100% Autonomous Portal</w:t>
            </w:r>
          </w:p>
        </w:tc>
        <w:tc>
          <w:tcPr>
            <w:tcW w:w="1600" w:type="dxa"/>
            <w:shd w:val="clear" w:color="auto" w:fill="FFFFFF"/>
          </w:tcPr>
          <w:p>
            <w:pPr>
              <w:spacing w:before="60" w:after="60"/>
            </w:pPr>
            <w:r>
              <w:rPr>
                <w:sz w:val="19"/>
                <w:color w:val="333333"/>
              </w:rPr>
              <w:t>7 – 8 Working Days</w:t>
            </w:r>
          </w:p>
        </w:tc>
      </w:tr>
    </w:tbl>
    <w:p>
      <w:pPr>
        <w:spacing w:after="160"/>
      </w:pPr>
    </w:p>
    <w:p>
      <w:pPr>
        <w:spacing w:before="300" w:after="120" w:line="260" w:lineRule="auto"/>
      </w:pPr>
      <w:r>
        <w:rPr>
          <w:b/>
          <w:sz w:val="32"/>
          <w:szCs w:val="32"/>
          <w:color w:val="1B365D"/>
        </w:rPr>
        <w:t xml:space="preserve">5. Commercials &amp; Investment</w:t>
      </w:r>
    </w:p>
    <w:p>
      <w:pPr>
        <w:spacing w:before="200" w:after="80" w:line="260" w:lineRule="auto"/>
      </w:pPr>
      <w:r>
        <w:rPr>
          <w:b/>
          <w:sz w:val="26"/>
          <w:szCs w:val="26"/>
          <w:color w:val="2B547E"/>
        </w:rPr>
        <w:t xml:space="preserve">A. One-Time Fixed Development Cost</w:t>
      </w:r>
    </w:p>
    <w:p>
      <w:pPr>
        <w:spacing w:before="0" w:after="80" w:line="260" w:lineRule="auto"/>
      </w:pPr>
      <w:r>
        <w:rPr>
          <w:b/>
          <w:sz w:val="26"/>
          <w:szCs w:val="26"/>
          <w:color w:val="1B365D"/>
        </w:rPr>
        <w:t xml:space="preserve">Fixed Project Investment: ₹20,000/- (Twenty Thousand Indian Rupees)</w:t>
      </w:r>
    </w:p>
    <w:p>
      <w:pPr>
        <w:spacing w:before="0" w:after="60" w:line="260" w:lineRule="auto"/>
      </w:pPr>
      <w:r>
        <w:rPr>
          <w:b/>
          <w:sz w:val="22"/>
          <w:szCs w:val="22"/>
          <w:color w:val="333333"/>
        </w:rPr>
        <w:t xml:space="preserve">Scope Included in Fixed Fee:</w:t>
      </w:r>
    </w:p>
    <w:p>
      <w:pPr>
        <w:pStyle w:val="ListParagraph"/>
        <w:numPr>
          <w:ilvl w:val="0"/>
          <w:numId w:val="1"/>
        </w:numPr>
        <w:ind w:left="720" w:hanging="360"/>
        <w:spacing w:before="60" w:after="80" w:line="240" w:lineRule="auto"/>
      </w:pPr>
      <w:r>
        <w:rPr>
          <w:b/>
          <w:sz w:val="22"/>
          <w:color w:val="1B365D"/>
        </w:rPr>
        <w:t xml:space="preserve">Turnkey Portal Setup &amp; Complete Responsive Design </w:t>
      </w:r>
    </w:p>
    <w:p>
      <w:pPr>
        <w:pStyle w:val="ListParagraph"/>
        <w:numPr>
          <w:ilvl w:val="0"/>
          <w:numId w:val="1"/>
        </w:numPr>
        <w:ind w:left="720" w:hanging="360"/>
        <w:spacing w:before="60" w:after="80" w:line="240" w:lineRule="auto"/>
      </w:pPr>
      <w:r>
        <w:rPr>
          <w:b/>
          <w:sz w:val="22"/>
          <w:color w:val="1B365D"/>
        </w:rPr>
        <w:t xml:space="preserve">100% Autonomous Sugar Mill Tender Rate Ingestion Bots </w:t>
      </w:r>
    </w:p>
    <w:p>
      <w:pPr>
        <w:pStyle w:val="ListParagraph"/>
        <w:numPr>
          <w:ilvl w:val="0"/>
          <w:numId w:val="1"/>
        </w:numPr>
        <w:ind w:left="720" w:hanging="360"/>
        <w:spacing w:before="60" w:after="80" w:line="240" w:lineRule="auto"/>
      </w:pPr>
      <w:r>
        <w:rPr>
          <w:b/>
          <w:sz w:val="22"/>
          <w:color w:val="1B365D"/>
        </w:rPr>
        <w:t xml:space="preserve">Automated Domestic Mandi Wholesale Rate Sync </w:t>
      </w:r>
    </w:p>
    <w:p>
      <w:pPr>
        <w:pStyle w:val="ListParagraph"/>
        <w:numPr>
          <w:ilvl w:val="0"/>
          <w:numId w:val="1"/>
        </w:numPr>
        <w:ind w:left="720" w:hanging="360"/>
        <w:spacing w:before="60" w:after="80" w:line="240" w:lineRule="auto"/>
      </w:pPr>
      <w:r>
        <w:rPr>
          <w:b/>
          <w:sz w:val="22"/>
          <w:color w:val="1B365D"/>
        </w:rPr>
        <w:t xml:space="preserve">Global Commodity, Energy, Currency &amp; Stock Indices Ticker Integration </w:t>
      </w:r>
    </w:p>
    <w:p>
      <w:pPr>
        <w:pStyle w:val="ListParagraph"/>
        <w:numPr>
          <w:ilvl w:val="0"/>
          <w:numId w:val="1"/>
        </w:numPr>
        <w:ind w:left="720" w:hanging="360"/>
        <w:spacing w:before="60" w:after="80" w:line="240" w:lineRule="auto"/>
      </w:pPr>
      <w:r>
        <w:rPr>
          <w:b/>
          <w:sz w:val="22"/>
          <w:color w:val="1B365D"/>
        </w:rPr>
        <w:t xml:space="preserve">Automated Sugar &amp; Agro Industry News Ingestion Engine </w:t>
      </w:r>
    </w:p>
    <w:p>
      <w:pPr>
        <w:pStyle w:val="ListParagraph"/>
        <w:numPr>
          <w:ilvl w:val="0"/>
          <w:numId w:val="1"/>
        </w:numPr>
        <w:ind w:left="720" w:hanging="360"/>
        <w:spacing w:before="60" w:after="80" w:line="240" w:lineRule="auto"/>
      </w:pPr>
      <w:r>
        <w:rPr>
          <w:b/>
          <w:sz w:val="22"/>
          <w:color w:val="1B365D"/>
        </w:rPr>
        <w:t xml:space="preserve">E-Paper / Daily PDF Newsletter Archive System </w:t>
      </w:r>
    </w:p>
    <w:p>
      <w:pPr>
        <w:pStyle w:val="ListParagraph"/>
        <w:numPr>
          <w:ilvl w:val="0"/>
          <w:numId w:val="1"/>
        </w:numPr>
        <w:ind w:left="720" w:hanging="360"/>
        <w:spacing w:before="60" w:after="80" w:line="240" w:lineRule="auto"/>
      </w:pPr>
      <w:r>
        <w:rPr>
          <w:b/>
          <w:sz w:val="22"/>
          <w:color w:val="1B365D"/>
        </w:rPr>
        <w:t xml:space="preserve">Pre-configured Advertisement Management Framework </w:t>
      </w:r>
    </w:p>
    <w:p>
      <w:pPr>
        <w:pStyle w:val="ListParagraph"/>
        <w:numPr>
          <w:ilvl w:val="0"/>
          <w:numId w:val="1"/>
        </w:numPr>
        <w:ind w:left="720" w:hanging="360"/>
        <w:spacing w:before="60" w:after="80" w:line="240" w:lineRule="auto"/>
      </w:pPr>
      <w:r>
        <w:rPr>
          <w:b/>
          <w:sz w:val="22"/>
          <w:color w:val="1B365D"/>
        </w:rPr>
        <w:t xml:space="preserve">30 Days Complimentary Post-Launch Technical Support </w:t>
      </w:r>
    </w:p>
    <w:p>
      <w:pPr>
        <w:spacing w:before="200" w:after="80" w:line="260" w:lineRule="auto"/>
      </w:pPr>
      <w:r>
        <w:rPr>
          <w:b/>
          <w:sz w:val="26"/>
          <w:szCs w:val="26"/>
          <w:color w:val="2B547E"/>
        </w:rPr>
        <w:t xml:space="preserve">B. Annual Maintenance Contract (AMC / Ongoing Autonomous Support)</w:t>
      </w:r>
    </w:p>
    <w:p>
      <w:pPr>
        <w:spacing w:before="0" w:after="80" w:line="260" w:lineRule="auto"/>
      </w:pPr>
      <w:r>
        <w:rPr>
          <w:b/>
          <w:sz w:val="26"/>
          <w:szCs w:val="26"/>
          <w:color w:val="1B365D"/>
        </w:rPr>
        <w:t xml:space="preserve">Annual AMC Retainer: ₹4,500 / Year (Four Thousand Five Hundred Indian Rupees per Year)</w:t>
      </w:r>
    </w:p>
    <w:p>
      <w:pPr>
        <w:spacing w:before="0" w:after="60" w:line="260" w:lineRule="auto"/>
      </w:pPr>
      <w:r>
        <w:rPr>
          <w:b/>
          <w:sz w:val="22"/>
          <w:szCs w:val="22"/>
          <w:color w:val="333333"/>
        </w:rPr>
        <w:t xml:space="preserve">Why AMC is Essential for 100% Autonomous Operations:</w:t>
      </w:r>
    </w:p>
    <w:p>
      <w:pPr>
        <w:pStyle w:val="ListParagraph"/>
        <w:numPr>
          <w:ilvl w:val="0"/>
          <w:numId w:val="1"/>
        </w:numPr>
        <w:ind w:left="720" w:hanging="360"/>
        <w:spacing w:before="60" w:after="80" w:line="240" w:lineRule="auto"/>
      </w:pPr>
      <w:r>
        <w:rPr>
          <w:b/>
          <w:sz w:val="22"/>
          <w:color w:val="1B365D"/>
        </w:rPr>
        <w:t xml:space="preserve">Proactive Monitoring of Daily Automated Scraping Bots &amp; Ingestion Feeds </w:t>
      </w:r>
    </w:p>
    <w:p>
      <w:pPr>
        <w:pStyle w:val="ListParagraph"/>
        <w:numPr>
          <w:ilvl w:val="0"/>
          <w:numId w:val="1"/>
        </w:numPr>
        <w:ind w:left="720" w:hanging="360"/>
        <w:spacing w:before="60" w:after="80" w:line="240" w:lineRule="auto"/>
      </w:pPr>
      <w:r>
        <w:rPr>
          <w:b/>
          <w:sz w:val="22"/>
          <w:color w:val="1B365D"/>
        </w:rPr>
        <w:t xml:space="preserve">Immediate Hotfixes if Source Data Structures or Endpoints Change </w:t>
      </w:r>
    </w:p>
    <w:p>
      <w:pPr>
        <w:pStyle w:val="ListParagraph"/>
        <w:numPr>
          <w:ilvl w:val="0"/>
          <w:numId w:val="1"/>
        </w:numPr>
        <w:ind w:left="720" w:hanging="360"/>
        <w:spacing w:before="60" w:after="80" w:line="240" w:lineRule="auto"/>
      </w:pPr>
      <w:r>
        <w:rPr>
          <w:b/>
          <w:sz w:val="22"/>
          <w:color w:val="1B365D"/>
        </w:rPr>
        <w:t xml:space="preserve">Scheduled Weekly Database &amp; Full Portal Backups </w:t>
      </w:r>
    </w:p>
    <w:p>
      <w:pPr>
        <w:pStyle w:val="ListParagraph"/>
        <w:numPr>
          <w:ilvl w:val="0"/>
          <w:numId w:val="1"/>
        </w:numPr>
        <w:ind w:left="720" w:hanging="360"/>
        <w:spacing w:before="60" w:after="80" w:line="240" w:lineRule="auto"/>
      </w:pPr>
      <w:r>
        <w:rPr>
          <w:b/>
          <w:sz w:val="22"/>
          <w:color w:val="1B365D"/>
        </w:rPr>
        <w:t xml:space="preserve">WordPress Core, Theme &amp; Plugin Security &amp; Performance Updates </w:t>
      </w:r>
    </w:p>
    <w:p>
      <w:pPr>
        <w:pStyle w:val="ListParagraph"/>
        <w:numPr>
          <w:ilvl w:val="0"/>
          <w:numId w:val="1"/>
        </w:numPr>
        <w:ind w:left="720" w:hanging="360"/>
        <w:spacing w:before="60" w:after="80" w:line="240" w:lineRule="auto"/>
      </w:pPr>
      <w:r>
        <w:rPr>
          <w:b/>
          <w:sz w:val="22"/>
          <w:color w:val="1B365D"/>
        </w:rPr>
        <w:t xml:space="preserve">Direct Technical Support for Client Ad Banner &amp; Sponsor Uploads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3333"/>
      </w:rPr>
    </w:rPrDefault>
    <w:pPrDefault>
      <w:pPr>
        <w:spacing w:line="276" w:lineRule="auto" w:after="1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