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00" w:line="260" w:lineRule="auto"/>
      </w:pPr>
      <w:r>
        <w:rPr>
          <w:b/>
          <w:sz w:val="44"/>
          <w:szCs w:val="44"/>
          <w:color w:val="1B365D"/>
        </w:rPr>
        <w:t xml:space="preserve">BUSINESS PROPOSAL &amp; TECHNICAL SCOPE OF WORK</w:t>
      </w:r>
    </w:p>
    <w:p>
      <w:pPr>
        <w:jc w:val="center"/>
        <w:spacing w:before="0" w:after="200" w:line="260" w:lineRule="auto"/>
      </w:pPr>
      <w:r>
        <w:rPr>
          <w:b/>
          <w:sz w:val="28"/>
          <w:szCs w:val="28"/>
          <w:color w:val="D97706"/>
        </w:rPr>
        <w:t xml:space="preserve">Sugar Industry News, Live Rates &amp; Market Intelligence Portal</w:t>
      </w:r>
    </w:p>
    <w:p>
      <w:pPr>
        <w:jc w:val="center"/>
        <w:spacing w:before="0" w:after="300" w:line="260" w:lineRule="auto"/>
      </w:pPr>
      <w:r>
        <w:rPr>
          <w:i/>
          <w:sz w:val="20"/>
          <w:szCs w:val="20"/>
          <w:color w:val="666666"/>
        </w:rPr>
        <w:t xml:space="preserve">Benchmark Reference: ChiniMandi Architecture | Technology: WordPress CMS + Automated Market Ingestion Engines</w:t>
      </w:r>
    </w:p>
    <w:p>
      <w:pPr>
        <w:spacing w:before="300" w:after="120" w:line="260" w:lineRule="auto"/>
      </w:pPr>
      <w:r>
        <w:rPr>
          <w:b/>
          <w:sz w:val="32"/>
          <w:szCs w:val="32"/>
          <w:color w:val="1B365D"/>
        </w:rPr>
        <w:t xml:space="preserve">1. Project Overview</w:t>
      </w:r>
    </w:p>
    <w:p>
      <w:pPr>
        <w:spacing w:before="0" w:after="140" w:line="260" w:lineRule="auto"/>
      </w:pPr>
      <w:r>
        <w:rPr>
          <w:sz w:val="22"/>
          <w:szCs w:val="22"/>
          <w:color w:val="333333"/>
        </w:rPr>
        <w:t xml:space="preserve">The objective is to develop a high-performance, real-time commodity and news intelligence portal tailored for sugar millers, institutional traders, brokers, and allied agro-industries. The portal will serve as a single-point destination featuring Live Sugar Mill Tender Rates, Wholesale Mandi Prices, Global Commodity Tickers, Financial Indices, E-Paper Bulletins, and Industry News.</w:t>
      </w:r>
    </w:p>
    <w:p>
      <w:pPr>
        <w:spacing w:before="300" w:after="120" w:line="260" w:lineRule="auto"/>
      </w:pPr>
      <w:r>
        <w:rPr>
          <w:b/>
          <w:sz w:val="32"/>
          <w:szCs w:val="32"/>
          <w:color w:val="1B365D"/>
        </w:rPr>
        <w:t xml:space="preserve">2. Core Functional Modules &amp; Deliverables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Module A: Domestic Sugar Rates Engine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Daily Wholesale Mandi Rates: </w:t>
      </w:r>
      <w:r>
        <w:rPr>
          <w:sz w:val="22"/>
          <w:color w:val="444444"/>
        </w:rPr>
        <w:t xml:space="preserve">Real-time modal, minimum, and maximum prices across major trading hubs (Delhi, Kanpur, Mumbai, Kolkata, Chennai, Hyderabad, Raipur, etc.).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Sugar Mill Tender / Ex-Mill Rates: </w:t>
      </w:r>
      <w:r>
        <w:rPr>
          <w:sz w:val="22"/>
          <w:color w:val="444444"/>
        </w:rPr>
        <w:t xml:space="preserve">Daily mill-gate tender prices categorized by state (Uttar Pradesh, Maharashtra, Karnataka, Gujarat) with instant search, date filters, and grade classification (M-30, S-30).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Rapid Back-Office Upload Dashboard: </w:t>
      </w:r>
      <w:r>
        <w:rPr>
          <w:sz w:val="22"/>
          <w:color w:val="444444"/>
        </w:rPr>
        <w:t xml:space="preserve">Dedicated admin form for the editorial team to enter or bulk-import daily mill tender rates via Excel/CSV within 2 minutes.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Module B: Real-Time Global Commodities &amp; Financial Tickers</w:t>
      </w:r>
    </w:p>
    <w:p>
      <w:pPr>
        <w:spacing w:before="0" w:after="140" w:line="260" w:lineRule="auto"/>
      </w:pPr>
      <w:r>
        <w:rPr>
          <w:sz w:val="22"/>
          <w:szCs w:val="22"/>
          <w:color w:val="333333"/>
        </w:rPr>
        <w:t xml:space="preserve">A continuous auto-updating market ticker tape positioned at the header of all pages covering: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International Sugar Futures: </w:t>
      </w:r>
      <w:r>
        <w:rPr>
          <w:sz w:val="22"/>
          <w:color w:val="444444"/>
        </w:rPr>
        <w:t xml:space="preserve">London Sugar #5 (White Sugar), US Sugar #11 (Raw Sugar).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Allied Energy &amp; Agri Commodities: </w:t>
      </w:r>
      <w:r>
        <w:rPr>
          <w:sz w:val="22"/>
          <w:color w:val="444444"/>
        </w:rPr>
        <w:t xml:space="preserve">Chicago Ethanol, CBOT Corn, WTI Crude Oil.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Foreign Exchange (Forex): </w:t>
      </w:r>
      <w:r>
        <w:rPr>
          <w:sz w:val="22"/>
          <w:color w:val="444444"/>
        </w:rPr>
        <w:t xml:space="preserve">USD / INR, USD / BRL (Brazilian Real).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Stock Indices &amp; Sugar Equities: </w:t>
      </w:r>
      <w:r>
        <w:rPr>
          <w:sz w:val="22"/>
          <w:color w:val="444444"/>
        </w:rPr>
        <w:t xml:space="preserve">BSE Sensex, NIFTY 50, and leading NSE Sugar Stocks (Balrampur Chini, Shree Renuka Sugars, Bajaj Hindusthan, Triveni, Dalmia Bharat Sugar, etc.).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Module C: E-Paper &amp; Daily PDF Newsletter Archive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Digital Edition Archive: </w:t>
      </w:r>
      <w:r>
        <w:rPr>
          <w:sz w:val="22"/>
          <w:color w:val="444444"/>
        </w:rPr>
        <w:t xml:space="preserve">Dedicated section for publishing daily/weekly market roundups, government quota circulars, and PDF newsletters.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Flipbook / PDF Preview &amp; Download: </w:t>
      </w:r>
      <w:r>
        <w:rPr>
          <w:sz w:val="22"/>
          <w:color w:val="444444"/>
        </w:rPr>
        <w:t xml:space="preserve">Embedded responsive viewer with 1-click high-speed PDF download for mobile and desktop users.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Module D: Strategic Advertisement &amp; Monetization System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High-CTR Banner Locations: </w:t>
      </w:r>
      <w:r>
        <w:rPr>
          <w:sz w:val="22"/>
          <w:color w:val="444444"/>
        </w:rPr>
        <w:t xml:space="preserve">Pre-engineered banner ad slots designed for sugar mills, machinery suppliers, logistics, and institutional sponsors: Top Header (728x90), Right Sidebar Sticky (300x250 / 300x600), and In-article Content Injection.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Ad Manager Support: </w:t>
      </w:r>
      <w:r>
        <w:rPr>
          <w:sz w:val="22"/>
          <w:color w:val="444444"/>
        </w:rPr>
        <w:t xml:space="preserve">Supports both Direct Paid Advertiser Banners and Programmatic Ad Networks (Google AdSense).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Module E: News &amp; Editorial Management System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Categorized News Desks: </w:t>
      </w:r>
      <w:r>
        <w:rPr>
          <w:sz w:val="22"/>
          <w:color w:val="444444"/>
        </w:rPr>
        <w:t xml:space="preserve">Domestic Sugar, Ethanol &amp; Bio-Energy, International Trade, Weather &amp; Monsoon, and Govt Notifications (Quota &amp; MSP).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High-Speed Mobile Layout: </w:t>
      </w:r>
      <w:r>
        <w:rPr>
          <w:sz w:val="22"/>
          <w:color w:val="444444"/>
        </w:rPr>
        <w:t xml:space="preserve">Fast-loading mobile-first layout with clean typography, social sharing, and automated related news feeds.</w:t>
      </w:r>
    </w:p>
    <w:p>
      <w:pPr>
        <w:spacing w:before="300" w:after="120" w:line="260" w:lineRule="auto"/>
      </w:pPr>
      <w:r>
        <w:rPr>
          <w:b/>
          <w:sz w:val="32"/>
          <w:szCs w:val="32"/>
          <w:color w:val="1B365D"/>
        </w:rPr>
        <w:t xml:space="preserve">3. Third-Party Data Services: Free Limits &amp; Upgrade Costs</w:t>
      </w:r>
    </w:p>
    <w:p>
      <w:pPr>
        <w:spacing w:before="0" w:after="140" w:line="260" w:lineRule="auto"/>
      </w:pPr>
      <w:r>
        <w:rPr>
          <w:sz w:val="22"/>
          <w:szCs w:val="22"/>
          <w:color w:val="333333"/>
        </w:rPr>
        <w:t xml:space="preserve">To prevent recurring API bills, the platform leverages verified public APIs, institutional financial widgets, and custom server-cached background scripts:</w:t>
      </w:r>
    </w:p>
    <w:tbl>
      <w:tblPr>
        <w:tblW w:w="9600" w:type="dxa"/>
        <w:tblBorders>
          <w:top w:val="single" w:sz="6" w:space="0" w:color="CCCCCC"/>
          <w:left w:val="single" w:sz="6" w:space="0" w:color="CCCCCC"/>
          <w:bottom w:val="single" w:sz="8" w:space="0" w:color="1B365D"/>
          <w:right w:val="single" w:sz="6" w:space="0" w:color="CCCCCC"/>
          <w:insideH w:val="single" w:sz="4" w:space="0" w:color="E0E0E0"/>
          <w:insideV w:val="single" w:sz="4" w:space="0" w:color="E0E0E0"/>
        </w:tblBorders>
        <w:tblCellMar>
          <w:top w:w="120" w:type="dxa"/>
          <w:left w:w="140" w:type="dxa"/>
          <w:bottom w:w="120" w:type="dxa"/>
          <w:right w:w="140" w:type="dxa"/>
        </w:tblCellMar>
      </w:tblPr>
      <w:tr>
        <w:trPr>
          <w:tblHeader/>
        </w:trPr>
        <w:tc>
          <w:tcPr>
            <w:tcW w:w="18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Data Feed</w:t>
            </w:r>
          </w:p>
        </w:tc>
        <w:tc>
          <w:tcPr>
            <w:tcW w:w="20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Provider / Source</w:t>
            </w:r>
          </w:p>
        </w:tc>
        <w:tc>
          <w:tcPr>
            <w:tcW w:w="20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Free Tier Limit</w:t>
            </w:r>
          </w:p>
        </w:tc>
        <w:tc>
          <w:tcPr>
            <w:tcW w:w="18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Projected Portal Usage</w:t>
            </w:r>
          </w:p>
        </w:tc>
        <w:tc>
          <w:tcPr>
            <w:tcW w:w="20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Upgrade Cost (If Exceeded)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Domestic Mandi Prices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Govt of India Open Data (Agmarknet)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10,000 API calls / day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~2 to 4 calls / day (Server-cached)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₹0 (Always 100% Free Govt Policy)</w:t>
            </w:r>
          </w:p>
        </w:tc>
      </w:tr>
      <w:tr>
        <w:tc>
          <w:tcPr>
            <w:tcW w:w="18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Sugar Mill Tender Rates</w:t>
            </w:r>
          </w:p>
        </w:tc>
        <w:tc>
          <w:tcPr>
            <w:tcW w:w="20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Custom Automated Ingestion Script</w:t>
            </w:r>
          </w:p>
        </w:tc>
        <w:tc>
          <w:tcPr>
            <w:tcW w:w="20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Self-Hosted (Runs on Server)</w:t>
            </w:r>
          </w:p>
        </w:tc>
        <w:tc>
          <w:tcPr>
            <w:tcW w:w="18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1 to 2 runs / day</w:t>
            </w:r>
          </w:p>
        </w:tc>
        <w:tc>
          <w:tcPr>
            <w:tcW w:w="20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₹0 (Self-owned custom code)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Global Commodities &amp; Forex (London #5, US #11, Corn, Ethanol, Crude, USD/INR, USD/BRL)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Global Financial Market Widget Network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Unlimited Pageviews (Standard Distribution)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Unlimited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₹0 (Free indefinitely; Optional raw JSON feed: ~$15/mo)</w:t>
            </w:r>
          </w:p>
        </w:tc>
      </w:tr>
      <w:tr>
        <w:tc>
          <w:tcPr>
            <w:tcW w:w="18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Stock Indices &amp; Sugar Equities (Sensex, Nifty50, Sugar Mill Stocks)</w:t>
            </w:r>
          </w:p>
        </w:tc>
        <w:tc>
          <w:tcPr>
            <w:tcW w:w="20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Stockdio Financial Cloud</w:t>
            </w:r>
          </w:p>
        </w:tc>
        <w:tc>
          <w:tcPr>
            <w:tcW w:w="20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10,000 Requests / month</w:t>
            </w:r>
          </w:p>
        </w:tc>
        <w:tc>
          <w:tcPr>
            <w:tcW w:w="18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~500 to 1,000 / month (Aggregated view)</w:t>
            </w:r>
          </w:p>
        </w:tc>
        <w:tc>
          <w:tcPr>
            <w:tcW w:w="20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~$8 / month (~₹650/mo) only if 10k monthly calls exceeded</w:t>
            </w:r>
          </w:p>
        </w:tc>
      </w:tr>
    </w:tbl>
    <w:p>
      <w:pPr>
        <w:spacing w:after="160"/>
      </w:pPr>
    </w:p>
    <w:p>
      <w:pPr>
        <w:spacing w:before="0" w:after="200" w:line="260" w:lineRule="auto"/>
      </w:pPr>
      <w:r>
        <w:rPr>
          <w:i/>
          <w:sz w:val="20"/>
          <w:szCs w:val="20"/>
          <w:color w:val="555555"/>
        </w:rPr>
        <w:t xml:space="preserve">Note: Server-side caching guarantees that regular website visitor traffic does NOT consume third-party API quotas. Operating API cost remains ₹0.</w:t>
      </w:r>
    </w:p>
    <w:p>
      <w:pPr>
        <w:spacing w:before="300" w:after="120" w:line="260" w:lineRule="auto"/>
      </w:pPr>
      <w:r>
        <w:rPr>
          <w:b/>
          <w:sz w:val="32"/>
          <w:szCs w:val="32"/>
          <w:color w:val="1B365D"/>
        </w:rPr>
        <w:t xml:space="preserve">4. Implementation Timeline (Phased Roadmap)</w:t>
      </w:r>
    </w:p>
    <w:tbl>
      <w:tblPr>
        <w:tblW w:w="9600" w:type="dxa"/>
        <w:tblBorders>
          <w:top w:val="single" w:sz="6" w:space="0" w:color="CCCCCC"/>
          <w:left w:val="single" w:sz="6" w:space="0" w:color="CCCCCC"/>
          <w:bottom w:val="single" w:sz="8" w:space="0" w:color="1B365D"/>
          <w:right w:val="single" w:sz="6" w:space="0" w:color="CCCCCC"/>
          <w:insideH w:val="single" w:sz="4" w:space="0" w:color="E0E0E0"/>
          <w:insideV w:val="single" w:sz="4" w:space="0" w:color="E0E0E0"/>
        </w:tblBorders>
        <w:tblCellMar>
          <w:top w:w="120" w:type="dxa"/>
          <w:left w:w="140" w:type="dxa"/>
          <w:bottom w:w="120" w:type="dxa"/>
          <w:right w:w="140" w:type="dxa"/>
        </w:tblCellMar>
      </w:tblPr>
      <w:tr>
        <w:trPr>
          <w:tblHeader/>
        </w:trPr>
        <w:tc>
          <w:tcPr>
            <w:tcW w:w="14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Phase</w:t>
            </w:r>
          </w:p>
        </w:tc>
        <w:tc>
          <w:tcPr>
            <w:tcW w:w="22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Milestone</w:t>
            </w:r>
          </w:p>
        </w:tc>
        <w:tc>
          <w:tcPr>
            <w:tcW w:w="44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Deliverables</w:t>
            </w:r>
          </w:p>
        </w:tc>
        <w:tc>
          <w:tcPr>
            <w:tcW w:w="16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Timeline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Phase 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Foundation &amp; CMS Architecture</w:t>
            </w:r>
          </w:p>
        </w:tc>
        <w:tc>
          <w:tcPr>
            <w:tcW w:w="4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Portal Structure, News Categories, Layout Design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Days 1 – 2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Phase 2</w:t>
            </w:r>
          </w:p>
        </w:tc>
        <w:tc>
          <w:tcPr>
            <w:tcW w:w="22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Financial Tickers &amp; Mandi Feeds</w:t>
            </w:r>
          </w:p>
        </w:tc>
        <w:tc>
          <w:tcPr>
            <w:tcW w:w="44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Real-time Commodity &amp; Currency Ticker Integration</w:t>
            </w:r>
          </w:p>
        </w:tc>
        <w:tc>
          <w:tcPr>
            <w:tcW w:w="16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Days 3 – 4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Phase 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Sugar Mill Tender Engine</w:t>
            </w:r>
          </w:p>
        </w:tc>
        <w:tc>
          <w:tcPr>
            <w:tcW w:w="4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Database Table, Search Filters &amp; Admin Bulk Uploader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Days 5 – 6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Phase 4</w:t>
            </w:r>
          </w:p>
        </w:tc>
        <w:tc>
          <w:tcPr>
            <w:tcW w:w="22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E-Paper, Ads &amp; Launch</w:t>
            </w:r>
          </w:p>
        </w:tc>
        <w:tc>
          <w:tcPr>
            <w:tcW w:w="44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PDF Archive, Ad Slots, Cross-device Testing &amp; Go-Live</w:t>
            </w:r>
          </w:p>
        </w:tc>
        <w:tc>
          <w:tcPr>
            <w:tcW w:w="16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Days 7 – 8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TOTAL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Complete Production Deployment</w:t>
            </w:r>
          </w:p>
        </w:tc>
        <w:tc>
          <w:tcPr>
            <w:tcW w:w="4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Turnkey Ready-to-Operate Portal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7 – 8 Working Days</w:t>
            </w:r>
          </w:p>
        </w:tc>
      </w:tr>
    </w:tbl>
    <w:p>
      <w:pPr>
        <w:spacing w:after="160"/>
      </w:pPr>
    </w:p>
    <w:p>
      <w:pPr>
        <w:spacing w:before="300" w:after="120" w:line="260" w:lineRule="auto"/>
      </w:pPr>
      <w:r>
        <w:rPr>
          <w:b/>
          <w:sz w:val="32"/>
          <w:szCs w:val="32"/>
          <w:color w:val="1B365D"/>
        </w:rPr>
        <w:t xml:space="preserve">5. Commercials &amp; Investment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A. One-Time Fixed Development Cost</w:t>
      </w:r>
    </w:p>
    <w:p>
      <w:pPr>
        <w:spacing w:before="0" w:after="80" w:line="260" w:lineRule="auto"/>
      </w:pPr>
      <w:r>
        <w:rPr>
          <w:b/>
          <w:sz w:val="26"/>
          <w:szCs w:val="26"/>
          <w:color w:val="1B365D"/>
        </w:rPr>
        <w:t xml:space="preserve">Fixed Project Investment: ₹20,000/- (Twenty Thousand Indian Rupees)</w:t>
      </w:r>
    </w:p>
    <w:p>
      <w:pPr>
        <w:spacing w:before="0" w:after="60" w:line="260" w:lineRule="auto"/>
      </w:pPr>
      <w:r>
        <w:rPr>
          <w:b/>
          <w:sz w:val="22"/>
          <w:szCs w:val="22"/>
          <w:color w:val="333333"/>
        </w:rPr>
        <w:t xml:space="preserve">Scope Included in Fixed Fee: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Complete Portal Setup, Custom Styling &amp; Responsive Design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Domestic Sugar Mill Rates Engine with State/Date/Grade Filters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Global Commodity, Energy, Currency &amp; Stock Indices Ticker Integration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E-Paper / Daily PDF Newsletter Archive System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Pre-configured Advertisement Management Framework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Back-office CSV/Excel Bulk Rate Upload Facility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30 Days Complimentary Post-Launch Technical Support 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B. Annual Maintenance Contract (AMC / Ongoing Support - Optional)</w:t>
      </w:r>
    </w:p>
    <w:p>
      <w:pPr>
        <w:spacing w:before="0" w:after="80" w:line="260" w:lineRule="auto"/>
      </w:pPr>
      <w:r>
        <w:rPr>
          <w:b/>
          <w:sz w:val="26"/>
          <w:szCs w:val="26"/>
          <w:color w:val="1B365D"/>
        </w:rPr>
        <w:t xml:space="preserve">Annual AMC Retainer: ₹4,500 / Year (Four Thousand Five Hundred Indian Rupees per Year)</w:t>
      </w:r>
    </w:p>
    <w:p>
      <w:pPr>
        <w:spacing w:before="0" w:after="60" w:line="260" w:lineRule="auto"/>
      </w:pPr>
      <w:r>
        <w:rPr>
          <w:b/>
          <w:sz w:val="22"/>
          <w:szCs w:val="22"/>
          <w:color w:val="333333"/>
        </w:rPr>
        <w:t xml:space="preserve">Services Included in AMC: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Proactive Monitoring of Live Rates Feeds &amp; Scraper Health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Scheduled Weekly Database &amp; Full Portal Backups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WordPress Core, Theme &amp; Plugin Security Updates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Prompt Technical Bug Fixes &amp; Minor Content / Ad Banner Revisions 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3333"/>
      </w:rPr>
    </w:rPrDefault>
    <w:pPrDefault>
      <w:pPr>
        <w:spacing w:line="276" w:lineRule="auto" w:after="1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