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b/>
          <w:i w:val="0"/>
          <w:sz w:val="24"/>
        </w:rPr>
        <w:t>BỘ THÔNG TIN VÀ TRUYỀN THÔNG</w:t>
        <w:br/>
        <w:t>HỌC VIỆN CÔNG NGHỆ BƯU CHÍNH VIỄN THÔNG</w:t>
        <w:br/>
        <w:t>KHOA CÔNG NGHỆ THÔNG TIN 2</w:t>
        <w:br/>
      </w:r>
    </w:p>
    <w:p>
      <w:pPr>
        <w:spacing w:before="360" w:after="240" w:line="276" w:lineRule="auto"/>
        <w:jc w:val="center"/>
      </w:pPr>
      <w:r>
        <w:rPr>
          <w:rFonts w:ascii="Calibri" w:hAnsi="Calibri"/>
          <w:b/>
          <w:i w:val="0"/>
          <w:sz w:val="28"/>
        </w:rPr>
        <w:t>TÀI LIỆU THIẾT KẾ HỆ THỐNG (DESIGN DOCUMENT)</w:t>
        <w:br/>
        <w:t>SMPC SECURE SUM PROTOCOL</w:t>
      </w:r>
    </w:p>
    <w:p>
      <w:pPr>
        <w:spacing w:before="120" w:after="360" w:line="276" w:lineRule="auto"/>
        <w:jc w:val="center"/>
      </w:pPr>
      <w:r>
        <w:rPr>
          <w:rFonts w:ascii="Calibri" w:hAnsi="Calibri"/>
          <w:b w:val="0"/>
          <w:i/>
          <w:sz w:val="22"/>
        </w:rPr>
        <w:t>Chủ đề #104 – Danh mục 11: Security and Privacy</w:t>
        <w:br/>
        <w:t>Mã đề tài: 104</w:t>
      </w:r>
    </w:p>
    <w:p>
      <w:pPr>
        <w:spacing w:before="240" w:after="120" w:line="276" w:lineRule="auto"/>
        <w:jc w:val="left"/>
      </w:pPr>
      <w:r>
        <w:rPr>
          <w:rFonts w:ascii="Calibri" w:hAnsi="Calibri"/>
          <w:b/>
          <w:i w:val="0"/>
          <w:sz w:val="32"/>
        </w:rPr>
        <w:t>1. KIẾN TRÚC &amp; LUỒNG GHI BÌNH THƯỜNG</w:t>
      </w:r>
    </w:p>
    <w:p>
      <w:pPr>
        <w:spacing w:before="240" w:after="120" w:line="276" w:lineRule="auto"/>
        <w:jc w:val="left"/>
      </w:pPr>
      <w:r>
        <w:rPr>
          <w:rFonts w:ascii="Calibri" w:hAnsi="Calibri"/>
          <w:b/>
          <w:i w:val="0"/>
          <w:sz w:val="28"/>
        </w:rPr>
        <w:t>1.1 Sơ Đồ Kiến Trúc Hệ Thống</w:t>
      </w:r>
    </w:p>
    <w:p>
      <w:pPr>
        <w:spacing w:before="0" w:after="120" w:line="276" w:lineRule="auto"/>
        <w:jc w:val="left"/>
      </w:pPr>
      <w:r>
        <w:t>Hệ thống được thiết kế theo kiến trúc phi tập trung, không chia sẻ bộ nhớ (Shared-Nothing Architecture) giữa các phòng ban. Mỗi phòng ban (Site) hoạt động độc lập trên một tiến trình Node.js máy chủ Web Express riêng biệt lắng nghe trên một cổng TCP cục bộ. Các API truy vấn dữ liệu thô (ví dụ: /salary) bị cấm thiết lập để bảo mật. Dữ liệu chỉ di chuyển qua luồng Secure Sum tuần hoàn mạng vòng.</w:t>
        <w:br/>
      </w:r>
    </w:p>
    <w:p>
      <w:pPr>
        <w:spacing w:before="120" w:after="120" w:line="276" w:lineRule="auto"/>
        <w:jc w:val="center"/>
      </w:pPr>
      <w:r>
        <w:rPr>
          <w:rFonts w:ascii="Consolas" w:hAnsi="Consolas"/>
          <w:sz w:val="19"/>
        </w:rPr>
        <w:t>┌─────────────────────────────────────────────────────────────┐</w:t>
        <w:br/>
        <w:t>│                    Client / Web Browser                     │</w:t>
        <w:br/>
        <w:t>└───────────────────────────┬─────────────────────────────────┘</w:t>
        <w:br/>
        <w:t xml:space="preserve">                            │  GET /start-secure-sum</w:t>
        <w:br/>
        <w:t xml:space="preserve">                            ▼</w:t>
        <w:br/>
        <w:t>┌─────────────────────────────────────────────────────────────┐</w:t>
        <w:br/>
        <w:t>│                     Site A (Port 3001)                      │</w:t>
        <w:br/>
        <w:t>│  • Sinh UUID giao dịch &amp; số ngẫu nhiên lớn R (10 chữ số)    │</w:t>
        <w:br/>
        <w:t>│  • Lưu Map [transactionId -&gt; R]                             │</w:t>
        <w:br/>
        <w:t>│  • Gửi S1 = X_A + R kèm transactionId sang Site B           │</w:t>
        <w:br/>
        <w:t>└──────────────┬──────────────────────────────────────────────┘</w:t>
        <w:br/>
        <w:t xml:space="preserve">               │  POST /secure-sum {transactionId, partialSum} (qua Hacker Proxy)</w:t>
        <w:br/>
        <w:t xml:space="preserve">               ▼</w:t>
        <w:br/>
        <w:t>┌─────────────────────────────────────────────────────────────┐</w:t>
        <w:br/>
        <w:t>│             Hacker Sniffer Proxy (Port 3005)                │</w:t>
        <w:br/>
        <w:t>│  • Đánh chặn gói tin chứa transactionId &amp; partialSum        │</w:t>
        <w:br/>
        <w:t>│  • Chuyển tiếp nguyên vẹn S1 sang Site B (có thể tamper)    │</w:t>
        <w:br/>
        <w:t>└──────────────┬──────────────────────────────────────────────┘</w:t>
        <w:br/>
        <w:t xml:space="preserve">               │  POST /secure-sum {transactionId, partialSum}</w:t>
        <w:br/>
        <w:t xml:space="preserve">               ▼</w:t>
        <w:br/>
        <w:t>┌──────────────────┐       POST        ┌──────────────────┐</w:t>
        <w:br/>
        <w:t>│ Site B (Port3002)│ ───────────────&gt;  │ Site C (Port3003)│</w:t>
        <w:br/>
        <w:t>│ data.json        │ {partialSum: S2}  │ data.json        │</w:t>
        <w:br/>
        <w:t>└──────────────────┘                   └────────┬─────────┘</w:t>
        <w:br/>
        <w:t xml:space="preserve">         ▲                                      │</w:t>
        <w:br/>
        <w:t xml:space="preserve">         │ POST {partialSum: S4}                │ POST {partialSum: S3}</w:t>
        <w:br/>
        <w:t xml:space="preserve">         │                                      ▼</w:t>
        <w:br/>
        <w:t>┌────────┴─────────┐                   ┌──────────────────┐</w:t>
        <w:br/>
        <w:t>│ Site A (Port3001)│ &lt;──────────────── │ Site D (Port3004)│</w:t>
        <w:br/>
        <w:t>│ final-result     │                   │ data.json        │</w:t>
        <w:br/>
        <w:t>└──────────────────┘                   └──────────────────┘</w:t>
        <w:br/>
      </w:r>
    </w:p>
    <w:p>
      <w:pPr>
        <w:spacing w:before="240" w:after="120" w:line="276" w:lineRule="auto"/>
        <w:jc w:val="left"/>
      </w:pPr>
      <w:r>
        <w:rPr>
          <w:rFonts w:ascii="Calibri" w:hAnsi="Calibri"/>
          <w:b/>
          <w:i w:val="0"/>
          <w:sz w:val="28"/>
        </w:rPr>
        <w:t>1.2 Luồng Ghi Bình Thường</w:t>
      </w:r>
    </w:p>
    <w:p>
      <w:pPr>
        <w:spacing w:before="0" w:after="120" w:line="276" w:lineRule="auto"/>
        <w:jc w:val="left"/>
      </w:pPr>
      <w:r>
        <w:t>Giao thức sử dụng cấu trúc mạng vòng (Ring Topology) khép kín để truyền tải giá trị tổng tích lũy bán phần. Gói tin chỉ di chuyển theo chiều một hướng cố định:</w:t>
        <w:br/>
        <w:t>• Bước 1: Client gọi endpoint khởi động tại Site A. Site A đọc và tính tổng lương danh sách nhân viên cục bộ, sinh transactionId và số ngẫu nhiên R (10 chữ số) cộng vào lương cục bộ, gửi đi qua HTTP POST.</w:t>
        <w:br/>
        <w:t>• Bước 2: Site B nhận dữ liệu, tính tổng lương nhân viên cục bộ, cộng thêm vào tổng nhận được và gửi tiếp sang Site C qua HTTP POST kèm transactionId.</w:t>
        <w:br/>
        <w:t>• Bước 3: Site C nhận dữ liệu, tính tổng lương nhân viên cục bộ, cộng thêm vào tổng nhận được và gửi tiếp sang Site D qua HTTP POST kèm transactionId.</w:t>
        <w:br/>
        <w:t>• Bước 4: Site D nhận dữ liệu, tính tổng lương nhân viên cục bộ, cộng thêm vào tổng nhận được và gửi trả kết quả tích lũy cuối cùng kèm transactionId về Site A để trừ khử số R tương ứng nằm trong Map nhằm giải mã và hiển thị tổng toàn cục.</w:t>
      </w:r>
    </w:p>
    <w:p>
      <w:pPr>
        <w:spacing w:before="240" w:after="120" w:line="276" w:lineRule="auto"/>
        <w:jc w:val="left"/>
      </w:pPr>
      <w:r>
        <w:rPr>
          <w:rFonts w:ascii="Calibri" w:hAnsi="Calibri"/>
          <w:b/>
          <w:i/>
          <w:sz w:val="24"/>
        </w:rPr>
        <w:t>1.2.1 Endpoint Xác Thực (Verification Endpoint)</w:t>
      </w:r>
    </w:p>
    <w:p>
      <w:pPr>
        <w:spacing w:before="0" w:after="120" w:line="276" w:lineRule="auto"/>
        <w:jc w:val="left"/>
      </w:pPr>
      <w:r>
        <w:rPr>
          <w:b/>
        </w:rPr>
        <w:t xml:space="preserve">• GET /verify: </w:t>
      </w:r>
      <w:r>
        <w:t>Endpoint được thiết lập tại Site A nhằm mục đích mô phỏng kết quả đối chiếu thực tế (Ground Truth) dựa trên đặc tả dữ liệu doanh nghiệp (IT: 120,000, HR: 150,000, Finance: 180,000, Marketing: 130,000). Kết quả này được đối chiếu bằng cách gọi HTTP API đến các site khác qua endpoint GET /local-summary để thu thập tổng cục bộ của họ, bảo đảm tính tự trị dữ liệu tuyệt đối (Shared-Nothing) và không vi phạm quyền riêng tư của các phòng ban trong quá trình tính toán thực tế.</w:t>
      </w:r>
    </w:p>
    <w:p>
      <w:pPr>
        <w:spacing w:before="240" w:after="120" w:line="276" w:lineRule="auto"/>
        <w:jc w:val="left"/>
      </w:pPr>
      <w:r>
        <w:rPr>
          <w:rFonts w:ascii="Calibri" w:hAnsi="Calibri"/>
          <w:b/>
          <w:i w:val="0"/>
          <w:sz w:val="28"/>
        </w:rPr>
        <w:t>1.3 Thiết kế Cơ sở Dữ liệu Cục bộ</w:t>
      </w:r>
    </w:p>
    <w:p>
      <w:pPr>
        <w:spacing w:before="0" w:after="120" w:line="276" w:lineRule="auto"/>
        <w:jc w:val="left"/>
      </w:pPr>
      <w:r>
        <w:t>Dữ liệu được lưu trữ vật lý dưới dạng file JSON chứa danh sách nhân viên thực tế tại thư mục cục bộ của từng tiến trình để bảo đảm tính tự trị dữ liệu cao nhất. Đường dẫn tệp tin cụ thể:</w:t>
        <w:br/>
        <w:t>• Site A: site-a/data/salary.json (IT: Nguyen Van A - 50k, Tran Thi B - 35k, Le Hoang C - 35k)</w:t>
        <w:br/>
        <w:t>• Site B: site-b/data/salary.json (HR: Pham Hong D - 60k, Hoang Lan E - 45k, Doan Minh F - 45k)</w:t>
        <w:br/>
        <w:t>• Site C: site-c/data/salary.json (Finance: Vu Xuan G - 80k, Ngo Quoc H - 55k, Bui Minh J - 45k)</w:t>
        <w:br/>
        <w:t>• Site D: site-d/data/salary.json (Marketing: Ly Khanh J - 50k, Dang Linh K - 40k, Phan Son L - 40k)</w:t>
        <w:br/>
        <w:br/>
        <w:t>Cấu trúc định dạng dữ liệu (Schema):</w:t>
        <w:br/>
        <w:t>{</w:t>
        <w:br/>
        <w:t xml:space="preserve">  "department": "Tên phòng ban",</w:t>
        <w:br/>
        <w:t xml:space="preserve">  "employees": [</w:t>
        <w:br/>
        <w:t xml:space="preserve">     { "name": "Tên nhân viên", "role": "Chức danh", "salary": Mức lương }</w:t>
        <w:br/>
        <w:t xml:space="preserve">  ]</w:t>
        <w:br/>
        <w:t>}</w:t>
        <w:br/>
        <w:br/>
        <w:t>Lưu ý quan trọng: Hệ thống không thiết lập bất kỳ giao diện API mạng công khai nào để truy xuất tệp dữ liệu lương thô này (xóa bỏ endpoint /salary), đảm bảo quyền riêng tư tuyệt đối cho cơ sở dữ liệu Shared-Nothing của các site.</w:t>
      </w:r>
    </w:p>
    <w:p>
      <w:pPr>
        <w:spacing w:before="240" w:after="120" w:line="276" w:lineRule="auto"/>
        <w:jc w:val="left"/>
      </w:pPr>
      <w:r>
        <w:rPr>
          <w:rFonts w:ascii="Calibri" w:hAnsi="Calibri"/>
          <w:b/>
          <w:i w:val="0"/>
          <w:sz w:val="32"/>
        </w:rPr>
        <w:t>2. XỬ LÝ LỖI, HACKER PROXY &amp; CHỈ SỐ ĐÁNH GIÁ</w:t>
      </w:r>
    </w:p>
    <w:p>
      <w:pPr>
        <w:spacing w:before="240" w:after="120" w:line="276" w:lineRule="auto"/>
        <w:jc w:val="left"/>
      </w:pPr>
      <w:r>
        <w:rPr>
          <w:rFonts w:ascii="Calibri" w:hAnsi="Calibri"/>
          <w:b/>
          <w:i w:val="0"/>
          <w:sz w:val="28"/>
        </w:rPr>
        <w:t>2.1 Luồng Khi Có Lỗi Sập Nút Mạng (Failure Scenario)</w:t>
      </w:r>
    </w:p>
    <w:p>
      <w:pPr>
        <w:spacing w:before="0" w:after="120" w:line="276" w:lineRule="auto"/>
        <w:jc w:val="left"/>
      </w:pPr>
      <w:r>
        <w:t>Hệ thống phân tán được trang bị giao thức chịu lỗi tự động để ngăn ngừa hiện tượng treo luồng mạng vĩnh viễn (Infinite Blocking) khi có một nút mạng gặp sự cố sập nguồn hoặc mất kết nối:</w:t>
        <w:br/>
        <w:t>• a) Phát hiện lỗi bằng giới hạn thời gian (Timeout-based Detection): Mọi yêu cầu HTTP POST gửi dữ liệu giữa các Site kế tiếp nhau được cấu hình thời gian chờ nghiêm ngặt là timeout: 3000ms. Nếu site kế tiếp không phản hồi sau 3 giây hoặc cổng kết nối bị đóng đột ngột, Axios sẽ kích hoạt sự kiện lỗi mạng phân tán.</w:t>
        <w:br/>
        <w:t>• b) Lan truyền lỗi phân tán tự động (Error Propagation): Khi một nút mạng (ví dụ Site B) phát hiện nút mạng kế tiếp (Site C) bị sập, nó sẽ lập tiếp bắt lấy ngoại lệ lỗi kết nối và trả về phản hồi lỗi HTTP 502 (Bad Gateway) kèm thông tin định danh nút lỗi cụ thể. Thông báo lỗi này sẽ được truyền ngược tuần tự qua chuỗi cuộc gọi HTTP về lại Site khởi tạo (Site A). Site A sẽ bóc tách phản hồi lỗi và kết xuất thông tin lỗi rõ ràng ra giao diện Client, đồng thời giải phóng Map lưu trữ R để tránh memory leak.</w:t>
      </w:r>
    </w:p>
    <w:p>
      <w:pPr>
        <w:spacing w:before="240" w:after="120" w:line="276" w:lineRule="auto"/>
        <w:jc w:val="left"/>
      </w:pPr>
      <w:r>
        <w:rPr>
          <w:rFonts w:ascii="Calibri" w:hAnsi="Calibri"/>
          <w:b/>
          <w:i w:val="0"/>
          <w:sz w:val="28"/>
        </w:rPr>
        <w:t>2.2 Hacker Proxy &amp; Hacker Mode (Passive &amp; Active)</w:t>
      </w:r>
    </w:p>
    <w:p>
      <w:pPr>
        <w:spacing w:before="0" w:after="120" w:line="276" w:lineRule="auto"/>
        <w:jc w:val="left"/>
      </w:pPr>
      <w:r>
        <w:t>Hệ thống tích hợp hai kịch bản tấn công qua Hacker Proxy tại cổng 3005:</w:t>
        <w:br/>
        <w:t>• Kịch bản 1: Nghe lén thụ động (Passive Sniffing): Hacker bắt được partialSum = X_A + R. Vì R là một số ngẫu nhiên 10 chữ số bảo mật cao sinh ra từ crypto.randomInt() và chỉ tồn tại trong bộ nhớ RAM của Site A, hacker không thể biết R và có vô số bộ nghiệm (Salary_A, R) thỏa mãn. Do đó hệ thống bảo vệ an toàn thông tin tuyệt đối.</w:t>
        <w:br/>
        <w:t>• Kịch bản 2: Can thiệp dữ liệu chủ động (Active Tampering): Khi truyền tham số ?tamper=true, Hacker Proxy sẽ sửa đổi giá trị partialSum tăng thêm 999999 trước khi gửi đi. Kết quả giải mã cuối cùng thu được tại Site A sẽ bị sai lệch hoàn toàn, chứng minh hệ thống cần tích hợp thêm chữ ký số hoặc HMAC để bảo toàn tính toàn vẹn thông tin (Integrity).</w:t>
      </w:r>
    </w:p>
    <w:p>
      <w:pPr>
        <w:spacing w:before="240" w:after="120" w:line="276" w:lineRule="auto"/>
        <w:jc w:val="left"/>
      </w:pPr>
      <w:r>
        <w:rPr>
          <w:rFonts w:ascii="Calibri" w:hAnsi="Calibri"/>
          <w:b/>
          <w:i w:val="0"/>
          <w:sz w:val="28"/>
        </w:rPr>
        <w:t>2.3 Chỉ Số Đánh Giá Hiệu Năng &amp; Benchmark</w:t>
      </w:r>
    </w:p>
    <w:p>
      <w:pPr>
        <w:spacing w:before="0" w:after="120" w:line="276" w:lineRule="auto"/>
        <w:jc w:val="left"/>
      </w:pPr>
      <w:r>
        <w:t>Để chứng minh tính tối ưu của giao thức SMPC Secure Sum, hệ thống xây dựng endpoint /benchmark so sánh định lượng trực tiếp với mô hình tập trung truyền thống (Traditional Coordinator) thu thập toàn bộ dữ liệu thô nhân viên:</w:t>
        <w:br/>
        <w:t>• Traditional Centralized: Số chặng mạng: 6 hops (3 requests + 3 responses chéo). Băng thông truyền tải: 569 bytes (tăng tuyến tính O(N) theo số lượng nhân viên).</w:t>
        <w:br/>
        <w:t>• SMPC Secure Sum Ring: Số chặng mạng: 8 hops (4 requests + 4 responses khép kín). Băng thông truyền tải: 396 bytes (cố định O(1) bất chấp quy mô nhân viên do chỉ truyền 1 số tổng cục bộ đã che giấu).</w:t>
        <w:br/>
        <w:t>Kết quả thực nghiệm chứng minh SMPC giúp giảm số chặng kết nối mạng và tiết kiệm đáng kể dung lượng payload truyền tải trên mạng.</w:t>
      </w:r>
    </w:p>
    <w:p>
      <w:pPr>
        <w:spacing w:before="240" w:after="120" w:line="276" w:lineRule="auto"/>
        <w:jc w:val="left"/>
      </w:pPr>
      <w:r>
        <w:rPr>
          <w:rFonts w:ascii="Calibri" w:hAnsi="Calibri"/>
          <w:b/>
          <w:i w:val="0"/>
          <w:sz w:val="28"/>
        </w:rPr>
        <w:t>2.4 Kịch Bản Tấn Công Thông Đồng (Collusion Attack Demo)</w:t>
      </w:r>
    </w:p>
    <w:p>
      <w:pPr>
        <w:spacing w:before="0" w:after="120" w:line="276" w:lineRule="auto"/>
        <w:jc w:val="left"/>
      </w:pPr>
      <w:r>
        <w:t>Nếu hai site lân cận (ví dụ Site B và Site D) thông đồng, họ có thể chia sẻ thông tin đầu ra của Site B (S2) và đầu vào của Site D (S3). Khi đó, họ dễ dàng tính toán được tổng lương của Site C nằm giữa qua công thức X_C = S3 - S2. Hệ thống tích hợp endpoint /collusion-demo để mô phỏng sự thỏa hiệp này và đề xuất các giải pháp khắc phục (như Shamir's Secret Sharing hoặc định tuyến ngẫu nhiên).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