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Charter School Law, Unintended Consequences, and Rocketship</w:t>
      </w:r>
      <w:r>
        <w:rPr>
          <w:rFonts w:ascii="Alegreya" w:hAnsi="Alegreya"/>
          <w:spacing w:val="19"/>
        </w:rPr>
        <w:t xml:space="preserve"> </w:t>
      </w:r>
      <w:r>
        <w:rPr>
          <w:rFonts w:ascii="Alegreya" w:hAnsi="Alegreya"/>
          <w:spacing w:val="-2"/>
        </w:rPr>
        <w:t>Education</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Rocketship Education is a non-profit, public benefit charter management organization (CMO) comprising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sometimes painful 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schools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ever measured if charter schools do in fact stimulate improvement in public schools. The word “competition” rarely appears in analyses by the Legislative Analyst’s Office (LAO) or in policy briefs by advocacy organizations or think tanks.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In 2009, Zimmer et al came to the conclusion that charter schools did not substantially affect achievement in nearby traditional public schools (Zimmer et al, 2009). 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Unlike TPSs which have ready access to a supply of new students, i.e. all who reside within district boundaries, charter schools must convince parents that their children will learn more by going to a charter school than by going to a TPS. Public schools do not need to do anything and students just enroll.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whose 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 ship. Third and finally, not to worry, everyone can afford to go to a Rocketship school because it is free!</w:t>
      </w:r>
    </w:p>
    <w:p>
      <w:pPr>
        <w:pStyle w:val="BodyText"/>
        <w:rPr/>
      </w:pPr>
      <w:r>
        <w:rPr/>
        <w:t xml:space="preserve">It’s noteworthy that every child portrayed on the Rocketship web site is smiling broadly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a pipeline of students. It ought to be mentioned that charter schools are sometimes picky about what students they’d like to see enrolled. Mommandi and Welner summarize their own book, </w:t>
      </w:r>
      <w:r>
        <w:rPr>
          <w:i/>
          <w:iCs/>
        </w:rPr>
        <w:t>School’s Choice: How Charter Schools Control Access and Shape Enrollment</w:t>
      </w:r>
      <w:r>
        <w:rPr>
          <w:i w:val="false"/>
          <w:iCs w:val="false"/>
        </w:rPr>
        <w:t>, 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for charter schools at the national level, 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All things being equal, would you rather your child go to a charter named after your boring city or to 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(2015)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but subtly implied is that TPSs are the ones doing this and Innovate is merely drawing 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Also unmentioned is the well-documented fact (which can easily be verified by comparing a charter school to its home public school district) is that charter schools are loathe to admit students with special needs, and if they must,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39"/>
        <w:gridCol w:w="7560"/>
      </w:tblGrid>
      <w:tr>
        <w:trPr/>
        <w:tc>
          <w:tcPr>
            <w:tcW w:w="1439"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39"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39"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spacing w:before="0" w:after="0"/>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are 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for the rent subsidy, 55% of a charter school’s students must be eligible for FRPMs.</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i/>
          <w:iC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3"/>
        <w:gridCol w:w="6976"/>
      </w:tblGrid>
      <w:tr>
        <w:trPr/>
        <w:tc>
          <w:tcPr>
            <w:tcW w:w="202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6"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6"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3" w:type="dxa"/>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6"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3" w:type="dxa"/>
            <w:tcBorders>
              <w:bottom w:val="single" w:sz="6" w:space="0" w:color="000000"/>
            </w:tcBorders>
          </w:tcPr>
          <w:p>
            <w:pPr>
              <w:pStyle w:val="BodyText"/>
              <w:widowControl w:val="false"/>
              <w:tabs>
                <w:tab w:val="clear" w:pos="643"/>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6"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pStyle w:val="Normal"/>
        <w:rPr/>
      </w:pPr>
      <w:r>
        <w:rPr/>
        <w:t xml:space="preserve">$100,000  x 37% = $37,000. The investor's net profit is then $100,000 - $37,000 = $63,000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program 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xml:space="preserve">, a goal of the Charter School Act of 1992, specifically “(b) Increase learning opportunities for all pupils, with special emphasis on expanded learning experiences for pupils who are identified as academically low achieving.” A goal of the Legislature is being met, but the financial machinations of the NMTC program are anything but intended. </w:t>
      </w:r>
    </w:p>
    <w:p>
      <w:pPr>
        <w:pStyle w:val="BodyText"/>
        <w:rPr/>
      </w:pPr>
      <w:r>
        <w:rPr/>
        <w:t>The second interesting way that charter schools finance purchasing and building schools is through bond programs, often using what are called conduit bonds. Much like the NMTC program, conduit bonds involve more than just a buyer and a seller, again something that was unforeseen by the original Charter School Act.</w:t>
      </w:r>
    </w:p>
    <w:p>
      <w:pPr>
        <w:pStyle w:val="BodyText"/>
        <w:rPr/>
      </w:pPr>
      <w:r>
        <w:rPr/>
        <w:t xml:space="preserve">A conduit bond is a type of tax-exempt municipal bond issued by a government agency (the conduit lender) that is neither the borrower nor the purchaser. This entity or agency serves merely as a conduit between a borrower (often called the conduit borrower) and the purchasers of the bond (i.e. the investors, the lenders). The conduit lender administers an offering by loaning to the borrower money it has received by issuing a bond which was bought by the lenders.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For example, in 2014, the California Municipal Finance Authority issued Series 2014 A &amp; B bonds for $32,915,000. These bonds were bought by Approved Institutional Buyers, and the proceeds were loaned to Launchpad Development Company, owned by Rocketship, which used them for public benefit. The conduit borrower is Launchpad Development Company, and the conduit lender is the California Municipal Finance Authority. The lenders are Approved Institutional Buyers, and the conduit borrower, Launchpad Development Company, pays principal and interest to the conduit lender, the California Municipal Finance Authority, which passes the payments on to the lenders, Approved Institutional Buyers.</w:t>
      </w:r>
    </w:p>
    <w:p>
      <w:pPr>
        <w:pStyle w:val="BodyText"/>
        <w:rPr/>
      </w:pPr>
      <w:r>
        <w:rPr/>
        <w:t>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their own facilities.</w:t>
      </w:r>
    </w:p>
    <w:p>
      <w:pPr>
        <w:pStyle w:val="BodyText"/>
        <w:rPr/>
      </w:pPr>
      <w:r>
        <w:rPr/>
        <w:t>Charter schools owning their own facilities has in turn caused charter schools to borrow heavily and also to structure themselves so that they pay themselves rent. This seeming impossibility occurs because Rocketship Education owns individual schools, but not their facilities. Instead, a separate entity, owned by Rocketship, Launchpad Development Company owns school facilities. (Rocketship’s corporate structure is discussed more fully at the end of the section “Sweeps”.)</w:t>
      </w:r>
    </w:p>
    <w:p>
      <w:pPr>
        <w:pStyle w:val="BodyText"/>
        <w:rPr/>
      </w:pPr>
      <w:r>
        <w:rPr/>
        <w:t>This paying rent to oneself is hugely profitable because SB740 subsidizes 75% of the rent. This means that the cost of a lease is no longer the 25% that SB740 doesn’t cover. Rocketship pays rent to itself at a net cost of zero, and then gets back 75% of the rent it paid itself. So instead of a lease costing a net of 25%, SB740 turns the cost into a return of 75% of the rent minus the net cost of owning the property (principal + interest + maintenance). But the real benefit comes after the property is paid off because SB740 payments continue indefinitely at the same rate.</w:t>
      </w:r>
    </w:p>
    <w:p>
      <w:pPr>
        <w:pStyle w:val="BodyText"/>
        <w:rPr/>
      </w:pPr>
      <w:r>
        <w:rPr/>
        <w:t>To sum up, we can say that  the NMTC credit program, and conduit bonds, and SB740 rent subsidies are all completely unintended consequences of the original Charter Schools Act of 1992, and are a very profitable state of affairs for Rocketship Educations.</w:t>
      </w:r>
      <w:r>
        <w:rPr>
          <w:rStyle w:val="FootnoteReference"/>
        </w:rPr>
        <w:footnoteReference w:id="17"/>
      </w:r>
    </w:p>
    <w:p>
      <w:pPr>
        <w:pStyle w:val="Heading1"/>
        <w:rPr/>
      </w:pPr>
      <w:r>
        <w:rPr/>
        <w:t>Flexibility</w:t>
      </w:r>
    </w:p>
    <w:p>
      <w:pPr>
        <w:pStyle w:val="Normal"/>
        <w:rPr/>
      </w:pPr>
      <w:r>
        <w:rPr/>
        <w:t>Inherent in the Charter Schools Act of 1992 was added flexibility compared with TPSs. Most importantly, charter schools are exempt from “the laws governing school districts”</w:t>
      </w:r>
      <w:r>
        <w:rPr>
          <w:rStyle w:val="FootnoteReference"/>
        </w:rPr>
        <w:footnoteReference w:id="18"/>
      </w:r>
      <w:r>
        <w:rPr/>
        <w:t xml:space="preserve"> except for the Charter Schools Act itself (Education Code §§</w:t>
      </w:r>
      <w:r>
        <w:rPr>
          <w:b w:val="false"/>
          <w:bCs w:val="false"/>
        </w:rPr>
        <w:t>47600</w:t>
      </w:r>
      <w:r>
        <w:rPr>
          <w:rFonts w:eastAsia="Alegreya" w:cs="Alegreya" w:ascii="Alegreya" w:hAnsi="Alegreya"/>
        </w:rPr>
        <w:t>–47663).</w:t>
      </w:r>
      <w:r>
        <w:rPr>
          <w:b w:val="false"/>
          <w:bCs w:val="false"/>
        </w:rPr>
        <w:t xml:space="preserve"> This provides a huge amount of flexibility to charter schools in choosing how they teach, how long their school day is, and their class sizes. If one wishes charter schools to be powerhouses of innovation, then exempting them from most of the Education Code might make sense.</w:t>
      </w:r>
      <w:r>
        <w:rPr>
          <w:rStyle w:val="FootnoteReference"/>
          <w:b w:val="false"/>
          <w:bCs w:val="false"/>
        </w:rPr>
        <w:footnoteReference w:id="19"/>
      </w:r>
      <w:r>
        <w:rPr>
          <w:b w:val="false"/>
          <w:bCs w:val="false"/>
        </w:rPr>
        <w:t xml:space="preserve"> Rocketship took advantage of this flexibility in how to teach, but it also took advantage of flexibility in finances.</w:t>
      </w:r>
    </w:p>
    <w:p>
      <w:pPr>
        <w:pStyle w:val="BodyText"/>
        <w:rPr/>
      </w:pPr>
      <w:r>
        <w:rPr>
          <w:b w:val="false"/>
          <w:bCs w:val="false"/>
        </w:rPr>
        <w:t xml:space="preserve">In return from being unshackled from the allegedly onerous impositions of the Ed Code, charter schools were expected to perform better than TPSs and to be able to measure this performance. Unfortunately, the only way of measuring performance across schools that is in use is standardized testing, and as has been mentioned, standardized tests miss vast amounts of learning. </w:t>
      </w:r>
    </w:p>
    <w:p>
      <w:pPr>
        <w:pStyle w:val="Heading2"/>
        <w:rPr/>
      </w:pPr>
      <w:r>
        <w:rPr/>
        <w:t>Blended Learning</w:t>
      </w:r>
    </w:p>
    <w:p>
      <w:pPr>
        <w:pStyle w:val="Normal"/>
        <w:rPr/>
      </w:pPr>
      <w:r>
        <w:rPr/>
        <w:t>Blended learning is a when a student spends part of their day under the direct supervision of a teacher (face-to-face instruction) and part of their day interacting with a computer program (technology-based instruction), where the teacher isn’t directly supervising the class. If one takes an expansive view of blended learning, then correspondence classes in the mid-1800’s would qualify as using a blended model of learning. Nowadays, blended learning only means interacting with a computer running an edtech program.</w:t>
      </w:r>
    </w:p>
    <w:p>
      <w:pPr>
        <w:pStyle w:val="BodyText"/>
        <w:rPr/>
      </w:pPr>
      <w:r>
        <w:rPr/>
        <w:t>Rocketship pioneered the blended classroom right from their start because they claimed that this allows students to get individualized instruction at exactly the right time.</w:t>
      </w:r>
      <w:r>
        <w:rPr>
          <w:rStyle w:val="FootnoteReference"/>
        </w:rPr>
        <w:footnoteReference w:id="20"/>
      </w:r>
      <w:r>
        <w:rPr/>
        <w:t xml:space="preserve"> Rocketship has taken advantage of this flexibility to put children in a Learning Lab (another great choice of a name) for 25% of the day. </w:t>
      </w:r>
    </w:p>
    <w:p>
      <w:pPr>
        <w:pStyle w:val="BodyText"/>
        <w:rPr/>
      </w:pPr>
      <w:r>
        <w:rPr/>
        <w:t>One of the effects of putting children in front of a computer for 25% of the day is that it reduces by 25% the largest single cost of a school: teacher compensation. Typically schools spend upwards of 80% of their budget on teachers and aides. So, Rocketship can hire 25% fewer teachers for the same number of students as TPSs do.</w:t>
      </w:r>
    </w:p>
    <w:p>
      <w:pPr>
        <w:pStyle w:val="BodyText"/>
        <w:rPr/>
      </w:pPr>
      <w:r>
        <w:rPr/>
        <w:t>It’s hard to say if legislators in 1992, a decade before the first use of blended learning as we now know it, understood that the flexibility they were offering charter schools would result in blended learning classrooms. If they did, they exhibited unparalleled foresight. More likely they merely want to give charter schools flexibility in general which would make blended learning an unintended consequence of the Charter Schools Act. The jury is out on whether blended learning is more than narrowly effective in more than just math and parts of English. So it’s hard to decide if blended learning is a Good Thing</w:t>
      </w:r>
      <w:r>
        <w:rPr>
          <w:rFonts w:eastAsia="Alegreya" w:cs="Alegreya" w:ascii="Alegreya" w:hAnsi="Alegreya"/>
        </w:rPr>
        <w:t>™</w:t>
      </w:r>
      <w:r>
        <w:rPr>
          <w:rFonts w:eastAsia="Palatino Linotype" w:cs="Palatino Linotype"/>
        </w:rPr>
        <w:t xml:space="preserve"> or not. The experience with virtual charter schools suggests that the blended model is not as effective as one might have hoped.</w:t>
      </w:r>
      <w:r>
        <w:rPr>
          <w:rStyle w:val="FootnoteReference"/>
          <w:rFonts w:eastAsia="Palatino Linotype" w:cs="Palatino Linotype"/>
        </w:rPr>
        <w:footnoteReference w:id="21"/>
      </w:r>
      <w:r>
        <w:rPr/>
        <w:t xml:space="preserve"> </w:t>
      </w:r>
    </w:p>
    <w:p>
      <w:pPr>
        <w:pStyle w:val="Heading2"/>
        <w:rPr/>
      </w:pPr>
      <w:r>
        <w:rPr/>
        <w:t>Sweeps</w:t>
      </w:r>
    </w:p>
    <w:p>
      <w:pPr>
        <w:pStyle w:val="Normal"/>
        <w:rPr/>
      </w:pPr>
      <w:r>
        <w:rPr/>
        <w:t>Sweeps are when a charter school sweeps all of their revenue into another organization, either a for-profit educational management organization (EMO) or a non-profit charter school management organization (CMO), which then completely manages their finances.  In California, since it is illegal for a non-profit (i.e. Rocketship Education) to transfer assets (i.e. revenue) to an entity that is not itself a non-profit, the organization into which all revenue is swept must also be a non-profit; EMOs are not allowed.</w:t>
      </w:r>
      <w:r>
        <w:rPr>
          <w:rStyle w:val="FootnoteReference"/>
        </w:rPr>
        <w:footnoteReference w:id="22"/>
      </w:r>
      <w:r>
        <w:rPr/>
        <w:t xml:space="preserve"> Sweeps into for-profit EMOs are clearly a way to bypass the requirement that public schools be transparent, and serve as poster child for how to make money due to an unintended consequence, an oversight in the law.</w:t>
      </w:r>
    </w:p>
    <w:p>
      <w:pPr>
        <w:pStyle w:val="BodyText"/>
        <w:rPr/>
      </w:pPr>
      <w:r>
        <w:rPr/>
        <w:t>Rocketship exercises fiscal oversight of its schools through a division, not a separate legal entity, that “is organized to manage, operate, guide, direct, and promote a network of public elementary charter schools” (CliftonLarsonAllen, 2022). Rocketship Support Network (RSN), but does not sweep its revenues into RSN. Instead RSN charges management and facility fees that come to 35% of a school’s revenue and functions much like a franchisor with individual schools as franchisees. Although Rocketship does not sweep its revenues into another organization, its corporate structure is nothing like what charter school law envisioned.</w:t>
      </w:r>
    </w:p>
    <w:p>
      <w:pPr>
        <w:pStyle w:val="BodyText"/>
        <w:rPr/>
      </w:pPr>
      <w:r>
        <w:rPr/>
        <w:t xml:space="preserve">Each Rocketship school is its own LLC, and there is a corresponding LLC which owns that school’s facilities. All the facilities LLCs are owned by a 509(a)(3) supporting charity called Launchpad Development Company whose only purpose is to own the facility LLCs. Rocketship Education owns all the school LLCs and Launchpad Development Company. Rocketship is a 501(c)(3) non-profit, public benefit corporation, as are all of the LLCs. </w:t>
      </w:r>
    </w:p>
    <w:p>
      <w:pPr>
        <w:pStyle w:val="BodyText"/>
        <w:rPr/>
      </w:pPr>
      <w:r>
        <w:rPr/>
        <w:t xml:space="preserve">The purpose of this corporate organization is to insulate each school from all other schools, to insulate Rocketship Education, the parent company, from any real estate liability, but to allow one entity, not Rocketship Education, but Launchpad Development Company, to be responsible for all real estate. </w:t>
      </w:r>
    </w:p>
    <w:p>
      <w:pPr>
        <w:pStyle w:val="BodyText"/>
        <w:rPr/>
      </w:pPr>
      <w:r>
        <w:rPr/>
        <w:t>Since Rocketship doesn’t seem interested in hiding anything (all of its financial statements were at one time available on its web site), there isn’t any reason for a sweep into a for-profit EMO.</w:t>
      </w:r>
    </w:p>
    <w:p>
      <w:pPr>
        <w:pStyle w:val="Heading2"/>
        <w:rPr/>
      </w:pPr>
      <w:r>
        <w:rPr/>
        <w:t>Fraud</w:t>
      </w:r>
    </w:p>
    <w:p>
      <w:pPr>
        <w:pStyle w:val="Normal"/>
        <w:rPr/>
      </w:pPr>
      <w:r>
        <w:rPr/>
        <w:t>Whenever large amounts of money are available from the government to fund programs, the possibility of fraud exists. For example, in 2018, the national, non-profit advocacy group In the Public Interest published</w:t>
      </w:r>
      <w:r>
        <w:rPr>
          <w:i/>
          <w:iCs/>
        </w:rPr>
        <w:t xml:space="preserve"> Fraud and waste in California’s charter schools</w:t>
      </w:r>
      <w:r>
        <w:rPr>
          <w:i w:val="false"/>
          <w:iCs w:val="false"/>
        </w:rPr>
        <w:t xml:space="preserve"> (In the Public Interest, 2018) which cataloged over 30 cases of fraud and waste from 1997</w:t>
      </w:r>
      <w:r>
        <w:rPr>
          <w:rFonts w:eastAsia="Alegreya" w:cs="Alegreya" w:ascii="Alegreya" w:hAnsi="Alegreya"/>
          <w:i w:val="false"/>
          <w:iCs w:val="false"/>
        </w:rPr>
        <w:t>–2017 that cost taxpayers more $150M. Since in 11 of the cases, the amount of the fraud couldn’t be determined, the actual amount is certainly much greater than $15oM that was discovered. In 2019, a massive $400M fraud was uncovered in the A3 Charter School case in San Diego (Taketa, 2021). Eventually, two people pleaded guilty and are returning $210M (Sierra, 2021).</w:t>
      </w:r>
    </w:p>
    <w:p>
      <w:pPr>
        <w:pStyle w:val="BodyText"/>
        <w:rPr/>
      </w:pPr>
      <w:r>
        <w:rPr/>
        <w:t xml:space="preserve">This last instance of fraud triggered the the California Charter Authorizing Professionals (CCAP) to convene an Anti-Fraud Task Force to make recommendations that would address a potential loss of trust in charter schools. The report was issued in April 2024 (Patterson &amp; Hutton, 2024) and made 20 separate recommendations that fell into three groups: preventing &amp; detecting fraud, getting help when fraud has been detected, and going beyond best practices (p. 8). </w:t>
      </w:r>
    </w:p>
    <w:p>
      <w:pPr>
        <w:pStyle w:val="BodyText"/>
        <w:rPr/>
      </w:pPr>
      <w:r>
        <w:rPr/>
        <w:t>Of  course California legislators do not intend fraud, especially on such a massive scale as A3, yet the Legislature has had a number of opportunities to address fraud, but has done so only with mixed success. AB1316 did not pass in 2021. AB406 passed in 2018. AB913 passed in 2014 but was vetoed by Governor Jerry Brown.</w:t>
      </w:r>
    </w:p>
    <w:p>
      <w:pPr>
        <w:pStyle w:val="BodyText"/>
        <w:rPr/>
      </w:pPr>
      <w:r>
        <w:rPr/>
        <w:t>Fundamentally, charter schools in California have been set up with the assumption that everyone is honest, has good intentions, and is dedicated to serving the public good. As such, the original charter school law paid scant attention to the damage that bad actors could do. There is just one mention of finances, and that’s to require the initial petition to describe how an annual financial audit is to be performed. Subsequent legislation has tightened oversight, transparency, and auditing, but as A3 Charter Schools has shown, not enough. Despite the known fraud and the legislature’s inability to pass legislation to address fraud, it’s fair to say that the extent of fraud in charter schools has been a glaring unintended consequence of charter school law.</w:t>
      </w:r>
    </w:p>
    <w:p>
      <w:pPr>
        <w:pStyle w:val="BodyText"/>
        <w:rPr/>
      </w:pPr>
      <w:r>
        <w:rPr/>
        <w:t>Rocketship has been the recipient of letters from the California Department of Education about late reporting, inaccurate enrollment counts, inadequate teacher credentialing, but not for fraud. Nor has an examination of Rocketship’s financial statements from 2006</w:t>
      </w:r>
      <w:r>
        <w:rPr>
          <w:rFonts w:eastAsia="Alegreya" w:cs="Alegreya" w:ascii="Alegreya" w:hAnsi="Alegreya"/>
        </w:rPr>
        <w:t>–</w:t>
      </w:r>
      <w:r>
        <w:rPr>
          <w:rFonts w:eastAsia="Palatino Linotype" w:cs="Palatino Linotype"/>
        </w:rPr>
        <w:t>2022 revealed any fraudulent activity. There are some questionable travel expenses, $7M worth, but no red flags.</w:t>
      </w:r>
    </w:p>
    <w:p>
      <w:pPr>
        <w:pStyle w:val="Heading1"/>
        <w:rPr/>
      </w:pPr>
      <w:r>
        <w:rPr/>
        <w:t>Conclusion and Policy Recommendations</w:t>
      </w:r>
    </w:p>
    <w:p>
      <w:pPr>
        <w:pStyle w:val="Normal"/>
        <w:rPr/>
      </w:pPr>
      <w:r>
        <w:rPr/>
        <w:t>Charter schools today don’t look like anything the California Legislature envisioned in 1992 when they passed the nation’s second charter school law. Virtual charter schools, charter management organizations, complex real estate financing, tax credits, multi-state expansion are all new to the charter school sector. No charter supported in the 1990’s thought that we would have charter school chains with complicated organizational structures where schools would pay themselves rent for facilities that they were buying using bonds floated in national markets. Charter schools took off in a direction not envision at all and almost everything about charters in an unintended consequence. Charters should have been centers of innovation, run by teachers, within and cooperating with TPSs. Instead we have charters locked in an unhealthy, competitive relationship with TPSs.</w:t>
      </w:r>
    </w:p>
    <w:p>
      <w:pPr>
        <w:pStyle w:val="BodyText"/>
        <w:rPr/>
      </w:pPr>
      <w:r>
        <w:rPr/>
        <w:t xml:space="preserve">Rocketship, with the way they’ve structured themselves, with their pedagogy which uses a blended model of learning, and with their use of a variety of sophisticated real estate funding sources, has exploited the corners of charter school law in a way that does not seemed designed to enhance the education of their students. It feels as if their students are merely a means to make money, and that notion is completely foreign to what charter schools are supposed to do. The question is how to restructure charter schools so that their primary purpose is education, or how to change incentives so they are less concerned with making money and much more concerned with educating children. </w:t>
      </w:r>
    </w:p>
    <w:p>
      <w:pPr>
        <w:pStyle w:val="BodyText"/>
        <w:rPr/>
      </w:pPr>
      <w:r>
        <w:rPr/>
        <w:t xml:space="preserve">In any proposal to restructure charter schools, one must try to anticipate consequence so they don’t become unintended consequences. Of course, there are always going to be unintended consequences, but if they are minor compared to what triggered them, they can be deemed acceptable. </w:t>
      </w:r>
    </w:p>
    <w:p>
      <w:pPr>
        <w:pStyle w:val="BodyText"/>
        <w:rPr/>
      </w:pPr>
      <w:r>
        <w:rPr/>
        <w:t>A first step would be to require charter schools to mirror the structure of every public school district in California: a single entity owns all assets. Charter schools could own, like public school districts, their own facilities, but they would, just like public schools districts, have to ask voters for approval for a bond measure to finance the acquisition and construction of school facilities. No doubt, charter schools would object that voters would never do this, but that’s the point: right now, voters pay for facilities that they had no say in financing. Another consequence of mandating a single ownership structure would be that charter schools would be more likely to ask public school districts for reasonably equivalent facilities. Currently, if districts don’t have unused space, they must create space to accommodate charter school students. However, this is a statutory requirement and can be changed by the Legislature.</w:t>
      </w:r>
    </w:p>
    <w:p>
      <w:pPr>
        <w:pStyle w:val="BodyText"/>
        <w:rPr/>
      </w:pPr>
      <w:r>
        <w:rPr/>
        <w:t>If charter schools chose to lease facilities, they should be required to lease only from truly unrelated entities. At no point in an ownership chain should a charter school operator, administrator, relative thereof, have a beneficial ownership in an entity in the ownership chain.</w:t>
      </w:r>
      <w:r>
        <w:rPr>
          <w:rStyle w:val="FootnoteReference"/>
        </w:rPr>
        <w:footnoteReference w:id="23"/>
      </w:r>
      <w:r>
        <w:rPr/>
        <w:t xml:space="preserve"> (Beneficial ownership is broader than controlling interest.)</w:t>
      </w:r>
    </w:p>
    <w:p>
      <w:pPr>
        <w:pStyle w:val="BodyText"/>
        <w:rPr/>
      </w:pPr>
      <w:r>
        <w:rPr/>
        <w:t>Another change should be to implement into law all the recommendations of the the CCAP Anti-Fraud Task Force with the addition of making any person who works in a charter school, or has a financial interest in a charter school, be a mandated fraud reported, just like a person in contact with children in public schools is a mandated child abuse reporter. This would make failing to report a fraud or a suspected fraud a crime.</w:t>
      </w:r>
    </w:p>
    <w:p>
      <w:pPr>
        <w:pStyle w:val="BodyText"/>
        <w:rPr/>
      </w:pPr>
      <w:r>
        <w:rPr/>
        <w:t>An area in which the CCAP Anti-Fraud Task Force did not make a recommendation is when a Californian charter school or CMO funds an expansion into another state. The reason this is problematic is that whenever Californian taxpayer money leaves California, it is no longer subject to California law and regulation. For example, in the 2013-14 school year, Rocketship’s first school out-of-state school was granted $1.1M and loaned $650K to support operations of Rocketship’s Southside Community Prep charter school in Milwaukee, WI. In some form or fashion, all or part of this money comes from Californian taxpayers and is no longer under the purvey of authorities in California. The law in California should be changed either to allow equivalent access to out-of-state charter schools funded by Californian taxpayer money, or to ban the practice entirely.</w:t>
      </w:r>
    </w:p>
    <w:p>
      <w:pPr>
        <w:pStyle w:val="BodyText"/>
        <w:rPr/>
      </w:pPr>
      <w:r>
        <w:rPr/>
        <w:t>Finally, the California Legislature should consider withdrawing the exemption from the Ed Code that charter schools enjoy. It’s hard to think of an argument of why TPSs should be subject to the code, and charter schools should not.</w:t>
      </w:r>
      <w:r>
        <w:rPr>
          <w:rStyle w:val="FootnoteReference"/>
        </w:rPr>
        <w:footnoteReference w:id="24"/>
      </w:r>
      <w:r>
        <w:rPr/>
        <w:t xml:space="preserve"> If one assumes that the exemption from the Ed Code is a requirement in order to innovate, then charter schools are not doing well compared to TPSs, because, on average, charter schools perform no better than TPSs even though they enjoy greater flexibility. </w:t>
      </w:r>
      <w:r>
        <w:rPr>
          <w:rStyle w:val="FootnoteReference"/>
        </w:rPr>
        <w:footnoteReference w:id="25"/>
      </w:r>
    </w:p>
    <w:p>
      <w:pPr>
        <w:pStyle w:val="BodyText"/>
        <w:rPr/>
      </w:pPr>
      <w:r>
        <w:rPr/>
        <w:t>These five recommendations would go a long way to eliminate the unintended consequences of charter school law in California.</w:t>
      </w:r>
      <w:r>
        <w:br w:type="page"/>
      </w:r>
    </w:p>
    <w:p>
      <w:pPr>
        <w:pStyle w:val="Heading1"/>
        <w:spacing w:before="0" w:after="0"/>
        <w:rPr>
          <w:kern w:val="2"/>
        </w:rPr>
      </w:pPr>
      <w:r>
        <w:rPr>
          <w:kern w:val="2"/>
        </w:rPr>
        <w:t>References</w:t>
      </w:r>
    </w:p>
    <w:p>
      <w:pPr>
        <w:pStyle w:val="Reference"/>
        <w:rPr/>
      </w:pPr>
      <w:bookmarkStart w:id="4" w:name="References"/>
      <w:bookmarkStart w:id="5" w:name="_bookmark15"/>
      <w:bookmarkEnd w:id="4"/>
      <w:bookmarkEnd w:id="5"/>
      <w:r>
        <w:rPr>
          <w:rFonts w:ascii="Alegreya" w:hAnsi="Alegreya"/>
          <w:color w:val="000000"/>
          <w:w w:val="90"/>
          <w:sz w:val="26"/>
          <w:szCs w:val="26"/>
          <w:u w:val="none" w:color="000000"/>
        </w:rPr>
        <w:t>California State Treasurer.</w:t>
      </w:r>
      <w:r>
        <w:rPr>
          <w:rFonts w:ascii="Alegreya" w:hAnsi="Alegreya"/>
          <w:color w:val="000000"/>
          <w:spacing w:val="-5"/>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5"/>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School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Facility</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Grant</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Program</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(Senate</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Bill</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740 </w:t>
      </w:r>
      <w:r>
        <w:rPr>
          <w:rFonts w:ascii="Alegreya" w:hAnsi="Alegreya"/>
          <w:i/>
          <w:color w:val="000000"/>
          <w:spacing w:val="-4"/>
          <w:sz w:val="26"/>
          <w:szCs w:val="26"/>
          <w:u w:val="none" w:color="000000"/>
        </w:rPr>
        <w:t>Program)</w:t>
      </w:r>
      <w:r>
        <w:rPr>
          <w:rFonts w:ascii="Alegreya" w:hAnsi="Alegreya"/>
          <w:color w:val="000000"/>
          <w:spacing w:val="-4"/>
          <w:sz w:val="26"/>
          <w:szCs w:val="26"/>
          <w:u w:val="none" w:color="000000"/>
        </w:rPr>
        <w:t>.</w:t>
      </w:r>
      <w:r>
        <w:rPr>
          <w:rFonts w:ascii="Alegreya" w:hAnsi="Alegreya"/>
          <w:color w:val="000000"/>
          <w:spacing w:val="-10"/>
          <w:sz w:val="26"/>
          <w:szCs w:val="26"/>
          <w:u w:val="none" w:color="000000"/>
        </w:rPr>
        <w:t xml:space="preserve"> </w:t>
      </w:r>
      <w:r>
        <w:rPr>
          <w:rFonts w:ascii="Alegreya" w:hAnsi="Alegreya"/>
          <w:color w:val="000000"/>
          <w:spacing w:val="-4"/>
          <w:sz w:val="26"/>
          <w:szCs w:val="26"/>
          <w:u w:val="none" w:color="000000"/>
        </w:rPr>
        <w:t xml:space="preserve">State Treasurer’s Office. </w:t>
      </w:r>
      <w:hyperlink r:id="rId2">
        <w:r>
          <w:rPr>
            <w:rStyle w:val="Hyperlink"/>
            <w:rFonts w:ascii="Fira Mono" w:hAnsi="Fira Mono"/>
            <w:color w:val="000000"/>
            <w:spacing w:val="-2"/>
            <w:sz w:val="20"/>
            <w:szCs w:val="20"/>
            <w:u w:val="none" w:color="000000"/>
          </w:rPr>
          <w:t>https://www.treasurer.ca.gov/csfa/csfgp/index.asp</w:t>
        </w:r>
      </w:hyperlink>
    </w:p>
    <w:p>
      <w:pPr>
        <w:pStyle w:val="Reference"/>
        <w:rPr/>
      </w:pPr>
      <w:bookmarkStart w:id="6" w:name="_bookmark16"/>
      <w:bookmarkEnd w:id="6"/>
      <w:r>
        <w:rPr>
          <w:rFonts w:ascii="Alegreya" w:hAnsi="Alegreya"/>
          <w:color w:val="000000"/>
          <w:w w:val="90"/>
          <w:sz w:val="26"/>
          <w:szCs w:val="26"/>
          <w:u w:val="none" w:color="000000"/>
        </w:rPr>
        <w:t>EdSource.</w:t>
      </w:r>
      <w:r>
        <w:rPr>
          <w:rFonts w:ascii="Alegreya" w:hAnsi="Alegreya"/>
          <w:color w:val="000000"/>
          <w:spacing w:val="-10"/>
          <w:w w:val="90"/>
          <w:sz w:val="26"/>
          <w:szCs w:val="26"/>
          <w:u w:val="none" w:color="000000"/>
        </w:rPr>
        <w:t xml:space="preserve"> </w:t>
      </w:r>
      <w:r>
        <w:rPr>
          <w:rFonts w:ascii="Alegreya" w:hAnsi="Alegreya"/>
          <w:color w:val="000000"/>
          <w:w w:val="90"/>
          <w:sz w:val="26"/>
          <w:szCs w:val="26"/>
          <w:u w:val="none" w:color="000000"/>
        </w:rPr>
        <w:t>(2004).</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An</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experiment</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coming</w:t>
      </w:r>
      <w:r>
        <w:rPr>
          <w:rFonts w:ascii="Alegreya" w:hAnsi="Alegreya"/>
          <w:i/>
          <w:color w:val="000000"/>
          <w:spacing w:val="-12"/>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11"/>
          <w:w w:val="90"/>
          <w:sz w:val="26"/>
          <w:szCs w:val="26"/>
          <w:u w:val="none" w:color="000000"/>
        </w:rPr>
        <w:t xml:space="preserve"> </w:t>
      </w:r>
      <w:r>
        <w:rPr>
          <w:rFonts w:ascii="Alegreya" w:hAnsi="Alegreya"/>
          <w:i/>
          <w:color w:val="000000"/>
          <w:spacing w:val="-4"/>
          <w:w w:val="90"/>
          <w:sz w:val="26"/>
          <w:szCs w:val="26"/>
          <w:u w:val="none" w:color="000000"/>
        </w:rPr>
        <w:t>age</w:t>
      </w:r>
      <w:r>
        <w:rPr>
          <w:rFonts w:ascii="Alegreya" w:hAnsi="Alegreya"/>
          <w:color w:val="000000"/>
          <w:spacing w:val="-4"/>
          <w:w w:val="90"/>
          <w:sz w:val="26"/>
          <w:szCs w:val="26"/>
          <w:u w:val="none" w:color="000000"/>
        </w:rPr>
        <w:t>.</w:t>
      </w:r>
      <w:bookmarkStart w:id="7" w:name="_bookmark17"/>
      <w:bookmarkEnd w:id="7"/>
      <w:r>
        <w:rPr>
          <w:rFonts w:ascii="Alegreya" w:hAnsi="Alegreya"/>
          <w:i w:val="false"/>
          <w:iCs w:val="false"/>
          <w:color w:val="000000"/>
          <w:spacing w:val="-4"/>
          <w:w w:val="90"/>
          <w:sz w:val="26"/>
          <w:szCs w:val="26"/>
          <w:u w:val="none" w:color="000000"/>
        </w:rPr>
        <w:t xml:space="preserve"> </w:t>
      </w:r>
      <w:hyperlink r:id="rId3">
        <w:r>
          <w:rPr>
            <w:rStyle w:val="Hyperlink"/>
            <w:rFonts w:ascii="Fira Mono" w:hAnsi="Fira Mono"/>
            <w:i w:val="false"/>
            <w:iCs w:val="false"/>
            <w:color w:val="000000"/>
            <w:spacing w:val="-2"/>
            <w:w w:val="90"/>
            <w:sz w:val="20"/>
            <w:szCs w:val="20"/>
            <w:u w:val="none" w:color="000000"/>
          </w:rPr>
          <w:t>https://edsource.org/wp-content/publications/CharterSchools04.pdf</w:t>
        </w:r>
      </w:hyperlink>
    </w:p>
    <w:p>
      <w:pPr>
        <w:pStyle w:val="Reference"/>
        <w:rPr/>
      </w:pPr>
      <w:r>
        <w:rPr>
          <w:rStyle w:val="Hyperlink"/>
          <w:rFonts w:ascii="Alegreya" w:hAnsi="Alegreya"/>
          <w:color w:val="000000"/>
          <w:spacing w:val="-2"/>
          <w:sz w:val="26"/>
          <w:szCs w:val="26"/>
          <w:u w:val="none" w:color="000000"/>
        </w:rPr>
        <w:t xml:space="preserve">CliftonLarsonAllen (2022). </w:t>
      </w:r>
      <w:r>
        <w:rPr>
          <w:rStyle w:val="Hyperlink"/>
          <w:rFonts w:ascii="Alegreya" w:hAnsi="Alegreya"/>
          <w:i/>
          <w:iCs/>
          <w:color w:val="000000"/>
          <w:spacing w:val="-2"/>
          <w:sz w:val="26"/>
          <w:szCs w:val="26"/>
          <w:u w:val="none" w:color="000000"/>
        </w:rPr>
        <w:t xml:space="preserve">Rocketship Education and its affiliates: Consolidated financial statements: Year ended June 30, 2022. </w:t>
      </w:r>
      <w:r>
        <w:rPr>
          <w:rStyle w:val="Hyperlink"/>
          <w:rFonts w:ascii="Alegreya" w:hAnsi="Alegreya"/>
          <w:i w:val="false"/>
          <w:iCs w:val="false"/>
          <w:color w:val="000000"/>
          <w:spacing w:val="-2"/>
          <w:sz w:val="26"/>
          <w:szCs w:val="26"/>
          <w:u w:val="none" w:color="000000"/>
        </w:rPr>
        <w:t>Glendora, CA</w:t>
      </w:r>
    </w:p>
    <w:p>
      <w:pPr>
        <w:pStyle w:val="Reference"/>
        <w:rPr/>
      </w:pPr>
      <w:r>
        <w:rPr>
          <w:rFonts w:ascii="Alegreya" w:hAnsi="Alegreya"/>
          <w:color w:val="000000"/>
          <w:w w:val="90"/>
          <w:sz w:val="26"/>
          <w:szCs w:val="26"/>
          <w:u w:val="none" w:color="000000"/>
        </w:rPr>
        <w:t xml:space="preserve">Garcia, D. (2018). </w:t>
      </w:r>
      <w:r>
        <w:rPr>
          <w:rFonts w:ascii="Alegreya" w:hAnsi="Alegreya"/>
          <w:i/>
          <w:iCs/>
          <w:color w:val="000000"/>
          <w:w w:val="90"/>
          <w:sz w:val="26"/>
          <w:szCs w:val="26"/>
          <w:u w:val="none" w:color="000000"/>
        </w:rPr>
        <w:t>School Choice.</w:t>
      </w:r>
      <w:r>
        <w:rPr>
          <w:rFonts w:ascii="Alegreya" w:hAnsi="Alegreya"/>
          <w:i w:val="false"/>
          <w:iCs w:val="false"/>
          <w:color w:val="000000"/>
          <w:w w:val="90"/>
          <w:sz w:val="26"/>
          <w:szCs w:val="26"/>
          <w:u w:val="none" w:color="000000"/>
        </w:rPr>
        <w:t xml:space="preserve"> MIT Press Essential Knowledge Series.</w:t>
      </w:r>
    </w:p>
    <w:p>
      <w:pPr>
        <w:pStyle w:val="Reference"/>
        <w:rPr/>
      </w:pPr>
      <w:r>
        <w:rPr>
          <w:rFonts w:ascii="Alegreya" w:hAnsi="Alegreya"/>
          <w:color w:val="000000"/>
          <w:w w:val="90"/>
          <w:sz w:val="26"/>
          <w:szCs w:val="26"/>
          <w:u w:val="none" w:color="000000"/>
        </w:rPr>
        <w:t>Iannaccone, L. 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(1994).</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Why Strict Churches Are Strong.</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American</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Journal</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5"/>
          <w:w w:val="90"/>
          <w:sz w:val="26"/>
          <w:szCs w:val="26"/>
          <w:u w:val="none" w:color="000000"/>
        </w:rPr>
        <w:t xml:space="preserve"> </w:t>
      </w:r>
      <w:r>
        <w:rPr>
          <w:rFonts w:ascii="Alegreya" w:hAnsi="Alegreya"/>
          <w:i/>
          <w:color w:val="000000"/>
          <w:w w:val="90"/>
          <w:sz w:val="26"/>
          <w:szCs w:val="26"/>
          <w:u w:val="none" w:color="000000"/>
        </w:rPr>
        <w:t>Sociology</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99</w:t>
      </w:r>
      <w:r>
        <w:rPr>
          <w:rFonts w:ascii="Alegreya" w:hAnsi="Alegreya"/>
          <w:color w:val="000000"/>
          <w:w w:val="90"/>
          <w:sz w:val="26"/>
          <w:szCs w:val="26"/>
          <w:u w:val="none" w:color="000000"/>
        </w:rPr>
        <w:t xml:space="preserve">(5), </w:t>
      </w:r>
      <w:bookmarkStart w:id="8" w:name="_bookmark18"/>
      <w:bookmarkEnd w:id="8"/>
      <w:r>
        <w:rPr>
          <w:rFonts w:ascii="Alegreya" w:hAnsi="Alegreya"/>
          <w:color w:val="000000"/>
          <w:sz w:val="26"/>
          <w:szCs w:val="26"/>
          <w:u w:val="none" w:color="000000"/>
        </w:rPr>
        <w:t>1180–1211.</w:t>
      </w:r>
      <w:r>
        <w:rPr>
          <w:rFonts w:ascii="Alegreya" w:hAnsi="Alegreya"/>
          <w:color w:val="000000"/>
          <w:spacing w:val="-17"/>
          <w:sz w:val="26"/>
          <w:szCs w:val="26"/>
          <w:u w:val="none" w:color="000000"/>
        </w:rPr>
        <w:t xml:space="preserve"> </w:t>
      </w:r>
      <w:hyperlink r:id="rId4">
        <w:r>
          <w:rPr>
            <w:rStyle w:val="Hyperlink"/>
            <w:rFonts w:ascii="Fira Mono" w:hAnsi="Fira Mono"/>
            <w:color w:val="000000"/>
            <w:sz w:val="20"/>
            <w:szCs w:val="20"/>
            <w:u w:val="none" w:color="000000"/>
          </w:rPr>
          <w:t>https://doi.org/10.1086/230409</w:t>
        </w:r>
      </w:hyperlink>
    </w:p>
    <w:p>
      <w:pPr>
        <w:pStyle w:val="Reference"/>
        <w:rPr/>
      </w:pPr>
      <w:r>
        <w:rPr>
          <w:rStyle w:val="Hyperlink"/>
          <w:rFonts w:ascii="Alegreya" w:hAnsi="Alegreya"/>
          <w:color w:val="000000"/>
          <w:sz w:val="26"/>
          <w:szCs w:val="26"/>
          <w:u w:val="none" w:color="000000"/>
        </w:rPr>
        <w:t xml:space="preserve">In the Public Interest (2018). </w:t>
      </w:r>
      <w:r>
        <w:rPr>
          <w:rStyle w:val="Hyperlink"/>
          <w:rFonts w:ascii="Alegreya" w:hAnsi="Alegreya"/>
          <w:i/>
          <w:iCs/>
          <w:color w:val="000000"/>
          <w:sz w:val="26"/>
          <w:szCs w:val="26"/>
          <w:u w:val="none" w:color="000000"/>
        </w:rPr>
        <w:t xml:space="preserve">Fraud and waste in California’s charter schools, </w:t>
      </w:r>
      <w:r>
        <w:rPr>
          <w:rStyle w:val="Hyperlink"/>
          <w:rFonts w:ascii="Alegreya" w:hAnsi="Alegreya"/>
          <w:i w:val="false"/>
          <w:iCs w:val="false"/>
          <w:color w:val="000000"/>
          <w:sz w:val="26"/>
          <w:szCs w:val="26"/>
          <w:u w:val="none" w:color="000000"/>
        </w:rPr>
        <w:t xml:space="preserve">Oakland, CA. </w:t>
      </w:r>
      <w:hyperlink r:id="rId5">
        <w:r>
          <w:rPr>
            <w:rStyle w:val="Hyperlink"/>
            <w:rFonts w:ascii="Fira Mono" w:hAnsi="Fira Mono"/>
            <w:i w:val="false"/>
            <w:iCs w:val="false"/>
            <w:color w:val="000000"/>
            <w:sz w:val="20"/>
            <w:szCs w:val="20"/>
            <w:u w:val="none"/>
          </w:rPr>
          <w:t>https://www.inthepublicinterest.org/wp-content/uploads/ITPI_CA_Charter_Fraud_Mar2018.pdf</w:t>
        </w:r>
      </w:hyperlink>
    </w:p>
    <w:p>
      <w:pPr>
        <w:pStyle w:val="Reference"/>
        <w:rPr/>
      </w:pPr>
      <w:r>
        <w:rPr>
          <w:rFonts w:ascii="Alegreya" w:hAnsi="Alegreya"/>
          <w:color w:val="000000"/>
          <w:w w:val="90"/>
          <w:sz w:val="26"/>
          <w:szCs w:val="26"/>
          <w:u w:val="none" w:color="000000"/>
        </w:rPr>
        <w:t>Lamberti, C.</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(2015).</w:t>
      </w:r>
      <w:r>
        <w:rPr>
          <w:rFonts w:ascii="Alegreya" w:hAnsi="Alegreya"/>
          <w:color w:val="000000"/>
          <w:spacing w:val="-1"/>
          <w:w w:val="90"/>
          <w:sz w:val="26"/>
          <w:szCs w:val="26"/>
          <w:u w:val="none" w:color="000000"/>
        </w:rPr>
        <w:t xml:space="preserve"> </w:t>
      </w:r>
      <w:r>
        <w:rPr>
          <w:rFonts w:ascii="Alegreya" w:hAnsi="Alegreya"/>
          <w:i/>
          <w:color w:val="000000"/>
          <w:w w:val="90"/>
          <w:sz w:val="26"/>
          <w:szCs w:val="26"/>
          <w:u w:val="none" w:color="000000"/>
        </w:rPr>
        <w:t>Selling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marketing</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in</w:t>
      </w:r>
      <w:r>
        <w:rPr>
          <w:rFonts w:ascii="Alegreya" w:hAnsi="Alegreya"/>
          <w:i/>
          <w:color w:val="000000"/>
          <w:spacing w:val="-4"/>
          <w:w w:val="90"/>
          <w:sz w:val="26"/>
          <w:szCs w:val="26"/>
          <w:u w:val="none" w:color="000000"/>
        </w:rPr>
        <w:t xml:space="preserve"> </w:t>
      </w:r>
      <w:r>
        <w:rPr>
          <w:rFonts w:ascii="Alegreya" w:hAnsi="Alegreya"/>
          <w:i/>
          <w:color w:val="000000"/>
          <w:w w:val="90"/>
          <w:sz w:val="26"/>
          <w:szCs w:val="26"/>
          <w:u w:val="none" w:color="000000"/>
        </w:rPr>
        <w:t>Chicago</w:t>
      </w:r>
      <w:r>
        <w:rPr>
          <w:rFonts w:ascii="Alegreya" w:hAnsi="Alegreya"/>
          <w:color w:val="000000"/>
          <w:w w:val="90"/>
          <w:sz w:val="26"/>
          <w:szCs w:val="26"/>
          <w:u w:val="none" w:color="000000"/>
        </w:rPr>
        <w:t>.</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 xml:space="preserve">Chicago Teachers Union, </w:t>
      </w:r>
      <w:r>
        <w:rPr>
          <w:rFonts w:ascii="Alegreya" w:hAnsi="Alegreya"/>
          <w:color w:val="000000"/>
          <w:sz w:val="26"/>
          <w:szCs w:val="26"/>
          <w:u w:val="none" w:color="000000"/>
        </w:rPr>
        <w:t>Local</w:t>
      </w:r>
      <w:r>
        <w:rPr>
          <w:rFonts w:ascii="Alegreya" w:hAnsi="Alegreya"/>
          <w:color w:val="000000"/>
          <w:spacing w:val="-10"/>
          <w:sz w:val="26"/>
          <w:szCs w:val="26"/>
          <w:u w:val="none" w:color="000000"/>
        </w:rPr>
        <w:t xml:space="preserve"> </w:t>
      </w:r>
      <w:r>
        <w:rPr>
          <w:rFonts w:ascii="Alegreya" w:hAnsi="Alegreya"/>
          <w:color w:val="000000"/>
          <w:sz w:val="26"/>
          <w:szCs w:val="26"/>
          <w:u w:val="none" w:color="000000"/>
        </w:rPr>
        <w:t>1.</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Chicago,</w:t>
      </w:r>
      <w:r>
        <w:rPr>
          <w:rFonts w:ascii="Alegreya" w:hAnsi="Alegreya"/>
          <w:color w:val="000000"/>
          <w:spacing w:val="-15"/>
          <w:sz w:val="26"/>
          <w:szCs w:val="26"/>
          <w:u w:val="none" w:color="000000"/>
        </w:rPr>
        <w:t xml:space="preserve"> </w:t>
      </w:r>
      <w:r>
        <w:rPr>
          <w:rFonts w:ascii="Alegreya" w:hAnsi="Alegreya"/>
          <w:color w:val="000000"/>
          <w:sz w:val="26"/>
          <w:szCs w:val="26"/>
          <w:u w:val="none" w:color="000000"/>
        </w:rPr>
        <w:t xml:space="preserve">IL. </w:t>
      </w:r>
      <w:hyperlink r:id="rId6">
        <w:r>
          <w:rPr>
            <w:rStyle w:val="Hyperlink"/>
            <w:rFonts w:ascii="Fira Mono" w:hAnsi="Fira Mono"/>
            <w:color w:val="000000"/>
            <w:sz w:val="20"/>
            <w:szCs w:val="20"/>
            <w:u w:val="none" w:color="000000"/>
          </w:rPr>
          <w:t>https://www.ctulocal1.org/wp-content/uploads/2018/10/Selling-Choice-Marketing-Charter-Schools-in-Chicago.pdf</w:t>
        </w:r>
      </w:hyperlink>
    </w:p>
    <w:p>
      <w:pPr>
        <w:pStyle w:val="Reference"/>
        <w:rPr/>
      </w:pPr>
      <w:r>
        <w:rPr>
          <w:rFonts w:ascii="Alegreya" w:hAnsi="Alegreya"/>
          <w:color w:val="000000"/>
          <w:w w:val="90"/>
          <w:sz w:val="26"/>
          <w:szCs w:val="26"/>
          <w:u w:val="none" w:color="000000"/>
        </w:rPr>
        <w:t>Leung,</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V.,</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Alejandre,</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H.,</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Jongco,</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A.</w:t>
      </w:r>
      <w:r>
        <w:rPr>
          <w:rFonts w:ascii="Alegreya" w:hAnsi="Alegreya"/>
          <w:color w:val="000000"/>
          <w:spacing w:val="-8"/>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8"/>
          <w:w w:val="90"/>
          <w:sz w:val="26"/>
          <w:szCs w:val="26"/>
          <w:u w:val="none" w:color="000000"/>
        </w:rPr>
        <w:t xml:space="preserve"> </w:t>
      </w:r>
      <w:r>
        <w:rPr>
          <w:rFonts w:ascii="Alegreya" w:hAnsi="Alegreya"/>
          <w:i/>
          <w:color w:val="000000"/>
          <w:w w:val="90"/>
          <w:sz w:val="26"/>
          <w:szCs w:val="26"/>
          <w:u w:val="none" w:color="000000"/>
        </w:rPr>
        <w:t>Unequal</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some</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California</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 xml:space="preserve">schools </w:t>
      </w:r>
      <w:r>
        <w:rPr>
          <w:rFonts w:ascii="Alegreya" w:hAnsi="Alegreya"/>
          <w:i/>
          <w:color w:val="000000"/>
          <w:spacing w:val="-4"/>
          <w:sz w:val="26"/>
          <w:szCs w:val="26"/>
          <w:u w:val="none" w:color="000000"/>
        </w:rPr>
        <w:t>illegally</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restrict</w:t>
      </w:r>
      <w:r>
        <w:rPr>
          <w:rFonts w:ascii="Alegreya" w:hAnsi="Alegreya"/>
          <w:i/>
          <w:color w:val="000000"/>
          <w:spacing w:val="-8"/>
          <w:sz w:val="26"/>
          <w:szCs w:val="26"/>
          <w:u w:val="none" w:color="000000"/>
        </w:rPr>
        <w:t xml:space="preserv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 xml:space="preserve">. </w:t>
      </w:r>
      <w:hyperlink r:id="rId7">
        <w:r>
          <w:rPr>
            <w:rStyle w:val="Hyperlink"/>
            <w:rFonts w:ascii="Fira Mono" w:hAnsi="Fira Mono"/>
            <w:color w:val="000000"/>
            <w:spacing w:val="-2"/>
            <w:sz w:val="20"/>
            <w:szCs w:val="20"/>
            <w:u w:val="none" w:color="000000"/>
          </w:rPr>
          <w:t>https://www.aclusocal.org/sites/default/files/field_documents/report- unequal-access-080116.pdf</w:t>
        </w:r>
      </w:hyperlink>
      <w:r>
        <w:rPr>
          <w:rFonts w:ascii="Alegreya" w:hAnsi="Alegreya"/>
          <w:color w:val="000000"/>
          <w:spacing w:val="-4"/>
          <w:sz w:val="26"/>
          <w:szCs w:val="26"/>
          <w:u w:val="none" w:color="000000"/>
        </w:rPr>
        <w:t xml:space="preserve"> </w:t>
      </w:r>
    </w:p>
    <w:p>
      <w:pPr>
        <w:pStyle w:val="Reference"/>
        <w:rPr/>
      </w:pPr>
      <w:r>
        <w:rPr>
          <w:rFonts w:ascii="Alegreya" w:hAnsi="Alegreya"/>
          <w:i w:val="false"/>
          <w:iCs w:val="false"/>
          <w:color w:val="000000"/>
          <w:w w:val="90"/>
          <w:sz w:val="26"/>
          <w:szCs w:val="26"/>
          <w:u w:val="none" w:color="000000"/>
        </w:rPr>
        <w:t>Molnar, A. et al (2023).</w:t>
      </w:r>
      <w:r>
        <w:rPr>
          <w:rFonts w:ascii="Alegreya" w:hAnsi="Alegreya"/>
          <w:i/>
          <w:color w:val="000000"/>
          <w:w w:val="90"/>
          <w:sz w:val="26"/>
          <w:szCs w:val="26"/>
          <w:u w:val="none" w:color="000000"/>
        </w:rPr>
        <w:t>Virtual schools in the U.S. 2023</w:t>
      </w:r>
      <w:r>
        <w:rPr>
          <w:rFonts w:ascii="Alegreya" w:hAnsi="Alegreya"/>
          <w:color w:val="000000"/>
          <w:w w:val="90"/>
          <w:sz w:val="26"/>
          <w:szCs w:val="26"/>
          <w:u w:val="none" w:color="000000"/>
        </w:rPr>
        <w:t xml:space="preserve"> (2023). National Education Policy Center. </w:t>
      </w:r>
      <w:hyperlink r:id="rId8">
        <w:r>
          <w:rPr>
            <w:rStyle w:val="Hyperlink"/>
            <w:rFonts w:ascii="Fira Mono" w:hAnsi="Fira Mono"/>
            <w:color w:val="000000"/>
            <w:w w:val="90"/>
            <w:sz w:val="20"/>
            <w:szCs w:val="20"/>
            <w:u w:val="none" w:color="000000"/>
          </w:rPr>
          <w:t>https://nepc.colorado.edu/sites/default/files/publications/Complete%202023%20Virtual%20Schools_0.pdf</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9"/>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choice:</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and</w:t>
      </w:r>
      <w:r>
        <w:rPr>
          <w:rFonts w:ascii="Alegreya" w:hAnsi="Alegreya"/>
          <w:i/>
          <w:color w:val="000000"/>
          <w:spacing w:val="-11"/>
          <w:w w:val="90"/>
          <w:sz w:val="26"/>
          <w:szCs w:val="26"/>
          <w:u w:val="none" w:color="000000"/>
        </w:rPr>
        <w:t xml:space="preserve"> </w:t>
      </w:r>
      <w:r>
        <w:rPr>
          <w:rFonts w:ascii="Alegreya" w:hAnsi="Alegreya"/>
          <w:i/>
          <w:color w:val="000000"/>
          <w:w w:val="90"/>
          <w:sz w:val="26"/>
          <w:szCs w:val="26"/>
          <w:u w:val="none" w:color="000000"/>
        </w:rPr>
        <w:t xml:space="preserve">shape </w:t>
      </w:r>
      <w:r>
        <w:rPr>
          <w:rFonts w:ascii="Alegreya" w:hAnsi="Alegreya"/>
          <w:i/>
          <w:color w:val="000000"/>
          <w:spacing w:val="-4"/>
          <w:sz w:val="26"/>
          <w:szCs w:val="26"/>
          <w:u w:val="none" w:color="000000"/>
        </w:rPr>
        <w:t>enrollment</w:t>
      </w:r>
      <w:r>
        <w:rPr>
          <w:rFonts w:ascii="Alegreya" w:hAnsi="Alegreya"/>
          <w:color w:val="000000"/>
          <w:spacing w:val="-4"/>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4"/>
          <w:sz w:val="26"/>
          <w:szCs w:val="26"/>
          <w:u w:val="none" w:color="000000"/>
        </w:rPr>
        <w:t>Teachers</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College</w:t>
      </w:r>
      <w:r>
        <w:rPr>
          <w:rFonts w:ascii="Alegreya" w:hAnsi="Alegreya"/>
          <w:color w:val="000000"/>
          <w:spacing w:val="-13"/>
          <w:sz w:val="26"/>
          <w:szCs w:val="26"/>
          <w:u w:val="none" w:color="000000"/>
        </w:rPr>
        <w:t xml:space="preserve"> </w:t>
      </w:r>
      <w:r>
        <w:rPr>
          <w:rFonts w:ascii="Alegreya" w:hAnsi="Alegreya"/>
          <w:color w:val="000000"/>
          <w:spacing w:val="-4"/>
          <w:sz w:val="26"/>
          <w:szCs w:val="26"/>
          <w:u w:val="none" w:color="000000"/>
        </w:rPr>
        <w:t xml:space="preserve">Press. </w:t>
      </w:r>
      <w:hyperlink r:id="rId9">
        <w:r>
          <w:rPr>
            <w:rStyle w:val="Hyperlink"/>
            <w:rFonts w:ascii="Fira Mono" w:hAnsi="Fira Mono"/>
            <w:color w:val="000000"/>
            <w:spacing w:val="-2"/>
            <w:sz w:val="20"/>
            <w:szCs w:val="20"/>
            <w:u w:val="none" w:color="000000"/>
          </w:rPr>
          <w:t>https://www.tcpress.com/school%E2%80%99s-choice-9780807765814</w:t>
        </w:r>
      </w:hyperlink>
    </w:p>
    <w:p>
      <w:pPr>
        <w:pStyle w:val="Reference"/>
        <w:rPr/>
      </w:pPr>
      <w:r>
        <w:rPr>
          <w:rFonts w:ascii="Alegreya" w:hAnsi="Alegreya"/>
          <w:color w:val="000000"/>
          <w:w w:val="90"/>
          <w:sz w:val="26"/>
          <w:szCs w:val="26"/>
          <w:u w:val="none" w:color="000000"/>
        </w:rPr>
        <w:t>Mommandi,</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&amp;</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Welner,</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K.</w:t>
      </w:r>
      <w:r>
        <w:rPr>
          <w:rFonts w:ascii="Alegreya" w:hAnsi="Alegreya"/>
          <w:color w:val="000000"/>
          <w:spacing w:val="-2"/>
          <w:w w:val="90"/>
          <w:sz w:val="26"/>
          <w:szCs w:val="26"/>
          <w:u w:val="none" w:color="000000"/>
        </w:rPr>
        <w:t xml:space="preserve"> </w:t>
      </w:r>
      <w:r>
        <w:rPr>
          <w:rFonts w:ascii="Alegreya" w:hAnsi="Alegreya"/>
          <w:color w:val="000000"/>
          <w:w w:val="90"/>
          <w:sz w:val="26"/>
          <w:szCs w:val="26"/>
          <w:u w:val="none" w:color="000000"/>
        </w:rPr>
        <w:t>G.</w:t>
      </w:r>
      <w:r>
        <w:rPr>
          <w:rFonts w:ascii="Alegreya" w:hAnsi="Alegreya"/>
          <w:color w:val="000000"/>
          <w:spacing w:val="-7"/>
          <w:w w:val="90"/>
          <w:sz w:val="26"/>
          <w:szCs w:val="26"/>
          <w:u w:val="none" w:color="000000"/>
        </w:rPr>
        <w:t xml:space="preserve"> </w:t>
      </w:r>
      <w:r>
        <w:rPr>
          <w:rFonts w:ascii="Alegreya" w:hAnsi="Alegreya"/>
          <w:color w:val="000000"/>
          <w:w w:val="90"/>
          <w:sz w:val="26"/>
          <w:szCs w:val="26"/>
          <w:u w:val="none" w:color="000000"/>
        </w:rPr>
        <w:t>(2021).</w:t>
      </w:r>
      <w:r>
        <w:rPr>
          <w:rFonts w:ascii="Alegreya" w:hAnsi="Alegreya"/>
          <w:color w:val="000000"/>
          <w:spacing w:val="-7"/>
          <w:w w:val="90"/>
          <w:sz w:val="26"/>
          <w:szCs w:val="26"/>
          <w:u w:val="none" w:color="000000"/>
        </w:rPr>
        <w:t xml:space="preserve"> </w:t>
      </w:r>
      <w:r>
        <w:rPr>
          <w:rFonts w:ascii="Alegreya" w:hAnsi="Alegreya"/>
          <w:i/>
          <w:color w:val="000000"/>
          <w:w w:val="90"/>
          <w:sz w:val="26"/>
          <w:szCs w:val="26"/>
          <w:u w:val="none" w:color="000000"/>
        </w:rPr>
        <w:t>How</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Charter</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Schools</w:t>
      </w:r>
      <w:r>
        <w:rPr>
          <w:rFonts w:ascii="Alegreya" w:hAnsi="Alegreya"/>
          <w:i/>
          <w:color w:val="000000"/>
          <w:spacing w:val="-10"/>
          <w:w w:val="90"/>
          <w:sz w:val="26"/>
          <w:szCs w:val="26"/>
          <w:u w:val="none" w:color="000000"/>
        </w:rPr>
        <w:t xml:space="preserve"> </w:t>
      </w:r>
      <w:r>
        <w:rPr>
          <w:rFonts w:ascii="Alegreya" w:hAnsi="Alegreya"/>
          <w:i/>
          <w:color w:val="000000"/>
          <w:w w:val="90"/>
          <w:sz w:val="26"/>
          <w:szCs w:val="26"/>
          <w:u w:val="none" w:color="000000"/>
        </w:rPr>
        <w:t>Control</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Access</w:t>
      </w:r>
      <w:r>
        <w:rPr>
          <w:rFonts w:ascii="Alegreya" w:hAnsi="Alegreya"/>
          <w:i/>
          <w:color w:val="000000"/>
          <w:spacing w:val="-9"/>
          <w:w w:val="90"/>
          <w:sz w:val="26"/>
          <w:szCs w:val="26"/>
          <w:u w:val="none" w:color="000000"/>
        </w:rPr>
        <w:t xml:space="preserve"> </w:t>
      </w:r>
      <w:r>
        <w:rPr>
          <w:rFonts w:ascii="Alegreya" w:hAnsi="Alegreya"/>
          <w:i/>
          <w:color w:val="000000"/>
          <w:w w:val="90"/>
          <w:sz w:val="26"/>
          <w:szCs w:val="26"/>
          <w:u w:val="none" w:color="000000"/>
        </w:rPr>
        <w:t xml:space="preserve">and </w:t>
      </w:r>
      <w:r>
        <w:rPr>
          <w:rFonts w:ascii="Alegreya" w:hAnsi="Alegreya"/>
          <w:i/>
          <w:color w:val="000000"/>
          <w:spacing w:val="-8"/>
          <w:sz w:val="26"/>
          <w:szCs w:val="26"/>
          <w:u w:val="none" w:color="000000"/>
        </w:rPr>
        <w:t>Shape</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Enrollment</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National</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Education</w:t>
      </w:r>
      <w:r>
        <w:rPr>
          <w:rFonts w:ascii="Alegreya" w:hAnsi="Alegreya"/>
          <w:i/>
          <w:color w:val="000000"/>
          <w:spacing w:val="-14"/>
          <w:sz w:val="26"/>
          <w:szCs w:val="26"/>
          <w:u w:val="none" w:color="000000"/>
        </w:rPr>
        <w:t xml:space="preserve"> </w:t>
      </w:r>
      <w:r>
        <w:rPr>
          <w:rFonts w:ascii="Alegreya" w:hAnsi="Alegreya"/>
          <w:i/>
          <w:color w:val="000000"/>
          <w:spacing w:val="-8"/>
          <w:sz w:val="26"/>
          <w:szCs w:val="26"/>
          <w:u w:val="none" w:color="000000"/>
        </w:rPr>
        <w:t>Policy</w:t>
      </w:r>
      <w:r>
        <w:rPr>
          <w:rFonts w:ascii="Alegreya" w:hAnsi="Alegreya"/>
          <w:i/>
          <w:color w:val="000000"/>
          <w:spacing w:val="-15"/>
          <w:sz w:val="26"/>
          <w:szCs w:val="26"/>
          <w:u w:val="none" w:color="000000"/>
        </w:rPr>
        <w:t xml:space="preserve"> </w:t>
      </w:r>
      <w:r>
        <w:rPr>
          <w:rFonts w:ascii="Alegreya" w:hAnsi="Alegreya"/>
          <w:i/>
          <w:color w:val="000000"/>
          <w:spacing w:val="-8"/>
          <w:sz w:val="26"/>
          <w:szCs w:val="26"/>
          <w:u w:val="none" w:color="000000"/>
        </w:rPr>
        <w:t>Center</w:t>
      </w:r>
      <w:r>
        <w:rPr>
          <w:rFonts w:ascii="Alegreya" w:hAnsi="Alegreya"/>
          <w:color w:val="000000"/>
          <w:spacing w:val="-8"/>
          <w:sz w:val="26"/>
          <w:szCs w:val="26"/>
          <w:u w:val="none" w:color="000000"/>
        </w:rPr>
        <w:t xml:space="preserve">. </w:t>
      </w:r>
      <w:hyperlink r:id="rId10">
        <w:bookmarkStart w:id="9" w:name="_bookmark19"/>
        <w:bookmarkEnd w:id="9"/>
        <w:r>
          <w:rPr>
            <w:rStyle w:val="Hyperlink"/>
            <w:rFonts w:ascii="Fira Mono" w:hAnsi="Fira Mono"/>
            <w:color w:val="000000"/>
            <w:spacing w:val="-2"/>
            <w:sz w:val="20"/>
            <w:szCs w:val="20"/>
            <w:u w:val="none" w:color="000000"/>
          </w:rPr>
          <w:t>https://nepc.colorado.edu/blog/how-charter-schools-control</w:t>
        </w:r>
      </w:hyperlink>
    </w:p>
    <w:p>
      <w:pPr>
        <w:pStyle w:val="Reference"/>
        <w:rPr>
          <w:rFonts w:ascii="Alegreya" w:hAnsi="Alegreya"/>
          <w:color w:val="000000"/>
          <w:w w:val="90"/>
          <w:sz w:val="26"/>
          <w:szCs w:val="26"/>
          <w:u w:val="none" w:color="000000"/>
        </w:rPr>
      </w:pPr>
      <w:r>
        <w:rPr>
          <w:rFonts w:ascii="Alegreya" w:hAnsi="Alegreya"/>
          <w:color w:val="000000"/>
          <w:w w:val="90"/>
          <w:sz w:val="26"/>
          <w:szCs w:val="26"/>
          <w:u w:val="none" w:color="000000"/>
        </w:rPr>
      </w:r>
      <w:r>
        <w:br w:type="page"/>
      </w:r>
    </w:p>
    <w:p>
      <w:pPr>
        <w:pStyle w:val="Reference"/>
        <w:spacing w:before="0" w:after="173"/>
        <w:rPr/>
      </w:pPr>
      <w:r>
        <w:rPr>
          <w:rFonts w:ascii="Alegreya" w:hAnsi="Alegreya"/>
          <w:color w:val="000000"/>
          <w:w w:val="90"/>
          <w:sz w:val="26"/>
          <w:szCs w:val="26"/>
          <w:u w:val="none" w:color="000000"/>
        </w:rPr>
        <w:t xml:space="preserve">Patterson, D., &amp; Hutton, T. (2024). </w:t>
      </w:r>
      <w:r>
        <w:rPr>
          <w:rFonts w:ascii="Alegreya" w:hAnsi="Alegreya"/>
          <w:i/>
          <w:color w:val="000000"/>
          <w:w w:val="90"/>
          <w:sz w:val="26"/>
          <w:szCs w:val="26"/>
          <w:u w:val="none" w:color="000000"/>
        </w:rPr>
        <w:t>Protecting California public schools against fraud: The charter school sector &amp; beyond</w:t>
      </w:r>
      <w:r>
        <w:rPr>
          <w:rFonts w:ascii="Alegreya" w:hAnsi="Alegreya"/>
          <w:color w:val="000000"/>
          <w:w w:val="90"/>
          <w:sz w:val="26"/>
          <w:szCs w:val="26"/>
          <w:u w:val="none" w:color="000000"/>
        </w:rPr>
        <w:t xml:space="preserve">. California Charter Authorizing Professionals. </w:t>
      </w:r>
      <w:hyperlink r:id="rId11">
        <w:r>
          <w:rPr>
            <w:rStyle w:val="Hyperlink"/>
            <w:rFonts w:ascii="Fira Mono" w:hAnsi="Fira Mono"/>
            <w:color w:val="000000"/>
            <w:w w:val="90"/>
            <w:sz w:val="20"/>
            <w:szCs w:val="20"/>
            <w:u w:val="none" w:color="000000"/>
          </w:rPr>
          <w:t>https://calauthorizers.org/wp-content/uploads/2024/04/AntiFraudReport_042224.pdf</w:t>
        </w:r>
      </w:hyperlink>
    </w:p>
    <w:p>
      <w:pPr>
        <w:pStyle w:val="Reference"/>
        <w:rPr/>
      </w:pPr>
      <w:r>
        <w:rPr>
          <w:rFonts w:ascii="Alegreya" w:hAnsi="Alegreya"/>
          <w:color w:val="000000"/>
          <w:w w:val="90"/>
          <w:sz w:val="26"/>
          <w:szCs w:val="26"/>
          <w:u w:val="none" w:color="000000"/>
        </w:rPr>
        <w:t>Raymond, M. E.,</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Woodworth, J. L.,</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Lee, W. 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Bachofer,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As</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matter</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fact:</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The</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 xml:space="preserve">national </w:t>
      </w:r>
      <w:r>
        <w:rPr>
          <w:rFonts w:ascii="Alegreya" w:hAnsi="Alegreya"/>
          <w:i/>
          <w:color w:val="000000"/>
          <w:spacing w:val="-6"/>
          <w:sz w:val="26"/>
          <w:szCs w:val="26"/>
          <w:u w:val="none" w:color="000000"/>
        </w:rPr>
        <w:t>charter</w:t>
      </w:r>
      <w:r>
        <w:rPr>
          <w:rFonts w:ascii="Alegreya" w:hAnsi="Alegreya"/>
          <w:i/>
          <w:color w:val="000000"/>
          <w:spacing w:val="-22"/>
          <w:sz w:val="26"/>
          <w:szCs w:val="26"/>
          <w:u w:val="none" w:color="000000"/>
        </w:rPr>
        <w:t xml:space="preserve"> </w:t>
      </w:r>
      <w:r>
        <w:rPr>
          <w:rFonts w:ascii="Alegreya" w:hAnsi="Alegreya"/>
          <w:i/>
          <w:color w:val="000000"/>
          <w:spacing w:val="-6"/>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study</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III</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2023</w:t>
      </w:r>
      <w:r>
        <w:rPr>
          <w:rFonts w:ascii="Alegreya" w:hAnsi="Alegreya"/>
          <w:i/>
          <w:color w:val="000000"/>
          <w:spacing w:val="-20"/>
          <w:sz w:val="26"/>
          <w:szCs w:val="26"/>
          <w:u w:val="none" w:color="000000"/>
        </w:rPr>
        <w:t xml:space="preserve"> </w:t>
      </w:r>
      <w:r>
        <w:rPr>
          <w:rFonts w:ascii="Alegreya" w:hAnsi="Alegreya"/>
          <w:i/>
          <w:color w:val="000000"/>
          <w:spacing w:val="-6"/>
          <w:sz w:val="26"/>
          <w:szCs w:val="26"/>
          <w:u w:val="none" w:color="000000"/>
        </w:rPr>
        <w:t>(NCSSIII)</w:t>
      </w:r>
      <w:r>
        <w:rPr>
          <w:rFonts w:ascii="Alegreya" w:hAnsi="Alegreya"/>
          <w:color w:val="000000"/>
          <w:spacing w:val="-6"/>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6"/>
          <w:sz w:val="26"/>
          <w:szCs w:val="26"/>
          <w:u w:val="none" w:color="000000"/>
        </w:rPr>
        <w:t>Center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for</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Research</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Education</w:t>
      </w:r>
      <w:r>
        <w:rPr>
          <w:rFonts w:ascii="Alegreya" w:hAnsi="Alegreya"/>
          <w:color w:val="000000"/>
          <w:spacing w:val="-13"/>
          <w:sz w:val="26"/>
          <w:szCs w:val="26"/>
          <w:u w:val="none" w:color="000000"/>
        </w:rPr>
        <w:t xml:space="preserve"> </w:t>
      </w:r>
      <w:r>
        <w:rPr>
          <w:rFonts w:ascii="Alegreya" w:hAnsi="Alegreya"/>
          <w:color w:val="000000"/>
          <w:spacing w:val="-6"/>
          <w:sz w:val="26"/>
          <w:szCs w:val="26"/>
          <w:u w:val="none" w:color="000000"/>
        </w:rPr>
        <w:t xml:space="preserve">Outcomes, </w:t>
      </w:r>
      <w:r>
        <w:rPr>
          <w:rFonts w:ascii="Alegreya" w:hAnsi="Alegreya"/>
          <w:color w:val="000000"/>
          <w:spacing w:val="-2"/>
          <w:sz w:val="26"/>
          <w:szCs w:val="26"/>
          <w:u w:val="none" w:color="000000"/>
        </w:rPr>
        <w:t>Stanford</w:t>
      </w:r>
      <w:r>
        <w:rPr>
          <w:rFonts w:ascii="Alegreya" w:hAnsi="Alegreya"/>
          <w:color w:val="000000"/>
          <w:spacing w:val="-8"/>
          <w:sz w:val="26"/>
          <w:szCs w:val="26"/>
          <w:u w:val="none" w:color="000000"/>
        </w:rPr>
        <w:t xml:space="preserve"> </w:t>
      </w:r>
      <w:r>
        <w:rPr>
          <w:rFonts w:ascii="Alegreya" w:hAnsi="Alegreya"/>
          <w:color w:val="000000"/>
          <w:spacing w:val="-2"/>
          <w:sz w:val="26"/>
          <w:szCs w:val="26"/>
          <w:u w:val="none" w:color="000000"/>
        </w:rPr>
        <w:t>University.</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Stanford,</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CA.</w:t>
      </w:r>
      <w:r>
        <w:rPr>
          <w:rFonts w:ascii="Alegreya" w:hAnsi="Alegreya"/>
          <w:color w:val="000000"/>
          <w:spacing w:val="-13"/>
          <w:sz w:val="26"/>
          <w:szCs w:val="26"/>
          <w:u w:val="none" w:color="000000"/>
        </w:rPr>
        <w:t xml:space="preserve"> </w:t>
      </w:r>
      <w:hyperlink r:id="rId12">
        <w:r>
          <w:rPr>
            <w:rStyle w:val="Hyperlink"/>
            <w:rFonts w:ascii="Fira Mono" w:hAnsi="Fira Mono"/>
            <w:color w:val="000000"/>
            <w:spacing w:val="-2"/>
            <w:sz w:val="20"/>
            <w:szCs w:val="20"/>
            <w:u w:val="none" w:color="000000"/>
          </w:rPr>
          <w:t xml:space="preserve">https://ncss3.stanford.edu/wp- </w:t>
        </w:r>
        <w:bookmarkStart w:id="10" w:name="_bookmark20"/>
        <w:bookmarkEnd w:id="10"/>
        <w:r>
          <w:rPr>
            <w:rStyle w:val="Hyperlink"/>
            <w:rFonts w:ascii="Fira Mono" w:hAnsi="Fira Mono"/>
            <w:color w:val="000000"/>
            <w:spacing w:val="-2"/>
            <w:sz w:val="20"/>
            <w:szCs w:val="20"/>
            <w:u w:val="none" w:color="000000"/>
          </w:rPr>
          <w:t>content/uploads/2023/06/Credo-NCSS3-Report.pdf</w:t>
        </w:r>
      </w:hyperlink>
    </w:p>
    <w:p>
      <w:pPr>
        <w:pStyle w:val="Reference"/>
        <w:rPr/>
      </w:pPr>
      <w:r>
        <w:rPr>
          <w:rFonts w:ascii="Alegreya" w:hAnsi="Alegreya"/>
          <w:color w:val="000000"/>
          <w:w w:val="90"/>
          <w:sz w:val="26"/>
          <w:szCs w:val="26"/>
          <w:u w:val="none" w:color="000000"/>
        </w:rPr>
        <w:t>Rocketship</w:t>
      </w:r>
      <w:r>
        <w:rPr>
          <w:rFonts w:ascii="Alegreya" w:hAnsi="Alegreya"/>
          <w:color w:val="000000"/>
          <w:spacing w:val="-1"/>
          <w:w w:val="90"/>
          <w:sz w:val="26"/>
          <w:szCs w:val="26"/>
          <w:u w:val="none" w:color="000000"/>
        </w:rPr>
        <w:t xml:space="preserve"> </w:t>
      </w:r>
      <w:r>
        <w:rPr>
          <w:rFonts w:ascii="Alegreya" w:hAnsi="Alegreya"/>
          <w:color w:val="000000"/>
          <w:w w:val="90"/>
          <w:sz w:val="26"/>
          <w:szCs w:val="26"/>
          <w:u w:val="none" w:color="000000"/>
        </w:rPr>
        <w:t>Education.</w:t>
      </w:r>
      <w:r>
        <w:rPr>
          <w:rFonts w:ascii="Alegreya" w:hAnsi="Alegreya"/>
          <w:color w:val="000000"/>
          <w:spacing w:val="-6"/>
          <w:w w:val="90"/>
          <w:sz w:val="26"/>
          <w:szCs w:val="26"/>
          <w:u w:val="none" w:color="000000"/>
        </w:rPr>
        <w:t xml:space="preserve"> </w:t>
      </w:r>
      <w:r>
        <w:rPr>
          <w:rFonts w:ascii="Alegreya" w:hAnsi="Alegreya"/>
          <w:color w:val="000000"/>
          <w:w w:val="90"/>
          <w:sz w:val="26"/>
          <w:szCs w:val="26"/>
          <w:u w:val="none" w:color="000000"/>
        </w:rPr>
        <w:t>(2023).</w:t>
      </w:r>
      <w:r>
        <w:rPr>
          <w:rFonts w:ascii="Alegreya" w:hAnsi="Alegreya"/>
          <w:color w:val="000000"/>
          <w:spacing w:val="-6"/>
          <w:w w:val="90"/>
          <w:sz w:val="26"/>
          <w:szCs w:val="26"/>
          <w:u w:val="none" w:color="000000"/>
        </w:rPr>
        <w:t xml:space="preserve"> </w:t>
      </w:r>
      <w:r>
        <w:rPr>
          <w:rFonts w:ascii="Alegreya" w:hAnsi="Alegreya"/>
          <w:i/>
          <w:color w:val="000000"/>
          <w:w w:val="90"/>
          <w:sz w:val="26"/>
          <w:szCs w:val="26"/>
          <w:u w:val="none" w:color="000000"/>
        </w:rPr>
        <w:t>Results</w:t>
      </w:r>
      <w:r>
        <w:rPr>
          <w:rFonts w:ascii="Alegreya" w:hAnsi="Alegreya"/>
          <w:color w:val="000000"/>
          <w:w w:val="90"/>
          <w:sz w:val="26"/>
          <w:szCs w:val="26"/>
          <w:u w:val="none" w:color="000000"/>
        </w:rPr>
        <w:t>.</w:t>
      </w:r>
      <w:bookmarkStart w:id="11" w:name="_bookmark21"/>
      <w:bookmarkEnd w:id="11"/>
      <w:r>
        <w:rPr>
          <w:rFonts w:ascii="Alegreya" w:hAnsi="Alegreya"/>
          <w:color w:val="000000"/>
          <w:spacing w:val="-7"/>
          <w:w w:val="90"/>
          <w:sz w:val="26"/>
          <w:szCs w:val="26"/>
          <w:u w:val="none" w:color="000000"/>
        </w:rPr>
        <w:t xml:space="preserve"> </w:t>
      </w:r>
      <w:hyperlink r:id="rId13">
        <w:r>
          <w:rPr>
            <w:rStyle w:val="Hyperlink"/>
            <w:rFonts w:ascii="Fira Mono" w:hAnsi="Fira Mono"/>
            <w:color w:val="000000"/>
            <w:sz w:val="20"/>
            <w:szCs w:val="20"/>
            <w:u w:val="none" w:color="000000"/>
          </w:rPr>
          <w:t>https://www.rocketshipschools.org/results/</w:t>
        </w:r>
      </w:hyperlink>
    </w:p>
    <w:p>
      <w:pPr>
        <w:pStyle w:val="Reference"/>
        <w:rPr/>
      </w:pPr>
      <w:r>
        <w:rPr>
          <w:rFonts w:ascii="Alegreya" w:hAnsi="Alegreya"/>
          <w:color w:val="000000"/>
          <w:w w:val="90"/>
          <w:sz w:val="26"/>
          <w:szCs w:val="26"/>
          <w:u w:val="none" w:color="000000"/>
        </w:rPr>
        <w:t xml:space="preserve">Sierra, T. (2021). </w:t>
      </w:r>
      <w:r>
        <w:rPr>
          <w:rFonts w:ascii="Alegreya" w:hAnsi="Alegreya"/>
          <w:i/>
          <w:color w:val="000000"/>
          <w:w w:val="90"/>
          <w:sz w:val="26"/>
          <w:szCs w:val="26"/>
          <w:u w:val="none" w:color="000000"/>
        </w:rPr>
        <w:t>Guilty Pleas in A3 Charter School Case Leads to Return of Over $210 Million in Assets</w:t>
      </w:r>
      <w:r>
        <w:rPr>
          <w:rFonts w:ascii="Alegreya" w:hAnsi="Alegreya"/>
          <w:color w:val="000000"/>
          <w:w w:val="90"/>
          <w:sz w:val="26"/>
          <w:szCs w:val="26"/>
          <w:u w:val="none" w:color="000000"/>
        </w:rPr>
        <w:t xml:space="preserve">. </w:t>
      </w:r>
      <w:hyperlink r:id="rId14">
        <w:r>
          <w:rPr>
            <w:rStyle w:val="Hyperlink"/>
            <w:rFonts w:ascii="Fira Mono" w:hAnsi="Fira Mono"/>
            <w:color w:val="000000"/>
            <w:w w:val="90"/>
            <w:sz w:val="20"/>
            <w:szCs w:val="20"/>
            <w:u w:val="none" w:color="000000"/>
          </w:rPr>
          <w:t>https://www.sdcda.org/content/office/newsroom/tempDownloads/560efe3c-10b6-4487-adaf-14e7487e4af0_A3%20Charter%20Guilty%20Pleas%20News%20Release%202-26-2021.pdf</w:t>
        </w:r>
      </w:hyperlink>
    </w:p>
    <w:p>
      <w:pPr>
        <w:pStyle w:val="Reference"/>
        <w:rPr/>
      </w:pPr>
      <w:r>
        <w:rPr>
          <w:rFonts w:ascii="Alegreya" w:hAnsi="Alegreya"/>
          <w:color w:val="000000"/>
          <w:w w:val="90"/>
          <w:sz w:val="26"/>
          <w:szCs w:val="26"/>
          <w:u w:val="none" w:color="000000"/>
        </w:rPr>
        <w:t xml:space="preserve">Superior Court of Sonoma. (2003). Charter public schools. Sonoma, CA. https://sonoma.courts.ca.gov/system/files?file=charterpublic-schools.pdfTaketa, K (2021). </w:t>
      </w:r>
      <w:r>
        <w:rPr>
          <w:rFonts w:ascii="Alegreya" w:hAnsi="Alegreya"/>
          <w:i/>
          <w:iCs/>
          <w:color w:val="000000"/>
          <w:w w:val="90"/>
          <w:sz w:val="26"/>
          <w:szCs w:val="26"/>
          <w:u w:val="none" w:color="000000"/>
        </w:rPr>
        <w:t xml:space="preserve">CA legislators propose reforms to prevent another A3 charter school scandal. </w:t>
      </w:r>
      <w:r>
        <w:rPr>
          <w:rFonts w:ascii="Alegreya" w:hAnsi="Alegreya"/>
          <w:i w:val="false"/>
          <w:iCs w:val="false"/>
          <w:color w:val="000000"/>
          <w:w w:val="90"/>
          <w:sz w:val="26"/>
          <w:szCs w:val="26"/>
          <w:u w:val="none" w:color="000000"/>
        </w:rPr>
        <w:t xml:space="preserve">The San Diego Union-Tribune. San Diego. </w:t>
      </w:r>
      <w:hyperlink r:id="rId15">
        <w:r>
          <w:rPr>
            <w:rStyle w:val="Hyperlink"/>
            <w:rFonts w:ascii="Fira Mono" w:hAnsi="Fira Mono"/>
            <w:i w:val="false"/>
            <w:iCs w:val="false"/>
            <w:color w:val="000000"/>
            <w:w w:val="90"/>
            <w:sz w:val="20"/>
            <w:szCs w:val="20"/>
            <w:u w:val="none" w:color="000000"/>
          </w:rPr>
          <w:t>https://www.sandiegouniontribune.com/news/education/story/2021-04-26/ca-legislators-propose-reforms-to-prevent-another-a3-charter-scandal</w:t>
        </w:r>
      </w:hyperlink>
    </w:p>
    <w:p>
      <w:pPr>
        <w:pStyle w:val="Reference"/>
        <w:rPr/>
      </w:pPr>
      <w:r>
        <w:rPr>
          <w:rFonts w:ascii="Alegreya" w:hAnsi="Alegreya"/>
          <w:color w:val="000000"/>
          <w:w w:val="90"/>
          <w:sz w:val="26"/>
          <w:szCs w:val="26"/>
          <w:u w:val="none" w:color="000000"/>
        </w:rPr>
        <w:t>Tyler, N.,</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Astudillo, S.,</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Betsy Wolf,</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&amp; McCracken, M.</w:t>
      </w:r>
      <w:r>
        <w:rPr>
          <w:rFonts w:ascii="Alegreya" w:hAnsi="Alegreya"/>
          <w:color w:val="000000"/>
          <w:spacing w:val="-4"/>
          <w:w w:val="90"/>
          <w:sz w:val="26"/>
          <w:szCs w:val="26"/>
          <w:u w:val="none" w:color="000000"/>
        </w:rPr>
        <w:t xml:space="preserve"> </w:t>
      </w:r>
      <w:r>
        <w:rPr>
          <w:rFonts w:ascii="Alegreya" w:hAnsi="Alegreya"/>
          <w:color w:val="000000"/>
          <w:w w:val="90"/>
          <w:sz w:val="26"/>
          <w:szCs w:val="26"/>
          <w:u w:val="none" w:color="000000"/>
        </w:rPr>
        <w:t>(2016).</w:t>
      </w:r>
      <w:r>
        <w:rPr>
          <w:rFonts w:ascii="Alegreya" w:hAnsi="Alegreya"/>
          <w:color w:val="000000"/>
          <w:spacing w:val="-4"/>
          <w:w w:val="90"/>
          <w:sz w:val="26"/>
          <w:szCs w:val="26"/>
          <w:u w:val="none" w:color="000000"/>
        </w:rPr>
        <w:t xml:space="preserve"> </w:t>
      </w:r>
      <w:r>
        <w:rPr>
          <w:rFonts w:ascii="Alegreya" w:hAnsi="Alegreya"/>
          <w:i/>
          <w:color w:val="000000"/>
          <w:w w:val="90"/>
          <w:sz w:val="26"/>
          <w:szCs w:val="26"/>
          <w:u w:val="none" w:color="000000"/>
        </w:rPr>
        <w:t>Evaluation</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of</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Rocketship</w:t>
      </w:r>
      <w:r>
        <w:rPr>
          <w:rFonts w:ascii="Alegreya" w:hAnsi="Alegreya"/>
          <w:i/>
          <w:color w:val="000000"/>
          <w:spacing w:val="-7"/>
          <w:w w:val="90"/>
          <w:sz w:val="26"/>
          <w:szCs w:val="26"/>
          <w:u w:val="none" w:color="000000"/>
        </w:rPr>
        <w:t xml:space="preserve"> </w:t>
      </w:r>
      <w:r>
        <w:rPr>
          <w:rFonts w:ascii="Alegreya" w:hAnsi="Alegreya"/>
          <w:i/>
          <w:color w:val="000000"/>
          <w:w w:val="90"/>
          <w:sz w:val="26"/>
          <w:szCs w:val="26"/>
          <w:u w:val="none" w:color="000000"/>
        </w:rPr>
        <w:t xml:space="preserve">Students’ </w:t>
      </w:r>
      <w:r>
        <w:rPr>
          <w:rFonts w:ascii="Alegreya" w:hAnsi="Alegreya"/>
          <w:i/>
          <w:color w:val="000000"/>
          <w:spacing w:val="-2"/>
          <w:sz w:val="26"/>
          <w:szCs w:val="26"/>
          <w:u w:val="none" w:color="000000"/>
        </w:rPr>
        <w:t>Middle</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School</w:t>
      </w:r>
      <w:r>
        <w:rPr>
          <w:rFonts w:ascii="Alegreya" w:hAnsi="Alegreya"/>
          <w:i/>
          <w:color w:val="000000"/>
          <w:spacing w:val="-20"/>
          <w:sz w:val="26"/>
          <w:szCs w:val="26"/>
          <w:u w:val="none" w:color="000000"/>
        </w:rPr>
        <w:t xml:space="preserve"> </w:t>
      </w:r>
      <w:r>
        <w:rPr>
          <w:rFonts w:ascii="Alegreya" w:hAnsi="Alegreya"/>
          <w:i/>
          <w:color w:val="000000"/>
          <w:spacing w:val="-2"/>
          <w:sz w:val="26"/>
          <w:szCs w:val="26"/>
          <w:u w:val="none" w:color="000000"/>
        </w:rPr>
        <w:t>Outcomes</w:t>
      </w:r>
      <w:r>
        <w:rPr>
          <w:rFonts w:ascii="Alegreya" w:hAnsi="Alegreya"/>
          <w:color w:val="000000"/>
          <w:spacing w:val="-2"/>
          <w:sz w:val="26"/>
          <w:szCs w:val="26"/>
          <w:u w:val="none" w:color="000000"/>
        </w:rPr>
        <w:t>.</w:t>
      </w:r>
      <w:r>
        <w:rPr>
          <w:rFonts w:ascii="Alegreya" w:hAnsi="Alegreya"/>
          <w:color w:val="000000"/>
          <w:spacing w:val="-18"/>
          <w:sz w:val="26"/>
          <w:szCs w:val="26"/>
          <w:u w:val="none" w:color="000000"/>
        </w:rPr>
        <w:t xml:space="preserve"> </w:t>
      </w:r>
      <w:r>
        <w:rPr>
          <w:rFonts w:ascii="Alegreya" w:hAnsi="Alegreya"/>
          <w:color w:val="000000"/>
          <w:spacing w:val="-2"/>
          <w:sz w:val="26"/>
          <w:szCs w:val="26"/>
          <w:u w:val="none" w:color="000000"/>
        </w:rPr>
        <w:t>SRI</w:t>
      </w:r>
      <w:r>
        <w:rPr>
          <w:rFonts w:ascii="Alegreya" w:hAnsi="Alegreya"/>
          <w:color w:val="000000"/>
          <w:spacing w:val="-13"/>
          <w:sz w:val="26"/>
          <w:szCs w:val="26"/>
          <w:u w:val="none" w:color="000000"/>
        </w:rPr>
        <w:t xml:space="preserve"> </w:t>
      </w:r>
      <w:r>
        <w:rPr>
          <w:rFonts w:ascii="Alegreya" w:hAnsi="Alegreya"/>
          <w:color w:val="000000"/>
          <w:spacing w:val="-2"/>
          <w:sz w:val="26"/>
          <w:szCs w:val="26"/>
          <w:u w:val="none" w:color="000000"/>
        </w:rPr>
        <w:t>Education.</w:t>
      </w:r>
      <w:r>
        <w:rPr>
          <w:rFonts w:ascii="Alegreya" w:hAnsi="Alegreya"/>
          <w:color w:val="000000"/>
          <w:spacing w:val="-18"/>
          <w:sz w:val="26"/>
          <w:szCs w:val="26"/>
          <w:u w:val="none" w:color="000000"/>
        </w:rPr>
        <w:t xml:space="preserve"> </w:t>
      </w:r>
      <w:hyperlink r:id="rId16">
        <w:r>
          <w:rPr>
            <w:rStyle w:val="Hyperlink"/>
            <w:rFonts w:ascii="Fira Mono" w:hAnsi="Fira Mono"/>
            <w:color w:val="000000"/>
            <w:spacing w:val="-2"/>
            <w:sz w:val="20"/>
            <w:szCs w:val="20"/>
            <w:u w:val="none" w:color="000000"/>
          </w:rPr>
          <w:t xml:space="preserve">https://www.sri.com/wp- </w:t>
        </w:r>
        <w:bookmarkStart w:id="12" w:name="_bookmark23_Copy_1_Copy_1"/>
        <w:bookmarkEnd w:id="12"/>
        <w:r>
          <w:rPr>
            <w:rStyle w:val="Hyperlink"/>
            <w:rFonts w:ascii="Fira Mono" w:hAnsi="Fira Mono"/>
            <w:color w:val="000000"/>
            <w:spacing w:val="-2"/>
            <w:sz w:val="20"/>
            <w:szCs w:val="20"/>
            <w:u w:val="none" w:color="000000"/>
          </w:rPr>
          <w:t>content/uploads/2022/07/sri_final_rocketship_evaluation_report_2016.pdf</w:t>
        </w:r>
      </w:hyperlink>
    </w:p>
    <w:p>
      <w:pPr>
        <w:pStyle w:val="Reference"/>
        <w:rPr/>
      </w:pPr>
      <w:r>
        <w:rPr>
          <w:rFonts w:ascii="Alegreya" w:hAnsi="Alegreya"/>
          <w:color w:val="000000"/>
          <w:w w:val="90"/>
          <w:sz w:val="26"/>
          <w:szCs w:val="26"/>
          <w:u w:val="none" w:color="000000"/>
        </w:rPr>
        <w:t xml:space="preserve">Winston, S. (2019). </w:t>
      </w:r>
      <w:r>
        <w:rPr>
          <w:rFonts w:ascii="Alegreya" w:hAnsi="Alegreya"/>
          <w:i/>
          <w:color w:val="000000"/>
          <w:w w:val="90"/>
          <w:sz w:val="26"/>
          <w:szCs w:val="26"/>
          <w:u w:val="none" w:color="000000"/>
        </w:rPr>
        <w:t>Are students of color over-identified or under-identified as having a disability? The answer is both.</w:t>
      </w:r>
      <w:r>
        <w:rPr>
          <w:rFonts w:ascii="Alegreya" w:hAnsi="Alegreya"/>
          <w:color w:val="000000"/>
          <w:w w:val="90"/>
          <w:sz w:val="26"/>
          <w:szCs w:val="26"/>
          <w:u w:val="none" w:color="000000"/>
        </w:rPr>
        <w:t xml:space="preserve"> </w:t>
      </w:r>
      <w:hyperlink r:id="rId17">
        <w:r>
          <w:rPr>
            <w:rStyle w:val="Hyperlink"/>
            <w:rFonts w:ascii="Fira Mono" w:hAnsi="Fira Mono"/>
            <w:color w:val="000000"/>
            <w:spacing w:val="-2"/>
            <w:sz w:val="20"/>
            <w:szCs w:val="20"/>
            <w:u w:val="none" w:color="000000"/>
          </w:rPr>
          <w:t xml:space="preserve">https://innovateschools.org/research-and-data/are-students-of-color-over- </w:t>
        </w:r>
        <w:r>
          <w:rPr>
            <w:rStyle w:val="Hyperlink"/>
            <w:rFonts w:ascii="Fira Mono" w:hAnsi="Fira Mono"/>
            <w:color w:val="000000"/>
            <w:sz w:val="20"/>
            <w:szCs w:val="20"/>
            <w:u w:val="none" w:color="000000"/>
          </w:rPr>
          <w:t>identified-or-under-identified-as-having-a-disability-the-answer-is-</w:t>
        </w:r>
        <w:r>
          <w:rPr>
            <w:rStyle w:val="Hyperlink"/>
            <w:rFonts w:ascii="Fira Mono" w:hAnsi="Fira Mono"/>
            <w:color w:val="000000"/>
            <w:spacing w:val="-2"/>
            <w:sz w:val="20"/>
            <w:szCs w:val="20"/>
            <w:u w:val="none" w:color="000000"/>
          </w:rPr>
          <w:t>both/</w:t>
        </w:r>
      </w:hyperlink>
    </w:p>
    <w:p>
      <w:pPr>
        <w:pStyle w:val="Reference"/>
        <w:rPr/>
      </w:pPr>
      <w:bookmarkStart w:id="13" w:name="_bookmark24"/>
      <w:bookmarkEnd w:id="13"/>
      <w:r>
        <w:rPr>
          <w:rFonts w:ascii="Alegreya" w:hAnsi="Alegreya"/>
          <w:color w:val="000000"/>
          <w:spacing w:val="-8"/>
          <w:sz w:val="26"/>
          <w:szCs w:val="26"/>
          <w:u w:val="none" w:color="000000"/>
        </w:rPr>
        <w:t>Zimmer,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&amp; Buddin, R.</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(2009).</w:t>
      </w:r>
      <w:r>
        <w:rPr>
          <w:rFonts w:ascii="Alegreya" w:hAnsi="Alegreya"/>
          <w:color w:val="000000"/>
          <w:spacing w:val="-11"/>
          <w:sz w:val="26"/>
          <w:szCs w:val="26"/>
          <w:u w:val="none" w:color="000000"/>
        </w:rPr>
        <w:t xml:space="preserve"> </w:t>
      </w:r>
      <w:r>
        <w:rPr>
          <w:rFonts w:ascii="Alegreya" w:hAnsi="Alegreya"/>
          <w:color w:val="000000"/>
          <w:spacing w:val="-8"/>
          <w:sz w:val="26"/>
          <w:szCs w:val="26"/>
          <w:u w:val="none" w:color="000000"/>
        </w:rPr>
        <w:t xml:space="preserve">Is Charter School Competition in California Improving the </w:t>
      </w:r>
      <w:r>
        <w:rPr>
          <w:rFonts w:ascii="Alegreya" w:hAnsi="Alegreya"/>
          <w:color w:val="000000"/>
          <w:w w:val="90"/>
          <w:sz w:val="26"/>
          <w:szCs w:val="26"/>
          <w:u w:val="none" w:color="000000"/>
        </w:rPr>
        <w:t xml:space="preserve">Performance of Traditional Public Schools? </w:t>
      </w:r>
      <w:r>
        <w:rPr>
          <w:rFonts w:ascii="Alegreya" w:hAnsi="Alegreya"/>
          <w:i/>
          <w:color w:val="000000"/>
          <w:w w:val="90"/>
          <w:sz w:val="26"/>
          <w:szCs w:val="26"/>
          <w:u w:val="none" w:color="000000"/>
        </w:rPr>
        <w:t>Public</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Administration</w:t>
      </w:r>
      <w:r>
        <w:rPr>
          <w:rFonts w:ascii="Alegreya" w:hAnsi="Alegreya"/>
          <w:i/>
          <w:color w:val="000000"/>
          <w:spacing w:val="-6"/>
          <w:w w:val="90"/>
          <w:sz w:val="26"/>
          <w:szCs w:val="26"/>
          <w:u w:val="none" w:color="000000"/>
        </w:rPr>
        <w:t xml:space="preserve"> </w:t>
      </w:r>
      <w:r>
        <w:rPr>
          <w:rFonts w:ascii="Alegreya" w:hAnsi="Alegreya"/>
          <w:i/>
          <w:color w:val="000000"/>
          <w:w w:val="90"/>
          <w:sz w:val="26"/>
          <w:szCs w:val="26"/>
          <w:u w:val="none" w:color="000000"/>
        </w:rPr>
        <w:t>Review</w:t>
      </w:r>
      <w:r>
        <w:rPr>
          <w:rFonts w:ascii="Alegreya" w:hAnsi="Alegreya"/>
          <w:color w:val="000000"/>
          <w:w w:val="90"/>
          <w:sz w:val="26"/>
          <w:szCs w:val="26"/>
          <w:u w:val="none" w:color="000000"/>
        </w:rPr>
        <w:t>,</w:t>
      </w:r>
      <w:r>
        <w:rPr>
          <w:rFonts w:ascii="Alegreya" w:hAnsi="Alegreya"/>
          <w:color w:val="000000"/>
          <w:spacing w:val="-3"/>
          <w:w w:val="90"/>
          <w:sz w:val="26"/>
          <w:szCs w:val="26"/>
          <w:u w:val="none" w:color="000000"/>
        </w:rPr>
        <w:t xml:space="preserve"> </w:t>
      </w:r>
      <w:r>
        <w:rPr>
          <w:rFonts w:ascii="Alegreya" w:hAnsi="Alegreya"/>
          <w:i/>
          <w:color w:val="000000"/>
          <w:w w:val="90"/>
          <w:sz w:val="26"/>
          <w:szCs w:val="26"/>
          <w:u w:val="none" w:color="000000"/>
        </w:rPr>
        <w:t>69</w:t>
      </w:r>
      <w:r>
        <w:rPr>
          <w:rFonts w:ascii="Alegreya" w:hAnsi="Alegreya"/>
          <w:color w:val="000000"/>
          <w:w w:val="90"/>
          <w:sz w:val="26"/>
          <w:szCs w:val="26"/>
          <w:u w:val="none" w:color="000000"/>
        </w:rPr>
        <w:t>(5),</w:t>
      </w:r>
      <w:r>
        <w:rPr>
          <w:rFonts w:ascii="Alegreya" w:hAnsi="Alegreya"/>
          <w:color w:val="000000"/>
          <w:spacing w:val="-3"/>
          <w:w w:val="90"/>
          <w:sz w:val="26"/>
          <w:szCs w:val="26"/>
          <w:u w:val="none" w:color="000000"/>
        </w:rPr>
        <w:t xml:space="preserve"> </w:t>
      </w:r>
      <w:r>
        <w:rPr>
          <w:rFonts w:ascii="Alegreya" w:hAnsi="Alegreya"/>
          <w:color w:val="000000"/>
          <w:w w:val="90"/>
          <w:sz w:val="26"/>
          <w:szCs w:val="26"/>
          <w:u w:val="none" w:color="000000"/>
        </w:rPr>
        <w:t xml:space="preserve">831–845. </w:t>
      </w:r>
      <w:r>
        <w:rPr>
          <w:rStyle w:val="Hyperlink"/>
          <w:rFonts w:ascii="Fira Mono" w:hAnsi="Fira Mono"/>
          <w:color w:val="000000"/>
          <w:spacing w:val="-2"/>
          <w:sz w:val="20"/>
          <w:szCs w:val="20"/>
          <w:u w:val="none" w:color="000000"/>
        </w:rPr>
        <w:t>https://doi.org/10.1111/j.1540-6210.2009.02033.x</w:t>
      </w:r>
    </w:p>
    <w:p>
      <w:pPr>
        <w:pStyle w:val="Reference"/>
        <w:spacing w:before="0" w:after="173"/>
        <w:rPr/>
      </w:pPr>
      <w:r>
        <w:rPr>
          <w:rStyle w:val="Hyperlink"/>
          <w:color w:val="000000"/>
          <w:u w:val="none"/>
        </w:rPr>
        <w:t xml:space="preserve">Zimmer, R. et al (2009). </w:t>
      </w:r>
      <w:r>
        <w:rPr>
          <w:rStyle w:val="Hyperlink"/>
          <w:i/>
          <w:iCs/>
          <w:color w:val="000000"/>
          <w:u w:val="none"/>
        </w:rPr>
        <w:t>Charter schools in eight states: Effects on achievement, attainment, integration, and competition.</w:t>
      </w:r>
      <w:r>
        <w:rPr>
          <w:rStyle w:val="Hyperlink"/>
          <w:i w:val="false"/>
          <w:iCs w:val="false"/>
          <w:color w:val="000000"/>
          <w:u w:val="none"/>
        </w:rPr>
        <w:t xml:space="preserve"> Rand Corporation, Santa Monica, CA. </w:t>
      </w:r>
      <w:r>
        <w:rPr>
          <w:rStyle w:val="Hyperlink"/>
          <w:rFonts w:ascii="Fira Mono" w:hAnsi="Fira Mono"/>
          <w:i w:val="false"/>
          <w:iCs w:val="false"/>
          <w:color w:val="000000"/>
          <w:sz w:val="20"/>
          <w:szCs w:val="20"/>
          <w:u w:val="none"/>
        </w:rPr>
        <w:t>https://www.rand.org/pubs/monographs/MG869.html</w:t>
      </w:r>
    </w:p>
    <w:sectPr>
      <w:footerReference w:type="even" r:id="rId18"/>
      <w:footerReference w:type="default" r:id="rId19"/>
      <w:footerReference w:type="first" r:id="rId20"/>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characterSet="utf-8"/>
    <w:family w:val="roman"/>
    <w:pitch w:val="variable"/>
  </w:font>
  <w:font w:name="Alegreya Sans">
    <w:charset w:val="01" w:characterSet="utf-8"/>
    <w:family w:val="swiss"/>
    <w:pitch w:val="variable"/>
  </w:font>
  <w:font w:name="Liberation Serif">
    <w:altName w:val="Times New Roman"/>
    <w:charset w:val="01" w:characterSet="utf-8"/>
    <w:family w:val="swiss"/>
    <w:pitch w:val="variable"/>
  </w:font>
  <w:font w:name="Alegreya Sans:liga">
    <w:charset w:val="01" w:characterSet="utf-8"/>
    <w:family w:val="roman"/>
    <w:pitch w:val="variable"/>
  </w:font>
  <w:font w:name="Palatino Linotype">
    <w:charset w:val="01" w:characterSet="utf-8"/>
    <w:family w:val="roman"/>
    <w:pitch w:val="variable"/>
  </w:font>
  <w:font w:name="Alegreya">
    <w:charset w:val="01" w:characterSet="utf-8"/>
    <w:family w:val="roman"/>
    <w:pitch w:val="variable"/>
  </w:font>
  <w:font w:name="Alegreya Sans">
    <w:charset w:val="01" w:characterSet="utf-8"/>
    <w:family w:val="roman"/>
    <w:pitch w:val="variable"/>
  </w:font>
  <w:font w:name="Fira Mono">
    <w:charset w:val="01" w:characterSet="utf-8"/>
    <w:family w:val="roman"/>
    <w:pitch w:val="variable"/>
  </w:font>
  <w:font w:name="Alegreya:&amp;liga&amp;onum=1">
    <w:charset w:val="01" w:characterSet="utf-8"/>
    <w:family w:val="roman"/>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firstLine="360" w:start="0" w:end="0"/>
      <w:rPr>
        <w:sz w:val="20"/>
      </w:rPr>
    </w:pPr>
    <w:r>
      <w:rPr>
        <w:sz w:val="20"/>
      </w:rPr>
      <mc:AlternateContent>
        <mc:Choice Requires="wps">
          <w:drawing>
            <wp:anchor behindDoc="1" distT="0" distB="0" distL="0" distR="0" simplePos="0" locked="0" layoutInCell="0" allowOverlap="1" relativeHeight="52">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tLeast" w:line="0"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https://leginfo.legislature.ca.gov/faces/codes_displayText.xhtml?division=4.&amp;chapter=1.&amp;part26.8.&amp;lawCode=EDC&amp;title=2.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end="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end="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4" w:name="_bookmark7_Copy_1_Copy_1_Copy_1_Copy_1_C"/>
      <w:bookmarkEnd w:id="14"/>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5" w:name="_bookmark11_Copy_1_Copy_1_Copy_1_Copy_1_"/>
      <w:bookmarkStart w:id="16" w:name="_bookmark12_Copy_1_Copy_1_Copy_1_Copy_1_"/>
      <w:bookmarkEnd w:id="15"/>
      <w:bookmarkEnd w:id="16"/>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 w:id="18">
    <w:p>
      <w:pPr>
        <w:pStyle w:val="FootnoteText"/>
        <w:rPr/>
      </w:pPr>
      <w:r>
        <w:rPr>
          <w:rStyle w:val="FootnoteCharacters"/>
        </w:rPr>
        <w:footnoteRef/>
      </w:r>
      <w:r>
        <w:rPr/>
        <w:t xml:space="preserve"> </w:t>
      </w:r>
      <w:r>
        <w:rPr/>
        <w:t xml:space="preserve">See Education Code </w:t>
      </w:r>
      <w:r>
        <w:rPr>
          <w:rFonts w:eastAsia="Palatino Linotype" w:cs="Palatino Linotype" w:ascii="Alegreya" w:hAnsi="Alegreya"/>
        </w:rPr>
        <w:t>§</w:t>
      </w:r>
      <w:r>
        <w:rPr>
          <w:rFonts w:eastAsia="Palatino Linotype" w:cs="Palatino Linotype"/>
        </w:rPr>
        <w:t xml:space="preserve">47610  and the California </w:t>
      </w:r>
      <w:hyperlink r:id="rId2">
        <w:r>
          <w:rPr>
            <w:rStyle w:val="Hyperlink"/>
            <w:rFonts w:eastAsia="Palatino Linotype" w:cs="Palatino Linotype"/>
          </w:rPr>
          <w:t>Department of Education, Charter School FAQ Section 4</w:t>
        </w:r>
      </w:hyperlink>
      <w:r>
        <w:rPr>
          <w:rFonts w:eastAsia="Palatino Linotype" w:cs="Palatino Linotype"/>
        </w:rPr>
        <w:t xml:space="preserve"> for details.</w:t>
      </w:r>
    </w:p>
  </w:footnote>
  <w:footnote w:id="19">
    <w:p>
      <w:pPr>
        <w:pStyle w:val="FootnoteText"/>
        <w:rPr/>
      </w:pPr>
      <w:r>
        <w:rPr>
          <w:rStyle w:val="FootnoteCharacters"/>
        </w:rPr>
        <w:footnoteRef/>
      </w:r>
      <w:r>
        <w:rPr/>
        <w:t xml:space="preserve"> </w:t>
      </w:r>
      <w:r>
        <w:rPr/>
        <w:t>What makes less sense is not also exempting TPSs from most of the Education Code. If it’s good for charter schools, then why is it not also good for TPSs? Both share the same students (demographically speaking) and the same general goals.</w:t>
      </w:r>
    </w:p>
  </w:footnote>
  <w:footnote w:id="20">
    <w:p>
      <w:pPr>
        <w:pStyle w:val="FootnoteText"/>
        <w:rPr/>
      </w:pPr>
      <w:r>
        <w:rPr>
          <w:rStyle w:val="FootnoteCharacters"/>
        </w:rPr>
        <w:footnoteRef/>
      </w:r>
      <w:r>
        <w:rPr/>
        <w:t xml:space="preserve"> </w:t>
      </w:r>
      <w:r>
        <w:rPr/>
        <w:t>Many school districts use a pedagogical technique called differentiated instruction which also accomplishes the goal offering individualized instruction at the right time.</w:t>
      </w:r>
    </w:p>
  </w:footnote>
  <w:footnote w:id="21">
    <w:p>
      <w:pPr>
        <w:pStyle w:val="FootnoteText"/>
        <w:rPr/>
      </w:pPr>
      <w:r>
        <w:rPr>
          <w:rStyle w:val="FootnoteCharacters"/>
        </w:rPr>
        <w:footnoteRef/>
      </w:r>
      <w:r>
        <w:rPr/>
        <w:t xml:space="preserve"> </w:t>
      </w:r>
      <w:r>
        <w:rPr/>
        <w:t>Alex Molnar and many other researchers at the University of Colorado, Boulder have reported on virtual schools annually since 2013, and the results are uniformly terrible. Virtual schools not sponsored by a TPS do not do as well as TPSs, and some should be closed down immediately. For an example report, see Molnar, A. et al (2023).</w:t>
      </w:r>
    </w:p>
  </w:footnote>
  <w:footnote w:id="22">
    <w:p>
      <w:pPr>
        <w:pStyle w:val="FootnoteText"/>
        <w:rPr/>
      </w:pPr>
      <w:r>
        <w:rPr>
          <w:rStyle w:val="FootnoteCharacters"/>
        </w:rPr>
        <w:footnoteRef/>
      </w:r>
      <w:r>
        <w:rPr/>
        <w:t xml:space="preserve"> </w:t>
      </w:r>
      <w:r>
        <w:rPr/>
        <w:t xml:space="preserve">Sort of. For-profit charter schools still exist, but they are doomed. New charter schools or renewing charter schools must be non-profit, public benefit entities after </w:t>
      </w:r>
      <w:hyperlink r:id="rId3">
        <w:r>
          <w:rPr>
            <w:rStyle w:val="Hyperlink"/>
          </w:rPr>
          <w:t>AB406</w:t>
        </w:r>
      </w:hyperlink>
      <w:r>
        <w:rPr/>
        <w:t>, effective 01 Jul 2019, became law.</w:t>
      </w:r>
    </w:p>
  </w:footnote>
  <w:footnote w:id="23">
    <w:p>
      <w:pPr>
        <w:pStyle w:val="FootnoteText"/>
        <w:rPr/>
      </w:pPr>
      <w:r>
        <w:rPr>
          <w:rStyle w:val="FootnoteCharacters"/>
        </w:rPr>
        <w:footnoteRef/>
      </w:r>
      <w:r>
        <w:rPr/>
        <w:t xml:space="preserve"> </w:t>
      </w:r>
      <w:r>
        <w:rPr/>
        <w:t>Here, “ownership chain” means when one or more entities own (part of) another entity which is in turn owned by one or more entities, etc.</w:t>
      </w:r>
    </w:p>
  </w:footnote>
  <w:footnote w:id="24">
    <w:p>
      <w:pPr>
        <w:pStyle w:val="FootnoteText"/>
        <w:rPr/>
      </w:pPr>
      <w:r>
        <w:rPr>
          <w:rStyle w:val="FootnoteCharacters"/>
        </w:rPr>
        <w:footnoteRef/>
      </w:r>
      <w:r>
        <w:rPr/>
        <w:t xml:space="preserve"> </w:t>
      </w:r>
      <w:r>
        <w:rPr/>
        <w:t>Kansas and Maryland don’t automatically exempt charter schools from their education code, but do allow specifically requested exemptions if granted.</w:t>
      </w:r>
    </w:p>
  </w:footnote>
  <w:footnote w:id="25">
    <w:p>
      <w:pPr>
        <w:pStyle w:val="FootnoteText"/>
        <w:rPr/>
      </w:pPr>
      <w:r>
        <w:rPr>
          <w:rStyle w:val="FootnoteCharacters"/>
        </w:rPr>
        <w:footnoteRef/>
      </w:r>
      <w:r>
        <w:rPr/>
        <w:t xml:space="preserve"> “</w:t>
      </w:r>
      <w:r>
        <w:rPr/>
        <w:t>Garcia (2018) says that “some charter schools perform well compared to district public schools, many perform about the  same, and others underperform relative to district public schools” (p.115).</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tru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next w:val="Normal"/>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next w:val="Normal"/>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paragraph" w:styleId="Heading5">
    <w:name w:val="Heading 5"/>
    <w:basedOn w:val="Heading"/>
    <w:next w:val="BodyText"/>
    <w:qFormat/>
    <w:pPr>
      <w:spacing w:before="120" w:after="60"/>
      <w:outlineLvl w:val="4"/>
    </w:pPr>
    <w:rPr>
      <w:rFonts w:ascii="Liberation Serif" w:hAnsi="Liberation Serif" w:eastAsia="DejaVu Sans" w:cs="DejaVu Sans"/>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CaptionCharacters">
    <w:name w:val="Caption Characters"/>
    <w:qFormat/>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keepNext w:val="true"/>
    </w:pPr>
    <w:rPr/>
  </w:style>
  <w:style w:type="paragraph" w:styleId="Default">
    <w:name w:val="Default"/>
    <w:basedOn w:val="Heading1"/>
    <w:qFormat/>
    <w:pPr/>
    <w:rPr/>
  </w:style>
  <w:style w:type="paragraph" w:styleId="Reference">
    <w:name w:val="Reference"/>
    <w:basedOn w:val="Normal"/>
    <w:qFormat/>
    <w:pPr>
      <w:spacing w:lineRule="auto" w:line="240" w:before="0" w:after="173"/>
      <w:ind w:hanging="720" w:start="720" w:end="137"/>
      <w:jc w:val="star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reasurer.ca.gov/csfa/csfgp/index.asp" TargetMode="External"/><Relationship Id="rId3" Type="http://schemas.openxmlformats.org/officeDocument/2006/relationships/hyperlink" Target="https://edsource.org/wp-content/publications/CharterSchools04.pdf" TargetMode="External"/><Relationship Id="rId4" Type="http://schemas.openxmlformats.org/officeDocument/2006/relationships/hyperlink" Target="https://doi.org/10.1086/230409" TargetMode="External"/><Relationship Id="rId5" Type="http://schemas.openxmlformats.org/officeDocument/2006/relationships/hyperlink" Target="https://www.inthepublicinterest.org/wp-content/uploads/ITPI_CA_Charter_Fraud_Mar2018.pdf" TargetMode="External"/><Relationship Id="rId6" Type="http://schemas.openxmlformats.org/officeDocument/2006/relationships/hyperlink" Target="https://www.ctulocal1.org/wp-content/uploads/2018/10/Selling-Choice-Marketing-Charter-Schools-in-Chicago.pdf" TargetMode="External"/><Relationship Id="rId7" Type="http://schemas.openxmlformats.org/officeDocument/2006/relationships/hyperlink" Target="https://www.aclusocal.org/sites/default/files/field_documents/report-" TargetMode="External"/><Relationship Id="rId8" Type="http://schemas.openxmlformats.org/officeDocument/2006/relationships/hyperlink" Target="https://nepc.colorado.edu/sites/default/files/publications/Complete%202023%20Virtual%20Schools_0.pdf" TargetMode="External"/><Relationship Id="rId9" Type="http://schemas.openxmlformats.org/officeDocument/2006/relationships/hyperlink" Target="https://www.tcpress.com/school&#8217;s-choice-9780807765814" TargetMode="External"/><Relationship Id="rId10" Type="http://schemas.openxmlformats.org/officeDocument/2006/relationships/hyperlink" Target="https://nepc.colorado.edu/blog/how-charter-schools-control" TargetMode="External"/><Relationship Id="rId11" Type="http://schemas.openxmlformats.org/officeDocument/2006/relationships/hyperlink" Target="https://calauthorizers.org/wp-content/uploads/2024/04/AntiFraudReport_042224.pdf" TargetMode="External"/><Relationship Id="rId12" Type="http://schemas.openxmlformats.org/officeDocument/2006/relationships/hyperlink" Target="https://nepc.colorado.edu/blog/how-charter-schools-control" TargetMode="External"/><Relationship Id="rId13" Type="http://schemas.openxmlformats.org/officeDocument/2006/relationships/hyperlink" Target="https://www.rocketshipschools.org/results/" TargetMode="External"/><Relationship Id="rId14" Type="http://schemas.openxmlformats.org/officeDocument/2006/relationships/hyperlink" Target="https://www.sdcda.org/content/office/newsroom/tempDownloads/560efe3c-10b6-4487-adaf-14e7487e4af0_A3%20Charter%20Guilty%20Pleas%20News%20Release%202-26-2021.pdf" TargetMode="External"/><Relationship Id="rId15" Type="http://schemas.openxmlformats.org/officeDocument/2006/relationships/hyperlink" Target="https://www.sandiegouniontribune.com/news/education/story/2021-04-26/ca-legislators-propose-reforms-to-prevent-another-a3-charter-scandal" TargetMode="External"/><Relationship Id="rId16" Type="http://schemas.openxmlformats.org/officeDocument/2006/relationships/hyperlink" Target="https://www.sri.com/wp-" TargetMode="External"/><Relationship Id="rId17" Type="http://schemas.openxmlformats.org/officeDocument/2006/relationships/hyperlink" Target="http://https/"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otnotes" Target="footnotes.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Relationship Id="rId2" Type="http://schemas.openxmlformats.org/officeDocument/2006/relationships/hyperlink" Target="https://www.cde.ca.gov/sp/ch/qandasec4rev.asp" TargetMode="External"/><Relationship Id="rId3" Type="http://schemas.openxmlformats.org/officeDocument/2006/relationships/hyperlink" Target="https://leginfo.legislature.ca.gov/faces/billNavClient.xhtml?bill_id=201720180AB40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321</TotalTime>
  <Application>LibreOffice/24.2.2.2$Linux_X86_64 LibreOffice_project/420$Build-2</Application>
  <AppVersion>15.0000</AppVersion>
  <Pages>7</Pages>
  <Words>7137</Words>
  <Characters>39721</Characters>
  <CharactersWithSpaces>46749</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2024-04-29T14:59:43Z</cp:lastPrinted>
  <dcterms:modified xsi:type="dcterms:W3CDTF">2024-04-30T13:35:14Z</dcterms:modified>
  <cp:revision>26</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