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4181F"/>
          <w:sz w:val="60"/>
        </w:rPr>
        <w:t>Zelarion Backend</w:t>
      </w:r>
    </w:p>
    <w:p>
      <w:pPr>
        <w:spacing w:after="40"/>
      </w:pPr>
      <w:r>
        <w:rPr>
          <w:color w:val="0E7C74"/>
          <w:sz w:val="28"/>
        </w:rPr>
        <w:t>Setup and deployment to Render</w:t>
      </w:r>
    </w:p>
    <w:p>
      <w:r>
        <w:rPr>
          <w:color w:val="5A6470"/>
          <w:sz w:val="17"/>
        </w:rPr>
        <w:t>Repository: github.com/vgl-spec/zelarionweb   ·   Service directory: backend/   ·   Updated 28 August 2026</w:t>
      </w:r>
    </w:p>
    <w:p>
      <w:r>
        <w:rPr>
          <w:i w:val="0"/>
        </w:rPr>
      </w:r>
    </w:p>
    <w:p>
      <w:pPr>
        <w:spacing w:before="360" w:after="80"/>
      </w:pPr>
      <w:r>
        <w:rPr>
          <w:b/>
          <w:color w:val="14181F"/>
          <w:sz w:val="40"/>
        </w:rPr>
        <w:t>1.  What you are deploying</w:t>
      </w:r>
    </w:p>
    <w:p>
      <w:r>
        <w:rPr>
          <w:i w:val="0"/>
        </w:rPr>
        <w:t>Zelarion runs as three separate pieces. Each is hosted somewhere different, and they are wired together with two environment variables. Getting those two right is most of the work.</w:t>
      </w:r>
    </w:p>
    <w:tbl>
      <w:tblPr>
        <w:tblStyle w:val="TableGrid"/>
        <w:tblW w:type="auto" w:w="0"/>
        <w:jc w:val="left"/>
        <w:tblLook w:firstColumn="1" w:firstRow="1" w:lastColumn="0" w:lastRow="0" w:noHBand="0" w:noVBand="1" w:val="04A0"/>
      </w:tblPr>
      <w:tblGrid>
        <w:gridCol w:w="3216"/>
        <w:gridCol w:w="3216"/>
        <w:gridCol w:w="3216"/>
      </w:tblGrid>
      <w:tr>
        <w:tc>
          <w:tcPr>
            <w:tcW w:type="dxa" w:w="2016"/>
            <w:shd w:val="clear" w:color="auto" w:fill="E8EDF0"/>
          </w:tcPr>
          <w:p>
            <w:r/>
            <w:r>
              <w:rPr>
                <w:b/>
                <w:sz w:val="19"/>
              </w:rPr>
              <w:t>Piece</w:t>
            </w:r>
          </w:p>
        </w:tc>
        <w:tc>
          <w:tcPr>
            <w:tcW w:type="dxa" w:w="1872"/>
            <w:shd w:val="clear" w:color="auto" w:fill="E8EDF0"/>
          </w:tcPr>
          <w:p>
            <w:r/>
            <w:r>
              <w:rPr>
                <w:b/>
                <w:sz w:val="19"/>
              </w:rPr>
              <w:t>Hosted on</w:t>
            </w:r>
          </w:p>
        </w:tc>
        <w:tc>
          <w:tcPr>
            <w:tcW w:type="dxa" w:w="5760"/>
            <w:shd w:val="clear" w:color="auto" w:fill="E8EDF0"/>
          </w:tcPr>
          <w:p>
            <w:r/>
            <w:r>
              <w:rPr>
                <w:b/>
                <w:sz w:val="19"/>
              </w:rPr>
              <w:t>What it does</w:t>
            </w:r>
          </w:p>
        </w:tc>
      </w:tr>
      <w:tr>
        <w:tc>
          <w:tcPr>
            <w:tcW w:type="dxa" w:w="2016"/>
          </w:tcPr>
          <w:p>
            <w:r/>
            <w:r>
              <w:rPr>
                <w:sz w:val="19"/>
              </w:rPr>
              <w:t>React frontend</w:t>
            </w:r>
          </w:p>
        </w:tc>
        <w:tc>
          <w:tcPr>
            <w:tcW w:type="dxa" w:w="1872"/>
          </w:tcPr>
          <w:p>
            <w:r/>
            <w:r>
              <w:rPr>
                <w:sz w:val="19"/>
              </w:rPr>
              <w:t>Vercel</w:t>
            </w:r>
          </w:p>
        </w:tc>
        <w:tc>
          <w:tcPr>
            <w:tcW w:type="dxa" w:w="5760"/>
          </w:tcPr>
          <w:p>
            <w:r/>
            <w:r>
              <w:rPr>
                <w:sz w:val="19"/>
              </w:rPr>
              <w:t>The public site. Built from frontend/. Talks to the API over HTTPS.</w:t>
            </w:r>
          </w:p>
        </w:tc>
      </w:tr>
      <w:tr>
        <w:tc>
          <w:tcPr>
            <w:tcW w:type="dxa" w:w="2016"/>
          </w:tcPr>
          <w:p>
            <w:r/>
            <w:r>
              <w:rPr>
                <w:sz w:val="19"/>
              </w:rPr>
              <w:t>Express API</w:t>
            </w:r>
          </w:p>
        </w:tc>
        <w:tc>
          <w:tcPr>
            <w:tcW w:type="dxa" w:w="1872"/>
          </w:tcPr>
          <w:p>
            <w:r/>
            <w:r>
              <w:rPr>
                <w:sz w:val="19"/>
              </w:rPr>
              <w:t>Render</w:t>
            </w:r>
          </w:p>
        </w:tc>
        <w:tc>
          <w:tcPr>
            <w:tcW w:type="dxa" w:w="5760"/>
          </w:tcPr>
          <w:p>
            <w:r/>
            <w:r>
              <w:rPr>
                <w:sz w:val="19"/>
              </w:rPr>
              <w:t>The service in this guide. Serves /api/health and /api/demo.</w:t>
            </w:r>
          </w:p>
        </w:tc>
      </w:tr>
      <w:tr>
        <w:tc>
          <w:tcPr>
            <w:tcW w:type="dxa" w:w="2016"/>
          </w:tcPr>
          <w:p>
            <w:r/>
            <w:r>
              <w:rPr>
                <w:sz w:val="19"/>
              </w:rPr>
              <w:t>MongoDB</w:t>
            </w:r>
          </w:p>
        </w:tc>
        <w:tc>
          <w:tcPr>
            <w:tcW w:type="dxa" w:w="1872"/>
          </w:tcPr>
          <w:p>
            <w:r/>
            <w:r>
              <w:rPr>
                <w:sz w:val="19"/>
              </w:rPr>
              <w:t>MongoDB Atlas</w:t>
            </w:r>
          </w:p>
        </w:tc>
        <w:tc>
          <w:tcPr>
            <w:tcW w:type="dxa" w:w="5760"/>
          </w:tcPr>
          <w:p>
            <w:r/>
            <w:r>
              <w:rPr>
                <w:sz w:val="19"/>
              </w:rPr>
              <w:t>Stores demo_requests. Render does not host databases.</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DF1F1"/>
          </w:tcPr>
          <w:p>
            <w:r/>
            <w:r>
              <w:rPr>
                <w:b/>
                <w:color w:val="A31D1D"/>
                <w:sz w:val="19"/>
              </w:rPr>
              <w:t xml:space="preserve">Deploy order matters.  </w:t>
            </w:r>
            <w:r>
              <w:rPr>
                <w:sz w:val="19"/>
              </w:rPr>
              <w:t>POST /api/demo now requires an Idempotency-Key header. The frontend already sends it. Deploy this backend before or at the same time as the frontend — if the frontend goes live first against an older backend, every form submission fails.</w:t>
            </w:r>
          </w:p>
        </w:tc>
      </w:tr>
    </w:tbl>
    <w:p>
      <w:pPr>
        <w:spacing w:after="40"/>
      </w:pPr>
    </w:p>
    <w:p>
      <w:pPr>
        <w:spacing w:before="360" w:after="80"/>
      </w:pPr>
      <w:r>
        <w:rPr>
          <w:b/>
          <w:color w:val="14181F"/>
          <w:sz w:val="40"/>
        </w:rPr>
        <w:t>2.  Before you start</w:t>
      </w:r>
    </w:p>
    <w:p>
      <w:pPr>
        <w:pStyle w:val="ListBullet"/>
        <w:spacing w:after="60"/>
        <w:ind w:left="360"/>
      </w:pPr>
      <w:r>
        <w:t>A GitHub account with access to vgl-spec/zelarionweb.</w:t>
      </w:r>
    </w:p>
    <w:p>
      <w:pPr>
        <w:pStyle w:val="ListBullet"/>
        <w:spacing w:after="60"/>
        <w:ind w:left="360"/>
      </w:pPr>
      <w:r>
        <w:t>A Render account (render.com) — sign in with GitHub to skip repository authorisation later.</w:t>
      </w:r>
    </w:p>
    <w:p>
      <w:pPr>
        <w:pStyle w:val="ListBullet"/>
        <w:spacing w:after="60"/>
        <w:ind w:left="360"/>
      </w:pPr>
      <w:r>
        <w:t>A MongoDB Atlas account (mongodb.com/atlas). The free M0 tier is enough to launch.</w:t>
      </w:r>
    </w:p>
    <w:p>
      <w:pPr>
        <w:pStyle w:val="ListBullet"/>
        <w:spacing w:after="60"/>
        <w:ind w:left="360"/>
      </w:pPr>
      <w:r>
        <w:t>Your Vercel frontend URL, for example https://zelarionweb.vercel.app.</w:t>
      </w:r>
    </w:p>
    <w:p>
      <w:pPr>
        <w:spacing w:before="360" w:after="80"/>
      </w:pPr>
      <w:r>
        <w:rPr>
          <w:b/>
          <w:color w:val="14181F"/>
          <w:sz w:val="40"/>
        </w:rPr>
        <w:t>3.  MongoDB Atlas</w:t>
      </w:r>
    </w:p>
    <w:p>
      <w:r>
        <w:rPr>
          <w:i w:val="0"/>
        </w:rPr>
        <w:t>Render does not provide MongoDB, so the database is created first and its connection string is handed to Render in step 4.</w:t>
      </w:r>
    </w:p>
    <w:p>
      <w:pPr>
        <w:spacing w:before="280" w:after="80"/>
      </w:pPr>
      <w:r>
        <w:rPr>
          <w:b/>
          <w:color w:val="0E7C74"/>
          <w:sz w:val="27"/>
        </w:rPr>
        <w:t>3.1  Create the cluster</w:t>
      </w:r>
    </w:p>
    <w:p>
      <w:pPr>
        <w:pStyle w:val="ListBullet"/>
        <w:spacing w:after="60"/>
        <w:ind w:left="360"/>
      </w:pPr>
      <w:r>
        <w:t>In Atlas, choose Build a Database and pick the M0 free tier.</w:t>
      </w:r>
    </w:p>
    <w:p>
      <w:pPr>
        <w:pStyle w:val="ListBullet"/>
        <w:spacing w:after="60"/>
        <w:ind w:left="360"/>
      </w:pPr>
      <w:r>
        <w:t>Choose a region physically near your Render region — Singapore pairs well with Render's Singapore region for Philippine traffic.</w:t>
      </w:r>
    </w:p>
    <w:p>
      <w:pPr>
        <w:pStyle w:val="ListBullet"/>
        <w:spacing w:after="60"/>
        <w:ind w:left="360"/>
      </w:pPr>
      <w:r>
        <w:t>Name the cluster anything; the name does not appear in the connection string you need.</w:t>
      </w:r>
    </w:p>
    <w:p>
      <w:pPr>
        <w:spacing w:before="280" w:after="80"/>
      </w:pPr>
      <w:r>
        <w:rPr>
          <w:b/>
          <w:color w:val="0E7C74"/>
          <w:sz w:val="27"/>
        </w:rPr>
        <w:t>3.2  Create a database user</w:t>
      </w:r>
    </w:p>
    <w:p>
      <w:pPr>
        <w:pStyle w:val="ListBullet"/>
        <w:spacing w:after="60"/>
        <w:ind w:left="360"/>
      </w:pPr>
      <w:r>
        <w:t>Go to Database Access, then Add New Database User.</w:t>
      </w:r>
    </w:p>
    <w:p>
      <w:pPr>
        <w:pStyle w:val="ListBullet"/>
        <w:spacing w:after="60"/>
        <w:ind w:left="360"/>
      </w:pPr>
      <w:r>
        <w:t>Choose password authentication. Give it the Read and write to any database role.</w:t>
      </w:r>
    </w:p>
    <w:p>
      <w:pPr>
        <w:pStyle w:val="ListBullet"/>
        <w:spacing w:after="60"/>
        <w:ind w:left="360"/>
      </w:pPr>
      <w:r>
        <w:t>Save the username and password — you cannot read the password back later.</w:t>
      </w:r>
    </w:p>
    <w:tbl>
      <w:tblPr>
        <w:tblStyle w:val="TableGrid"/>
        <w:tblW w:type="auto" w:w="0"/>
        <w:tblLook w:firstColumn="1" w:firstRow="1" w:lastColumn="0" w:lastRow="0" w:noHBand="0" w:noVBand="1" w:val="04A0"/>
      </w:tblPr>
      <w:tblGrid>
        <w:gridCol w:w="9648"/>
      </w:tblGrid>
      <w:tr>
        <w:tc>
          <w:tcPr>
            <w:tcW w:type="dxa" w:w="9648"/>
            <w:shd w:val="clear" w:color="auto" w:fill="EFF6F5"/>
          </w:tcPr>
          <w:p>
            <w:r/>
            <w:r>
              <w:rPr>
                <w:b/>
                <w:color w:val="0E7C74"/>
                <w:sz w:val="19"/>
              </w:rPr>
              <w:t xml:space="preserve">Passwords with symbols break the connection string.  </w:t>
            </w:r>
            <w:r>
              <w:rPr>
                <w:sz w:val="19"/>
              </w:rPr>
              <w:t>If the password contains @ : / ? # [ ] or %, URL-encode those characters or the driver misparses the URI and the service fails to connect. The simplest fix is to generate a password using only letters and digits.</w:t>
            </w:r>
          </w:p>
        </w:tc>
      </w:tr>
    </w:tbl>
    <w:p>
      <w:pPr>
        <w:spacing w:after="40"/>
      </w:pPr>
    </w:p>
    <w:p>
      <w:pPr>
        <w:spacing w:before="280" w:after="80"/>
      </w:pPr>
      <w:r>
        <w:rPr>
          <w:b/>
          <w:color w:val="0E7C74"/>
          <w:sz w:val="27"/>
        </w:rPr>
        <w:t>3.3  Allow Render to reach the cluster</w:t>
      </w:r>
    </w:p>
    <w:p>
      <w:r>
        <w:rPr>
          <w:i w:val="0"/>
        </w:rPr>
        <w:t>This is the step that breaks most Render and Atlas deployments. Atlas rejects every connection from an IP address that is not on its allowlist, and Render's free and starter instances use dynamic outbound addresses.</w:t>
      </w:r>
    </w:p>
    <w:p>
      <w:pPr>
        <w:pStyle w:val="ListBullet"/>
        <w:spacing w:after="60"/>
        <w:ind w:left="360"/>
      </w:pPr>
      <w:r>
        <w:t>Go to Network Access, then Add IP Address.</w:t>
      </w:r>
    </w:p>
    <w:p>
      <w:pPr>
        <w:pStyle w:val="ListBullet"/>
        <w:spacing w:after="60"/>
        <w:ind w:left="360"/>
      </w:pPr>
      <w:r>
        <w:t>Enter 0.0.0.0/0 to allow any address. This is required on Render's free and starter tiers.</w:t>
      </w:r>
    </w:p>
    <w:p>
      <w:pPr>
        <w:pStyle w:val="ListBullet"/>
        <w:spacing w:after="60"/>
        <w:ind w:left="360"/>
      </w:pPr>
      <w:r>
        <w:t>If you later move to a Render plan with static outbound IPs, replace this entry with those specific addresses.</w:t>
      </w:r>
    </w:p>
    <w:p>
      <w:pPr>
        <w:spacing w:before="280" w:after="80"/>
      </w:pPr>
      <w:r>
        <w:rPr>
          <w:b/>
          <w:color w:val="0E7C74"/>
          <w:sz w:val="27"/>
        </w:rPr>
        <w:t>3.4  Copy the connection string</w:t>
      </w:r>
    </w:p>
    <w:p>
      <w:pPr>
        <w:pStyle w:val="ListBullet"/>
        <w:spacing w:after="60"/>
        <w:ind w:left="360"/>
      </w:pPr>
      <w:r>
        <w:t>Go to Database, press Connect on the cluster, and choose Drivers.</w:t>
      </w:r>
    </w:p>
    <w:p>
      <w:pPr>
        <w:pStyle w:val="ListBullet"/>
        <w:spacing w:after="60"/>
        <w:ind w:left="360"/>
      </w:pPr>
      <w:r>
        <w:t>Copy the SRV string. It looks like the line below — substitute your own user and password.</w:t>
      </w:r>
    </w:p>
    <w:p>
      <w:pPr>
        <w:spacing w:before="80" w:after="160"/>
        <w:ind w:left="216"/>
        <w:shd w:val="clear" w:color="auto" w:fill="F2F4F6"/>
      </w:pPr>
      <w:r>
        <w:rPr>
          <w:rFonts w:ascii="Consolas" w:hAnsi="Consolas"/>
          <w:color w:val="14181F"/>
          <w:sz w:val="18"/>
        </w:rPr>
        <w:t>mongodb+srv://USER:PASSWORD@cluster0.xxxxx.mongodb.net/?retryWrites=true&amp;w=majority</w:t>
      </w:r>
    </w:p>
    <w:p>
      <w:pPr>
        <w:spacing w:before="360" w:after="80"/>
      </w:pPr>
      <w:r>
        <w:rPr>
          <w:b/>
          <w:color w:val="14181F"/>
          <w:sz w:val="40"/>
        </w:rPr>
        <w:t>4.  Create the Render service</w:t>
      </w:r>
    </w:p>
    <w:p>
      <w:pPr>
        <w:spacing w:before="280" w:after="80"/>
      </w:pPr>
      <w:r>
        <w:rPr>
          <w:b/>
          <w:color w:val="0E7C74"/>
          <w:sz w:val="27"/>
        </w:rPr>
        <w:t>4.1  Start the service</w:t>
      </w:r>
    </w:p>
    <w:p>
      <w:pPr>
        <w:pStyle w:val="ListBullet"/>
        <w:spacing w:after="60"/>
        <w:ind w:left="360"/>
      </w:pPr>
      <w:r>
        <w:t>Go to dashboard.render.com and choose New, then Web Service.</w:t>
      </w:r>
    </w:p>
    <w:p>
      <w:pPr>
        <w:pStyle w:val="ListBullet"/>
        <w:spacing w:after="60"/>
        <w:ind w:left="360"/>
      </w:pPr>
      <w:r>
        <w:t>Connect GitHub and select the vgl-spec/zelarionweb repository.</w:t>
      </w:r>
    </w:p>
    <w:p>
      <w:pPr>
        <w:pStyle w:val="ListBullet"/>
        <w:spacing w:after="60"/>
        <w:ind w:left="360"/>
      </w:pPr>
      <w:r>
        <w:t>Render will try to auto-detect the project settings. It will guess wrong, because there is no package.json at the repository root. Override every field in the next table.</w:t>
      </w:r>
    </w:p>
    <w:p>
      <w:pPr>
        <w:spacing w:before="280" w:after="80"/>
      </w:pPr>
      <w:r>
        <w:rPr>
          <w:b/>
          <w:color w:val="0E7C74"/>
          <w:sz w:val="27"/>
        </w:rPr>
        <w:t>4.2  Settings</w:t>
      </w:r>
    </w:p>
    <w:tbl>
      <w:tblPr>
        <w:tblStyle w:val="TableGrid"/>
        <w:tblW w:type="auto" w:w="0"/>
        <w:jc w:val="left"/>
        <w:tblLook w:firstColumn="1" w:firstRow="1" w:lastColumn="0" w:lastRow="0" w:noHBand="0" w:noVBand="1" w:val="04A0"/>
      </w:tblPr>
      <w:tblGrid>
        <w:gridCol w:w="4824"/>
        <w:gridCol w:w="4824"/>
      </w:tblGrid>
      <w:tr>
        <w:tc>
          <w:tcPr>
            <w:tcW w:type="dxa" w:w="2448"/>
            <w:shd w:val="clear" w:color="auto" w:fill="E8EDF0"/>
          </w:tcPr>
          <w:p>
            <w:r/>
            <w:r>
              <w:rPr>
                <w:b/>
                <w:sz w:val="19"/>
              </w:rPr>
              <w:t>Field</w:t>
            </w:r>
          </w:p>
        </w:tc>
        <w:tc>
          <w:tcPr>
            <w:tcW w:type="dxa" w:w="7200"/>
            <w:shd w:val="clear" w:color="auto" w:fill="E8EDF0"/>
          </w:tcPr>
          <w:p>
            <w:r/>
            <w:r>
              <w:rPr>
                <w:b/>
                <w:sz w:val="19"/>
              </w:rPr>
              <w:t>Value</w:t>
            </w:r>
          </w:p>
        </w:tc>
      </w:tr>
      <w:tr>
        <w:tc>
          <w:tcPr>
            <w:tcW w:type="dxa" w:w="2448"/>
          </w:tcPr>
          <w:p>
            <w:r/>
            <w:r>
              <w:rPr>
                <w:sz w:val="19"/>
              </w:rPr>
              <w:t>Name</w:t>
            </w:r>
          </w:p>
        </w:tc>
        <w:tc>
          <w:tcPr>
            <w:tcW w:type="dxa" w:w="7200"/>
          </w:tcPr>
          <w:p>
            <w:r/>
            <w:r>
              <w:rPr>
                <w:rFonts w:ascii="Consolas" w:hAnsi="Consolas"/>
                <w:sz w:val="18"/>
              </w:rPr>
              <w:t>zelarion-backend</w:t>
            </w:r>
          </w:p>
        </w:tc>
      </w:tr>
      <w:tr>
        <w:tc>
          <w:tcPr>
            <w:tcW w:type="dxa" w:w="2448"/>
          </w:tcPr>
          <w:p>
            <w:r/>
            <w:r>
              <w:rPr>
                <w:sz w:val="19"/>
              </w:rPr>
              <w:t>Region</w:t>
            </w:r>
          </w:p>
        </w:tc>
        <w:tc>
          <w:tcPr>
            <w:tcW w:type="dxa" w:w="7200"/>
          </w:tcPr>
          <w:p>
            <w:r/>
            <w:r>
              <w:rPr>
                <w:sz w:val="19"/>
              </w:rPr>
              <w:t>Singapore (or nearest your users)</w:t>
            </w:r>
          </w:p>
        </w:tc>
      </w:tr>
      <w:tr>
        <w:tc>
          <w:tcPr>
            <w:tcW w:type="dxa" w:w="2448"/>
          </w:tcPr>
          <w:p>
            <w:r/>
            <w:r>
              <w:rPr>
                <w:sz w:val="19"/>
              </w:rPr>
              <w:t>Branch</w:t>
            </w:r>
          </w:p>
        </w:tc>
        <w:tc>
          <w:tcPr>
            <w:tcW w:type="dxa" w:w="7200"/>
          </w:tcPr>
          <w:p>
            <w:r/>
            <w:r>
              <w:rPr>
                <w:rFonts w:ascii="Consolas" w:hAnsi="Consolas"/>
                <w:sz w:val="18"/>
              </w:rPr>
              <w:t>main</w:t>
            </w:r>
          </w:p>
        </w:tc>
      </w:tr>
      <w:tr>
        <w:tc>
          <w:tcPr>
            <w:tcW w:type="dxa" w:w="2448"/>
          </w:tcPr>
          <w:p>
            <w:r/>
            <w:r>
              <w:rPr>
                <w:sz w:val="19"/>
              </w:rPr>
              <w:t>Root Directory</w:t>
            </w:r>
          </w:p>
        </w:tc>
        <w:tc>
          <w:tcPr>
            <w:tcW w:type="dxa" w:w="7200"/>
          </w:tcPr>
          <w:p>
            <w:r/>
            <w:r>
              <w:rPr>
                <w:rFonts w:ascii="Consolas" w:hAnsi="Consolas"/>
                <w:sz w:val="18"/>
              </w:rPr>
              <w:t>backend</w:t>
            </w:r>
          </w:p>
        </w:tc>
      </w:tr>
      <w:tr>
        <w:tc>
          <w:tcPr>
            <w:tcW w:type="dxa" w:w="2448"/>
          </w:tcPr>
          <w:p>
            <w:r/>
            <w:r>
              <w:rPr>
                <w:sz w:val="19"/>
              </w:rPr>
              <w:t>Runtime</w:t>
            </w:r>
          </w:p>
        </w:tc>
        <w:tc>
          <w:tcPr>
            <w:tcW w:type="dxa" w:w="7200"/>
          </w:tcPr>
          <w:p>
            <w:r/>
            <w:r>
              <w:rPr>
                <w:sz w:val="19"/>
              </w:rPr>
              <w:t>Node</w:t>
            </w:r>
          </w:p>
        </w:tc>
      </w:tr>
      <w:tr>
        <w:tc>
          <w:tcPr>
            <w:tcW w:type="dxa" w:w="2448"/>
          </w:tcPr>
          <w:p>
            <w:r/>
            <w:r>
              <w:rPr>
                <w:sz w:val="19"/>
              </w:rPr>
              <w:t>Build Command</w:t>
            </w:r>
          </w:p>
        </w:tc>
        <w:tc>
          <w:tcPr>
            <w:tcW w:type="dxa" w:w="7200"/>
          </w:tcPr>
          <w:p>
            <w:r/>
            <w:r>
              <w:rPr>
                <w:rFonts w:ascii="Consolas" w:hAnsi="Consolas"/>
                <w:sz w:val="18"/>
              </w:rPr>
              <w:t>npm ci --omit=dev</w:t>
            </w:r>
          </w:p>
        </w:tc>
      </w:tr>
      <w:tr>
        <w:tc>
          <w:tcPr>
            <w:tcW w:type="dxa" w:w="2448"/>
          </w:tcPr>
          <w:p>
            <w:r/>
            <w:r>
              <w:rPr>
                <w:sz w:val="19"/>
              </w:rPr>
              <w:t>Start Command</w:t>
            </w:r>
          </w:p>
        </w:tc>
        <w:tc>
          <w:tcPr>
            <w:tcW w:type="dxa" w:w="7200"/>
          </w:tcPr>
          <w:p>
            <w:r/>
            <w:r>
              <w:rPr>
                <w:rFonts w:ascii="Consolas" w:hAnsi="Consolas"/>
                <w:sz w:val="18"/>
              </w:rPr>
              <w:t>npm start</w:t>
            </w:r>
          </w:p>
        </w:tc>
      </w:tr>
      <w:tr>
        <w:tc>
          <w:tcPr>
            <w:tcW w:type="dxa" w:w="2448"/>
          </w:tcPr>
          <w:p>
            <w:r/>
            <w:r>
              <w:rPr>
                <w:sz w:val="19"/>
              </w:rPr>
              <w:t>Instance Type</w:t>
            </w:r>
          </w:p>
        </w:tc>
        <w:tc>
          <w:tcPr>
            <w:tcW w:type="dxa" w:w="7200"/>
          </w:tcPr>
          <w:p>
            <w:r/>
            <w:r>
              <w:rPr>
                <w:sz w:val="19"/>
              </w:rPr>
              <w:t>Free to test; Starter or above for production</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DF1F1"/>
          </w:tcPr>
          <w:p>
            <w:r/>
            <w:r>
              <w:rPr>
                <w:b/>
                <w:color w:val="A31D1D"/>
                <w:sz w:val="19"/>
              </w:rPr>
              <w:t xml:space="preserve">Root Directory must be backend.  </w:t>
            </w:r>
            <w:r>
              <w:rPr>
                <w:sz w:val="19"/>
              </w:rPr>
              <w:t>There is no package.json at the repository root. Leaving this field blank makes the build fail immediately with a missing-manifest error.</w:t>
            </w:r>
          </w:p>
        </w:tc>
      </w:tr>
    </w:tbl>
    <w:p>
      <w:pPr>
        <w:spacing w:after="40"/>
      </w:pPr>
    </w:p>
    <w:p>
      <w:r>
        <w:rPr>
          <w:b w:val="0"/>
        </w:rPr>
        <w:t xml:space="preserve">Why </w:t>
      </w:r>
      <w:r>
        <w:rPr>
          <w:rFonts w:ascii="Consolas" w:hAnsi="Consolas"/>
          <w:b w:val="0"/>
          <w:sz w:val="19"/>
        </w:rPr>
        <w:t>npm ci --omit=dev</w:t>
      </w:r>
      <w:r>
        <w:rPr>
          <w:b w:val="0"/>
        </w:rPr>
        <w:t xml:space="preserve"> rather than </w:t>
      </w:r>
      <w:r>
        <w:rPr>
          <w:rFonts w:ascii="Consolas" w:hAnsi="Consolas"/>
          <w:b w:val="0"/>
          <w:sz w:val="19"/>
        </w:rPr>
        <w:t>npm install</w:t>
      </w:r>
      <w:r>
        <w:rPr>
          <w:b w:val="0"/>
        </w:rPr>
        <w:t xml:space="preserve">: </w:t>
      </w:r>
      <w:r>
        <w:rPr>
          <w:rFonts w:ascii="Consolas" w:hAnsi="Consolas"/>
          <w:b w:val="0"/>
          <w:sz w:val="19"/>
        </w:rPr>
        <w:t>ci</w:t>
      </w:r>
      <w:r>
        <w:rPr>
          <w:b w:val="0"/>
        </w:rPr>
        <w:t xml:space="preserve"> installs the exact dependency graph recorded in package-lock.json instead of re-resolving versions at deploy time, so production runs what was tested. </w:t>
      </w:r>
      <w:r>
        <w:rPr>
          <w:rFonts w:ascii="Consolas" w:hAnsi="Consolas"/>
          <w:b w:val="0"/>
          <w:sz w:val="19"/>
        </w:rPr>
        <w:t>--omit=dev</w:t>
      </w:r>
      <w:r>
        <w:rPr>
          <w:b w:val="0"/>
        </w:rPr>
        <w:t xml:space="preserve"> skips mongodb-memory-server, a large test-only dependency that would otherwise be downloaded on every deploy.</w:t>
      </w:r>
    </w:p>
    <w:p>
      <w:pPr>
        <w:spacing w:before="280" w:after="80"/>
      </w:pPr>
      <w:r>
        <w:rPr>
          <w:b/>
          <w:color w:val="0E7C74"/>
          <w:sz w:val="27"/>
        </w:rPr>
        <w:t>4.3  Environment variables</w:t>
      </w:r>
    </w:p>
    <w:p>
      <w:r>
        <w:rPr>
          <w:i w:val="0"/>
        </w:rPr>
        <w:t>Add these under the Environment section of the service.</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E8EDF0"/>
          </w:tcPr>
          <w:p>
            <w:r/>
            <w:r>
              <w:rPr>
                <w:b/>
                <w:sz w:val="19"/>
              </w:rPr>
              <w:t>Key</w:t>
            </w:r>
          </w:p>
        </w:tc>
        <w:tc>
          <w:tcPr>
            <w:tcW w:type="dxa" w:w="3456"/>
            <w:shd w:val="clear" w:color="auto" w:fill="E8EDF0"/>
          </w:tcPr>
          <w:p>
            <w:r/>
            <w:r>
              <w:rPr>
                <w:b/>
                <w:sz w:val="19"/>
              </w:rPr>
              <w:t>Value</w:t>
            </w:r>
          </w:p>
        </w:tc>
        <w:tc>
          <w:tcPr>
            <w:tcW w:type="dxa" w:w="4032"/>
            <w:shd w:val="clear" w:color="auto" w:fill="E8EDF0"/>
          </w:tcPr>
          <w:p>
            <w:r/>
            <w:r>
              <w:rPr>
                <w:b/>
                <w:sz w:val="19"/>
              </w:rPr>
              <w:t>Notes</w:t>
            </w:r>
          </w:p>
        </w:tc>
      </w:tr>
      <w:tr>
        <w:tc>
          <w:tcPr>
            <w:tcW w:type="dxa" w:w="2160"/>
          </w:tcPr>
          <w:p>
            <w:r/>
            <w:r>
              <w:rPr>
                <w:rFonts w:ascii="Consolas" w:hAnsi="Consolas"/>
                <w:sz w:val="18"/>
              </w:rPr>
              <w:t>MONGO_URL</w:t>
            </w:r>
          </w:p>
        </w:tc>
        <w:tc>
          <w:tcPr>
            <w:tcW w:type="dxa" w:w="3456"/>
          </w:tcPr>
          <w:p>
            <w:r/>
            <w:r>
              <w:rPr>
                <w:sz w:val="19"/>
              </w:rPr>
              <w:t>your Atlas SRV string</w:t>
            </w:r>
          </w:p>
        </w:tc>
        <w:tc>
          <w:tcPr>
            <w:tcW w:type="dxa" w:w="4032"/>
          </w:tcPr>
          <w:p>
            <w:r/>
            <w:r>
              <w:rPr>
                <w:sz w:val="19"/>
              </w:rPr>
              <w:t>Required. The service exits at boot without it.</w:t>
            </w:r>
          </w:p>
        </w:tc>
      </w:tr>
      <w:tr>
        <w:tc>
          <w:tcPr>
            <w:tcW w:type="dxa" w:w="2160"/>
          </w:tcPr>
          <w:p>
            <w:r/>
            <w:r>
              <w:rPr>
                <w:rFonts w:ascii="Consolas" w:hAnsi="Consolas"/>
                <w:sz w:val="18"/>
              </w:rPr>
              <w:t>DB_NAME</w:t>
            </w:r>
          </w:p>
        </w:tc>
        <w:tc>
          <w:tcPr>
            <w:tcW w:type="dxa" w:w="3456"/>
          </w:tcPr>
          <w:p>
            <w:r/>
            <w:r>
              <w:rPr>
                <w:rFonts w:ascii="Consolas" w:hAnsi="Consolas"/>
                <w:sz w:val="18"/>
              </w:rPr>
              <w:t>zelarion</w:t>
            </w:r>
          </w:p>
        </w:tc>
        <w:tc>
          <w:tcPr>
            <w:tcW w:type="dxa" w:w="4032"/>
          </w:tcPr>
          <w:p>
            <w:r/>
            <w:r>
              <w:rPr>
                <w:sz w:val="19"/>
              </w:rPr>
              <w:t>Optional; defaults to zelarion if unset.</w:t>
            </w:r>
          </w:p>
        </w:tc>
      </w:tr>
      <w:tr>
        <w:tc>
          <w:tcPr>
            <w:tcW w:type="dxa" w:w="2160"/>
          </w:tcPr>
          <w:p>
            <w:r/>
            <w:r>
              <w:rPr>
                <w:rFonts w:ascii="Consolas" w:hAnsi="Consolas"/>
                <w:sz w:val="18"/>
              </w:rPr>
              <w:t>CORS_ORIGINS</w:t>
            </w:r>
          </w:p>
        </w:tc>
        <w:tc>
          <w:tcPr>
            <w:tcW w:type="dxa" w:w="3456"/>
          </w:tcPr>
          <w:p>
            <w:r/>
            <w:r>
              <w:rPr>
                <w:rFonts w:ascii="Consolas" w:hAnsi="Consolas"/>
                <w:sz w:val="18"/>
              </w:rPr>
              <w:t>https://zelarionweb.vercel.app</w:t>
            </w:r>
          </w:p>
        </w:tc>
        <w:tc>
          <w:tcPr>
            <w:tcW w:type="dxa" w:w="4032"/>
          </w:tcPr>
          <w:p>
            <w:r/>
            <w:r>
              <w:rPr>
                <w:sz w:val="19"/>
              </w:rPr>
              <w:t>Comma-separated list of allowed origins.</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EFF6F5"/>
          </w:tcPr>
          <w:p>
            <w:r/>
            <w:r>
              <w:rPr>
                <w:b/>
                <w:color w:val="0E7C74"/>
                <w:sz w:val="19"/>
              </w:rPr>
              <w:t xml:space="preserve">Do not set PORT.  </w:t>
            </w:r>
            <w:r>
              <w:rPr>
                <w:sz w:val="19"/>
              </w:rPr>
              <w:t>Render injects PORT automatically. The service reads process.env.PORT and only falls back to 8001 for local development. Setting it manually can bind the wrong port and Render will report the service as unhealthy.</w:t>
            </w:r>
          </w:p>
        </w:tc>
      </w:tr>
    </w:tbl>
    <w:p>
      <w:pPr>
        <w:spacing w:after="40"/>
      </w:pPr>
    </w:p>
    <w:p>
      <w:pPr>
        <w:spacing w:before="200" w:after="40"/>
      </w:pPr>
      <w:r>
        <w:rPr>
          <w:b/>
          <w:sz w:val="22"/>
        </w:rPr>
        <w:t>A note on CORS_ORIGINS</w:t>
      </w:r>
    </w:p>
    <w:p>
      <w:r>
        <w:rPr>
          <w:i w:val="0"/>
        </w:rPr>
        <w:t>The server runs CORS with credentials enabled. If CORS_ORIGINS is left unset or set to an asterisk, the server reflects whichever origin made the request while still allowing credentials — effectively letting any website call your API as a logged-in browser would. List your real domains instead. Include your Vercel preview domain if you test against preview deployments.</w:t>
      </w:r>
    </w:p>
    <w:p>
      <w:pPr>
        <w:spacing w:before="360" w:after="80"/>
      </w:pPr>
      <w:r>
        <w:rPr>
          <w:b/>
          <w:color w:val="14181F"/>
          <w:sz w:val="40"/>
        </w:rPr>
        <w:t>5.  First deploy</w:t>
      </w:r>
    </w:p>
    <w:p>
      <w:r>
        <w:rPr>
          <w:i w:val="0"/>
        </w:rPr>
        <w:t>Press Create Web Service. Render clones the repository, runs the build command, then the start command. Watch the log stream. On success you will see a single line:</w:t>
      </w:r>
    </w:p>
    <w:p>
      <w:pPr>
        <w:spacing w:before="80" w:after="160"/>
        <w:ind w:left="216"/>
        <w:shd w:val="clear" w:color="auto" w:fill="F2F4F6"/>
      </w:pPr>
      <w:r>
        <w:rPr>
          <w:rFonts w:ascii="Consolas" w:hAnsi="Consolas"/>
          <w:color w:val="14181F"/>
          <w:sz w:val="18"/>
        </w:rPr>
        <w:t>zelarion-backend listening on port 10000</w:t>
      </w:r>
    </w:p>
    <w:p>
      <w:r>
        <w:rPr>
          <w:i w:val="0"/>
        </w:rPr>
        <w:t>On first successful boot the service also creates a unique database index on the idempotency_key field automatically. You do not create this by hand — it happens before the server begins accepting requests.</w:t>
      </w:r>
    </w:p>
    <w:p>
      <w:pPr>
        <w:spacing w:before="280" w:after="80"/>
      </w:pPr>
      <w:r>
        <w:rPr>
          <w:b/>
          <w:color w:val="0E7C74"/>
          <w:sz w:val="27"/>
        </w:rPr>
        <w:t>If the deploy fails</w:t>
      </w:r>
    </w:p>
    <w:tbl>
      <w:tblPr>
        <w:tblStyle w:val="TableGrid"/>
        <w:tblW w:type="auto" w:w="0"/>
        <w:jc w:val="left"/>
        <w:tblLook w:firstColumn="1" w:firstRow="1" w:lastColumn="0" w:lastRow="0" w:noHBand="0" w:noVBand="1" w:val="04A0"/>
      </w:tblPr>
      <w:tblGrid>
        <w:gridCol w:w="4824"/>
        <w:gridCol w:w="4824"/>
      </w:tblGrid>
      <w:tr>
        <w:tc>
          <w:tcPr>
            <w:tcW w:type="dxa" w:w="3600"/>
            <w:shd w:val="clear" w:color="auto" w:fill="E8EDF0"/>
          </w:tcPr>
          <w:p>
            <w:r/>
            <w:r>
              <w:rPr>
                <w:b/>
                <w:sz w:val="19"/>
              </w:rPr>
              <w:t>Log message</w:t>
            </w:r>
          </w:p>
        </w:tc>
        <w:tc>
          <w:tcPr>
            <w:tcW w:type="dxa" w:w="6048"/>
            <w:shd w:val="clear" w:color="auto" w:fill="E8EDF0"/>
          </w:tcPr>
          <w:p>
            <w:r/>
            <w:r>
              <w:rPr>
                <w:b/>
                <w:sz w:val="19"/>
              </w:rPr>
              <w:t>Cause and fix</w:t>
            </w:r>
          </w:p>
        </w:tc>
      </w:tr>
      <w:tr>
        <w:tc>
          <w:tcPr>
            <w:tcW w:type="dxa" w:w="3600"/>
          </w:tcPr>
          <w:p>
            <w:r/>
            <w:r>
              <w:rPr>
                <w:rFonts w:ascii="Consolas" w:hAnsi="Consolas"/>
                <w:sz w:val="18"/>
              </w:rPr>
              <w:t>Could not read package.json</w:t>
            </w:r>
          </w:p>
        </w:tc>
        <w:tc>
          <w:tcPr>
            <w:tcW w:type="dxa" w:w="6048"/>
          </w:tcPr>
          <w:p>
            <w:r/>
            <w:r>
              <w:rPr>
                <w:sz w:val="19"/>
              </w:rPr>
              <w:t>Root Directory is not set to backend. Fix it in Settings and redeploy.</w:t>
            </w:r>
          </w:p>
        </w:tc>
      </w:tr>
      <w:tr>
        <w:tc>
          <w:tcPr>
            <w:tcW w:type="dxa" w:w="3600"/>
          </w:tcPr>
          <w:p>
            <w:r/>
            <w:r>
              <w:rPr>
                <w:rFonts w:ascii="Consolas" w:hAnsi="Consolas"/>
                <w:sz w:val="18"/>
              </w:rPr>
              <w:t>FATAL: MONGO_URL environment variable is not set.</w:t>
            </w:r>
          </w:p>
        </w:tc>
        <w:tc>
          <w:tcPr>
            <w:tcW w:type="dxa" w:w="6048"/>
          </w:tcPr>
          <w:p>
            <w:r/>
            <w:r>
              <w:rPr>
                <w:sz w:val="19"/>
              </w:rPr>
              <w:t>The MONGO_URL variable is missing or misspelled. Re-check section 4.3.</w:t>
            </w:r>
          </w:p>
        </w:tc>
      </w:tr>
      <w:tr>
        <w:tc>
          <w:tcPr>
            <w:tcW w:type="dxa" w:w="3600"/>
          </w:tcPr>
          <w:p>
            <w:r/>
            <w:r>
              <w:rPr>
                <w:rFonts w:ascii="Consolas" w:hAnsi="Consolas"/>
                <w:sz w:val="18"/>
              </w:rPr>
              <w:t>FATAL: Failed to connect to MongoDB.</w:t>
            </w:r>
          </w:p>
        </w:tc>
        <w:tc>
          <w:tcPr>
            <w:tcW w:type="dxa" w:w="6048"/>
          </w:tcPr>
          <w:p>
            <w:r/>
            <w:r>
              <w:rPr>
                <w:sz w:val="19"/>
              </w:rPr>
              <w:t>Either the Atlas IP allowlist does not include 0.0.0.0/0 (section 3.3), or the password in the URI contains unencoded symbols (section 3.2).</w:t>
            </w:r>
          </w:p>
        </w:tc>
      </w:tr>
      <w:tr>
        <w:tc>
          <w:tcPr>
            <w:tcW w:type="dxa" w:w="3600"/>
          </w:tcPr>
          <w:p>
            <w:r/>
            <w:r>
              <w:rPr>
                <w:sz w:val="19"/>
              </w:rPr>
              <w:t>Build succeeds, service marked unhealthy</w:t>
            </w:r>
          </w:p>
        </w:tc>
        <w:tc>
          <w:tcPr>
            <w:tcW w:type="dxa" w:w="6048"/>
          </w:tcPr>
          <w:p>
            <w:r/>
            <w:r>
              <w:rPr>
                <w:sz w:val="19"/>
              </w:rPr>
              <w:t>Something set PORT manually, or the start command was changed. It must be npm start.</w:t>
            </w:r>
          </w:p>
        </w:tc>
      </w:tr>
    </w:tbl>
    <w:p>
      <w:pPr>
        <w:spacing w:after="40"/>
      </w:pPr>
    </w:p>
    <w:p>
      <w:pPr>
        <w:spacing w:before="360" w:after="80"/>
      </w:pPr>
      <w:r>
        <w:rPr>
          <w:b/>
          <w:color w:val="14181F"/>
          <w:sz w:val="40"/>
        </w:rPr>
        <w:t>6.  Verify the deployment</w:t>
      </w:r>
    </w:p>
    <w:p>
      <w:r>
        <w:rPr>
          <w:i w:val="0"/>
        </w:rPr>
        <w:t>Run these from any terminal. Replace the URL with your own Render service address.</w:t>
      </w:r>
    </w:p>
    <w:p>
      <w:pPr>
        <w:spacing w:before="200" w:after="40"/>
      </w:pPr>
      <w:r>
        <w:rPr>
          <w:b/>
          <w:sz w:val="22"/>
        </w:rPr>
        <w:t>Check the service is alive</w:t>
      </w:r>
    </w:p>
    <w:p>
      <w:pPr>
        <w:spacing w:before="80" w:after="160"/>
        <w:ind w:left="216"/>
        <w:shd w:val="clear" w:color="auto" w:fill="F2F4F6"/>
      </w:pPr>
      <w:r>
        <w:rPr>
          <w:rFonts w:ascii="Consolas" w:hAnsi="Consolas"/>
          <w:color w:val="14181F"/>
          <w:sz w:val="18"/>
        </w:rPr>
        <w:t>URL=https://zelarion-backend.onrender.com</w:t>
        <w:br/>
      </w:r>
      <w:r>
        <w:rPr>
          <w:rFonts w:ascii="Consolas" w:hAnsi="Consolas"/>
          <w:color w:val="14181F"/>
          <w:sz w:val="18"/>
        </w:rPr>
        <w:br/>
      </w:r>
      <w:r>
        <w:rPr>
          <w:rFonts w:ascii="Consolas" w:hAnsi="Consolas"/>
          <w:color w:val="14181F"/>
          <w:sz w:val="18"/>
        </w:rPr>
        <w:t>curl -s $URL/api/health</w:t>
        <w:br/>
      </w:r>
      <w:r>
        <w:rPr>
          <w:rFonts w:ascii="Consolas" w:hAnsi="Consolas"/>
          <w:color w:val="14181F"/>
          <w:sz w:val="18"/>
        </w:rPr>
        <w:br/>
      </w:r>
      <w:r>
        <w:rPr>
          <w:rFonts w:ascii="Consolas" w:hAnsi="Consolas"/>
          <w:color w:val="14181F"/>
          <w:sz w:val="18"/>
        </w:rPr>
        <w:t># expected: {"status":"ok","service":"zelarion"}</w:t>
      </w:r>
    </w:p>
    <w:p>
      <w:pPr>
        <w:spacing w:before="200" w:after="40"/>
      </w:pPr>
      <w:r>
        <w:rPr>
          <w:b/>
          <w:sz w:val="22"/>
        </w:rPr>
        <w:t>Check that a request without an idempotency key is rejected</w:t>
      </w:r>
    </w:p>
    <w:p>
      <w:pPr>
        <w:spacing w:before="80" w:after="160"/>
        <w:ind w:left="216"/>
        <w:shd w:val="clear" w:color="auto" w:fill="F2F4F6"/>
      </w:pPr>
      <w:r>
        <w:rPr>
          <w:rFonts w:ascii="Consolas" w:hAnsi="Consolas"/>
          <w:color w:val="14181F"/>
          <w:sz w:val="18"/>
        </w:rPr>
        <w:t>curl -s -o /dev/null -w '%{http_code}\n' -X POST $URL/api/demo \</w:t>
        <w:br/>
      </w:r>
      <w:r>
        <w:rPr>
          <w:rFonts w:ascii="Consolas" w:hAnsi="Consolas"/>
          <w:color w:val="14181F"/>
          <w:sz w:val="18"/>
        </w:rPr>
        <w:t xml:space="preserve">  -H 'Content-Type: application/json' \</w:t>
        <w:br/>
      </w:r>
      <w:r>
        <w:rPr>
          <w:rFonts w:ascii="Consolas" w:hAnsi="Consolas"/>
          <w:color w:val="14181F"/>
          <w:sz w:val="18"/>
        </w:rPr>
        <w:t xml:space="preserve">  -d '{"name":"Test","email":"t@example.com","company":"Acme","team_size":"1-10"}'</w:t>
        <w:br/>
      </w:r>
      <w:r>
        <w:rPr>
          <w:rFonts w:ascii="Consolas" w:hAnsi="Consolas"/>
          <w:color w:val="14181F"/>
          <w:sz w:val="18"/>
        </w:rPr>
        <w:br/>
      </w:r>
      <w:r>
        <w:rPr>
          <w:rFonts w:ascii="Consolas" w:hAnsi="Consolas"/>
          <w:color w:val="14181F"/>
          <w:sz w:val="18"/>
        </w:rPr>
        <w:t># expected: 400</w:t>
      </w:r>
    </w:p>
    <w:p>
      <w:pPr>
        <w:spacing w:before="200" w:after="40"/>
      </w:pPr>
      <w:r>
        <w:rPr>
          <w:b/>
          <w:sz w:val="22"/>
        </w:rPr>
        <w:t>Check that duplicate submissions create only one record</w:t>
      </w:r>
    </w:p>
    <w:p>
      <w:r>
        <w:rPr>
          <w:i w:val="0"/>
        </w:rPr>
        <w:t>This is the behaviour the whole idempotency mechanism exists for. Send the same key twice and confirm the second request replays rather than creating a second record.</w:t>
      </w:r>
    </w:p>
    <w:p>
      <w:pPr>
        <w:spacing w:before="80" w:after="160"/>
        <w:ind w:left="216"/>
        <w:shd w:val="clear" w:color="auto" w:fill="F2F4F6"/>
      </w:pPr>
      <w:r>
        <w:rPr>
          <w:rFonts w:ascii="Consolas" w:hAnsi="Consolas"/>
          <w:color w:val="14181F"/>
          <w:sz w:val="18"/>
        </w:rPr>
        <w:t>KEY=$(node -e "console.log(crypto.randomUUID())")</w:t>
        <w:br/>
      </w:r>
      <w:r>
        <w:rPr>
          <w:rFonts w:ascii="Consolas" w:hAnsi="Consolas"/>
          <w:color w:val="14181F"/>
          <w:sz w:val="18"/>
        </w:rPr>
        <w:br/>
      </w:r>
      <w:r>
        <w:rPr>
          <w:rFonts w:ascii="Consolas" w:hAnsi="Consolas"/>
          <w:color w:val="14181F"/>
          <w:sz w:val="18"/>
        </w:rPr>
        <w:t>for i in 1 2; do</w:t>
        <w:br/>
      </w:r>
      <w:r>
        <w:rPr>
          <w:rFonts w:ascii="Consolas" w:hAnsi="Consolas"/>
          <w:color w:val="14181F"/>
          <w:sz w:val="18"/>
        </w:rPr>
        <w:t xml:space="preserve">  curl -s -o /dev/null -w "attempt $i -&gt; %{http_code}\n" -X POST $URL/api/demo \</w:t>
        <w:br/>
      </w:r>
      <w:r>
        <w:rPr>
          <w:rFonts w:ascii="Consolas" w:hAnsi="Consolas"/>
          <w:color w:val="14181F"/>
          <w:sz w:val="18"/>
        </w:rPr>
        <w:t xml:space="preserve">    -H 'Content-Type: application/json' -H "Idempotency-Key: $KEY" \</w:t>
        <w:br/>
      </w:r>
      <w:r>
        <w:rPr>
          <w:rFonts w:ascii="Consolas" w:hAnsi="Consolas"/>
          <w:color w:val="14181F"/>
          <w:sz w:val="18"/>
        </w:rPr>
        <w:t xml:space="preserve">    -d '{"name":"Test","email":"t@example.com","company":"Acme","team_size":"1-10"}'</w:t>
        <w:br/>
      </w:r>
      <w:r>
        <w:rPr>
          <w:rFonts w:ascii="Consolas" w:hAnsi="Consolas"/>
          <w:color w:val="14181F"/>
          <w:sz w:val="18"/>
        </w:rPr>
        <w:t>done</w:t>
        <w:br/>
      </w:r>
      <w:r>
        <w:rPr>
          <w:rFonts w:ascii="Consolas" w:hAnsi="Consolas"/>
          <w:color w:val="14181F"/>
          <w:sz w:val="18"/>
        </w:rPr>
        <w:br/>
      </w:r>
      <w:r>
        <w:rPr>
          <w:rFonts w:ascii="Consolas" w:hAnsi="Consolas"/>
          <w:color w:val="14181F"/>
          <w:sz w:val="18"/>
        </w:rPr>
        <w:t># expected: attempt 1 -&gt; 201</w:t>
        <w:br/>
      </w:r>
      <w:r>
        <w:rPr>
          <w:rFonts w:ascii="Consolas" w:hAnsi="Consolas"/>
          <w:color w:val="14181F"/>
          <w:sz w:val="18"/>
        </w:rPr>
        <w:t>#           attempt 2 -&gt; 200</w:t>
      </w:r>
    </w:p>
    <w:tbl>
      <w:tblPr>
        <w:tblStyle w:val="TableGrid"/>
        <w:tblW w:type="auto" w:w="0"/>
        <w:tblLook w:firstColumn="1" w:firstRow="1" w:lastColumn="0" w:lastRow="0" w:noHBand="0" w:noVBand="1" w:val="04A0"/>
      </w:tblPr>
      <w:tblGrid>
        <w:gridCol w:w="9648"/>
      </w:tblGrid>
      <w:tr>
        <w:tc>
          <w:tcPr>
            <w:tcW w:type="dxa" w:w="9648"/>
            <w:shd w:val="clear" w:color="auto" w:fill="FDF1F1"/>
          </w:tcPr>
          <w:p>
            <w:r/>
            <w:r>
              <w:rPr>
                <w:b/>
                <w:color w:val="A31D1D"/>
                <w:sz w:val="19"/>
              </w:rPr>
              <w:t xml:space="preserve">If you see 201 twice, stop.  </w:t>
            </w:r>
            <w:r>
              <w:rPr>
                <w:sz w:val="19"/>
              </w:rPr>
              <w:t>The unique index was not created. Check the boot logs for an index error and redeploy. Leaving it in this state means every double-click creates a duplicate enquiry.</w:t>
            </w:r>
          </w:p>
        </w:tc>
      </w:tr>
    </w:tbl>
    <w:p>
      <w:pPr>
        <w:spacing w:after="40"/>
      </w:pPr>
    </w:p>
    <w:p>
      <w:pPr>
        <w:spacing w:before="360" w:after="80"/>
      </w:pPr>
      <w:r>
        <w:rPr>
          <w:b/>
          <w:color w:val="14181F"/>
          <w:sz w:val="40"/>
        </w:rPr>
        <w:t>7.  Point the frontend at the API</w:t>
      </w:r>
    </w:p>
    <w:p>
      <w:pPr>
        <w:pStyle w:val="ListBullet"/>
        <w:spacing w:after="60"/>
        <w:ind w:left="360"/>
      </w:pPr>
      <w:r>
        <w:t>Open your project on Vercel, then Settings, then Environment Variables.</w:t>
      </w:r>
    </w:p>
    <w:p>
      <w:pPr>
        <w:pStyle w:val="ListBullet"/>
        <w:spacing w:after="60"/>
        <w:ind w:left="360"/>
      </w:pPr>
      <w:r>
        <w:t>Add REACT_APP_BACKEND_URL with your Render service URL, for example https://zelarion-backend.onrender.com.</w:t>
      </w:r>
    </w:p>
    <w:p>
      <w:pPr>
        <w:pStyle w:val="ListBullet"/>
        <w:spacing w:after="60"/>
        <w:ind w:left="360"/>
      </w:pPr>
      <w:r>
        <w:t>Do not include a trailing slash. The frontend appends /api itself.</w:t>
      </w:r>
    </w:p>
    <w:p>
      <w:pPr>
        <w:pStyle w:val="ListBullet"/>
        <w:spacing w:after="60"/>
        <w:ind w:left="360"/>
      </w:pPr>
      <w:r>
        <w:t>Trigger a new deployment.</w:t>
      </w:r>
    </w:p>
    <w:tbl>
      <w:tblPr>
        <w:tblStyle w:val="TableGrid"/>
        <w:tblW w:type="auto" w:w="0"/>
        <w:tblLook w:firstColumn="1" w:firstRow="1" w:lastColumn="0" w:lastRow="0" w:noHBand="0" w:noVBand="1" w:val="04A0"/>
      </w:tblPr>
      <w:tblGrid>
        <w:gridCol w:w="9648"/>
      </w:tblGrid>
      <w:tr>
        <w:tc>
          <w:tcPr>
            <w:tcW w:type="dxa" w:w="9648"/>
            <w:shd w:val="clear" w:color="auto" w:fill="FDF1F1"/>
          </w:tcPr>
          <w:p>
            <w:r/>
            <w:r>
              <w:rPr>
                <w:b/>
                <w:color w:val="A31D1D"/>
                <w:sz w:val="19"/>
              </w:rPr>
              <w:t xml:space="preserve">Saving the variable is not enough.  </w:t>
            </w:r>
            <w:r>
              <w:rPr>
                <w:sz w:val="19"/>
              </w:rPr>
              <w:t>Create React App inlines every REACT_APP_ variable at build time, so an existing deployment keeps the old value forever. You must redeploy after adding it. This is the step most people miss.</w:t>
            </w:r>
          </w:p>
        </w:tc>
      </w:tr>
    </w:tbl>
    <w:p>
      <w:pPr>
        <w:spacing w:after="40"/>
      </w:pPr>
    </w:p>
    <w:p>
      <w:pPr>
        <w:spacing w:before="360" w:after="80"/>
      </w:pPr>
      <w:r>
        <w:rPr>
          <w:b/>
          <w:color w:val="14181F"/>
          <w:sz w:val="40"/>
        </w:rPr>
        <w:t>8.  End-to-end check</w:t>
      </w:r>
    </w:p>
    <w:p>
      <w:pPr>
        <w:pStyle w:val="ListBullet"/>
        <w:spacing w:after="60"/>
        <w:ind w:left="360"/>
      </w:pPr>
      <w:r>
        <w:t>Open your Vercel site and go to the Contact page.</w:t>
      </w:r>
    </w:p>
    <w:p>
      <w:pPr>
        <w:pStyle w:val="ListBullet"/>
        <w:spacing w:after="60"/>
        <w:ind w:left="360"/>
      </w:pPr>
      <w:r>
        <w:t>Fill in the form and submit it. You should see a success state.</w:t>
      </w:r>
    </w:p>
    <w:p>
      <w:pPr>
        <w:pStyle w:val="ListBullet"/>
        <w:spacing w:after="60"/>
        <w:ind w:left="360"/>
      </w:pPr>
      <w:r>
        <w:t>In Atlas, open Browse Collections and confirm one new document in demo_requests.</w:t>
      </w:r>
    </w:p>
    <w:p>
      <w:pPr>
        <w:pStyle w:val="ListBullet"/>
        <w:spacing w:after="60"/>
        <w:ind w:left="360"/>
      </w:pPr>
      <w:r>
        <w:t>Submit again with the form still open — the record count should not change, because the same idempotency key replays.</w:t>
      </w:r>
    </w:p>
    <w:p>
      <w:r>
        <w:rPr>
          <w:i w:val="0"/>
        </w:rPr>
        <w:t>If the browser console shows a CORS error, your Vercel domain is not listed in CORS_ORIGINS. Return to section 4.3.</w:t>
      </w:r>
    </w:p>
    <w:p>
      <w:pPr>
        <w:spacing w:before="360" w:after="80"/>
      </w:pPr>
      <w:r>
        <w:rPr>
          <w:b/>
          <w:color w:val="14181F"/>
          <w:sz w:val="40"/>
        </w:rPr>
        <w:t>9.  API reference</w:t>
      </w:r>
    </w:p>
    <w:p>
      <w:pPr>
        <w:spacing w:before="280" w:after="80"/>
      </w:pPr>
      <w:r>
        <w:rPr>
          <w:b/>
          <w:color w:val="0E7C74"/>
          <w:sz w:val="27"/>
        </w:rPr>
        <w:t>GET /api/health</w:t>
      </w:r>
    </w:p>
    <w:p>
      <w:r>
        <w:rPr>
          <w:i w:val="0"/>
        </w:rPr>
        <w:t>Returns 200 with a status object. Use it for uptime monitoring.</w:t>
      </w:r>
    </w:p>
    <w:p>
      <w:pPr>
        <w:spacing w:before="280" w:after="80"/>
      </w:pPr>
      <w:r>
        <w:rPr>
          <w:b/>
          <w:color w:val="0E7C74"/>
          <w:sz w:val="27"/>
        </w:rPr>
        <w:t>GET /api/demo/count</w:t>
      </w:r>
    </w:p>
    <w:p>
      <w:r>
        <w:rPr>
          <w:i w:val="0"/>
        </w:rPr>
        <w:t>Returns 200 with the total number of stored enquiries.</w:t>
      </w:r>
    </w:p>
    <w:p>
      <w:pPr>
        <w:spacing w:before="280" w:after="80"/>
      </w:pPr>
      <w:r>
        <w:rPr>
          <w:b/>
          <w:color w:val="0E7C74"/>
          <w:sz w:val="27"/>
        </w:rPr>
        <w:t>POST /api/demo</w:t>
      </w:r>
    </w:p>
    <w:p>
      <w:r>
        <w:rPr>
          <w:i w:val="0"/>
        </w:rPr>
        <w:t>Creates an enquiry. Requires a Content-Type of application/json and an Idempotency-Key header.</w:t>
      </w:r>
    </w:p>
    <w:p>
      <w:pPr>
        <w:spacing w:before="200" w:after="40"/>
      </w:pPr>
      <w:r>
        <w:rPr>
          <w:b/>
          <w:sz w:val="22"/>
        </w:rPr>
        <w:t>Request body</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E8EDF0"/>
          </w:tcPr>
          <w:p>
            <w:r/>
            <w:r>
              <w:rPr>
                <w:b/>
                <w:sz w:val="19"/>
              </w:rPr>
              <w:t>Field</w:t>
            </w:r>
          </w:p>
        </w:tc>
        <w:tc>
          <w:tcPr>
            <w:tcW w:type="dxa" w:w="1440"/>
            <w:shd w:val="clear" w:color="auto" w:fill="E8EDF0"/>
          </w:tcPr>
          <w:p>
            <w:r/>
            <w:r>
              <w:rPr>
                <w:b/>
                <w:sz w:val="19"/>
              </w:rPr>
              <w:t>Required</w:t>
            </w:r>
          </w:p>
        </w:tc>
        <w:tc>
          <w:tcPr>
            <w:tcW w:type="dxa" w:w="6048"/>
            <w:shd w:val="clear" w:color="auto" w:fill="E8EDF0"/>
          </w:tcPr>
          <w:p>
            <w:r/>
            <w:r>
              <w:rPr>
                <w:b/>
                <w:sz w:val="19"/>
              </w:rPr>
              <w:t>Rules</w:t>
            </w:r>
          </w:p>
        </w:tc>
      </w:tr>
      <w:tr>
        <w:tc>
          <w:tcPr>
            <w:tcW w:type="dxa" w:w="2160"/>
          </w:tcPr>
          <w:p>
            <w:r/>
            <w:r>
              <w:rPr>
                <w:rFonts w:ascii="Consolas" w:hAnsi="Consolas"/>
                <w:sz w:val="18"/>
              </w:rPr>
              <w:t>name</w:t>
            </w:r>
          </w:p>
        </w:tc>
        <w:tc>
          <w:tcPr>
            <w:tcW w:type="dxa" w:w="1440"/>
          </w:tcPr>
          <w:p>
            <w:r/>
            <w:r>
              <w:rPr>
                <w:sz w:val="19"/>
              </w:rPr>
              <w:t>Yes</w:t>
            </w:r>
          </w:p>
        </w:tc>
        <w:tc>
          <w:tcPr>
            <w:tcW w:type="dxa" w:w="6048"/>
          </w:tcPr>
          <w:p>
            <w:r/>
            <w:r>
              <w:rPr>
                <w:sz w:val="19"/>
              </w:rPr>
              <w:t>String, 1 to 120 characters.</w:t>
            </w:r>
          </w:p>
        </w:tc>
      </w:tr>
      <w:tr>
        <w:tc>
          <w:tcPr>
            <w:tcW w:type="dxa" w:w="2160"/>
          </w:tcPr>
          <w:p>
            <w:r/>
            <w:r>
              <w:rPr>
                <w:rFonts w:ascii="Consolas" w:hAnsi="Consolas"/>
                <w:sz w:val="18"/>
              </w:rPr>
              <w:t>email</w:t>
            </w:r>
          </w:p>
        </w:tc>
        <w:tc>
          <w:tcPr>
            <w:tcW w:type="dxa" w:w="1440"/>
          </w:tcPr>
          <w:p>
            <w:r/>
            <w:r>
              <w:rPr>
                <w:sz w:val="19"/>
              </w:rPr>
              <w:t>Yes</w:t>
            </w:r>
          </w:p>
        </w:tc>
        <w:tc>
          <w:tcPr>
            <w:tcW w:type="dxa" w:w="6048"/>
          </w:tcPr>
          <w:p>
            <w:r/>
            <w:r>
              <w:rPr>
                <w:sz w:val="19"/>
              </w:rPr>
              <w:t>String, must be a valid email address.</w:t>
            </w:r>
          </w:p>
        </w:tc>
      </w:tr>
      <w:tr>
        <w:tc>
          <w:tcPr>
            <w:tcW w:type="dxa" w:w="2160"/>
          </w:tcPr>
          <w:p>
            <w:r/>
            <w:r>
              <w:rPr>
                <w:rFonts w:ascii="Consolas" w:hAnsi="Consolas"/>
                <w:sz w:val="18"/>
              </w:rPr>
              <w:t>company</w:t>
            </w:r>
          </w:p>
        </w:tc>
        <w:tc>
          <w:tcPr>
            <w:tcW w:type="dxa" w:w="1440"/>
          </w:tcPr>
          <w:p>
            <w:r/>
            <w:r>
              <w:rPr>
                <w:sz w:val="19"/>
              </w:rPr>
              <w:t>Yes</w:t>
            </w:r>
          </w:p>
        </w:tc>
        <w:tc>
          <w:tcPr>
            <w:tcW w:type="dxa" w:w="6048"/>
          </w:tcPr>
          <w:p>
            <w:r/>
            <w:r>
              <w:rPr>
                <w:sz w:val="19"/>
              </w:rPr>
              <w:t>String, 1 to 160 characters.</w:t>
            </w:r>
          </w:p>
        </w:tc>
      </w:tr>
      <w:tr>
        <w:tc>
          <w:tcPr>
            <w:tcW w:type="dxa" w:w="2160"/>
          </w:tcPr>
          <w:p>
            <w:r/>
            <w:r>
              <w:rPr>
                <w:rFonts w:ascii="Consolas" w:hAnsi="Consolas"/>
                <w:sz w:val="18"/>
              </w:rPr>
              <w:t>team_size</w:t>
            </w:r>
          </w:p>
        </w:tc>
        <w:tc>
          <w:tcPr>
            <w:tcW w:type="dxa" w:w="1440"/>
          </w:tcPr>
          <w:p>
            <w:r/>
            <w:r>
              <w:rPr>
                <w:sz w:val="19"/>
              </w:rPr>
              <w:t>Yes</w:t>
            </w:r>
          </w:p>
        </w:tc>
        <w:tc>
          <w:tcPr>
            <w:tcW w:type="dxa" w:w="6048"/>
          </w:tcPr>
          <w:p>
            <w:r/>
            <w:r>
              <w:rPr>
                <w:sz w:val="19"/>
              </w:rPr>
              <w:t>String, 1 to 60 characters.</w:t>
            </w:r>
          </w:p>
        </w:tc>
      </w:tr>
      <w:tr>
        <w:tc>
          <w:tcPr>
            <w:tcW w:type="dxa" w:w="2160"/>
          </w:tcPr>
          <w:p>
            <w:r/>
            <w:r>
              <w:rPr>
                <w:rFonts w:ascii="Consolas" w:hAnsi="Consolas"/>
                <w:sz w:val="18"/>
              </w:rPr>
              <w:t>preferred_date</w:t>
            </w:r>
          </w:p>
        </w:tc>
        <w:tc>
          <w:tcPr>
            <w:tcW w:type="dxa" w:w="1440"/>
          </w:tcPr>
          <w:p>
            <w:r/>
            <w:r>
              <w:rPr>
                <w:sz w:val="19"/>
              </w:rPr>
              <w:t>No</w:t>
            </w:r>
          </w:p>
        </w:tc>
        <w:tc>
          <w:tcPr>
            <w:tcW w:type="dxa" w:w="6048"/>
          </w:tcPr>
          <w:p>
            <w:r/>
            <w:r>
              <w:rPr>
                <w:sz w:val="19"/>
              </w:rPr>
              <w:t>String, or omitted.</w:t>
            </w:r>
          </w:p>
        </w:tc>
      </w:tr>
      <w:tr>
        <w:tc>
          <w:tcPr>
            <w:tcW w:type="dxa" w:w="2160"/>
          </w:tcPr>
          <w:p>
            <w:r/>
            <w:r>
              <w:rPr>
                <w:rFonts w:ascii="Consolas" w:hAnsi="Consolas"/>
                <w:sz w:val="18"/>
              </w:rPr>
              <w:t>message</w:t>
            </w:r>
          </w:p>
        </w:tc>
        <w:tc>
          <w:tcPr>
            <w:tcW w:type="dxa" w:w="1440"/>
          </w:tcPr>
          <w:p>
            <w:r/>
            <w:r>
              <w:rPr>
                <w:sz w:val="19"/>
              </w:rPr>
              <w:t>No</w:t>
            </w:r>
          </w:p>
        </w:tc>
        <w:tc>
          <w:tcPr>
            <w:tcW w:type="dxa" w:w="6048"/>
          </w:tcPr>
          <w:p>
            <w:r/>
            <w:r>
              <w:rPr>
                <w:sz w:val="19"/>
              </w:rPr>
              <w:t>String, at most 1000 characters.</w:t>
            </w:r>
          </w:p>
        </w:tc>
      </w:tr>
    </w:tbl>
    <w:p>
      <w:pPr>
        <w:spacing w:after="40"/>
      </w:pPr>
    </w:p>
    <w:p>
      <w:pPr>
        <w:spacing w:before="200" w:after="40"/>
      </w:pPr>
      <w:r>
        <w:rPr>
          <w:b/>
          <w:sz w:val="22"/>
        </w:rPr>
        <w:t>Idempotency-Key header</w:t>
      </w:r>
    </w:p>
    <w:p>
      <w:r>
        <w:rPr>
          <w:i w:val="0"/>
        </w:rPr>
        <w:t>One to 128 characters of letters, digits, hyphens, and underscores. A UUID satisfies this. The client must generate the key once per user intent — when the form is opened, not on each submit attempt — and reuse it for every retry of that submission. Opening the form again is a new intent and needs a new key.</w:t>
      </w:r>
    </w:p>
    <w:p>
      <w:pPr>
        <w:spacing w:before="200" w:after="40"/>
      </w:pPr>
      <w:r>
        <w:rPr>
          <w:b/>
          <w:sz w:val="22"/>
        </w:rPr>
        <w:t>Responses</w:t>
      </w:r>
    </w:p>
    <w:tbl>
      <w:tblPr>
        <w:tblStyle w:val="TableGrid"/>
        <w:tblW w:type="auto" w:w="0"/>
        <w:jc w:val="left"/>
        <w:tblLook w:firstColumn="1" w:firstRow="1" w:lastColumn="0" w:lastRow="0" w:noHBand="0" w:noVBand="1" w:val="04A0"/>
      </w:tblPr>
      <w:tblGrid>
        <w:gridCol w:w="4824"/>
        <w:gridCol w:w="4824"/>
      </w:tblGrid>
      <w:tr>
        <w:tc>
          <w:tcPr>
            <w:tcW w:type="dxa" w:w="1296"/>
            <w:shd w:val="clear" w:color="auto" w:fill="E8EDF0"/>
          </w:tcPr>
          <w:p>
            <w:r/>
            <w:r>
              <w:rPr>
                <w:b/>
                <w:sz w:val="19"/>
              </w:rPr>
              <w:t>Status</w:t>
            </w:r>
          </w:p>
        </w:tc>
        <w:tc>
          <w:tcPr>
            <w:tcW w:type="dxa" w:w="8352"/>
            <w:shd w:val="clear" w:color="auto" w:fill="E8EDF0"/>
          </w:tcPr>
          <w:p>
            <w:r/>
            <w:r>
              <w:rPr>
                <w:b/>
                <w:sz w:val="19"/>
              </w:rPr>
              <w:t>Meaning</w:t>
            </w:r>
          </w:p>
        </w:tc>
      </w:tr>
      <w:tr>
        <w:tc>
          <w:tcPr>
            <w:tcW w:type="dxa" w:w="1296"/>
          </w:tcPr>
          <w:p>
            <w:r/>
            <w:r>
              <w:rPr>
                <w:rFonts w:ascii="Consolas" w:hAnsi="Consolas"/>
                <w:sz w:val="18"/>
              </w:rPr>
              <w:t>201</w:t>
            </w:r>
          </w:p>
        </w:tc>
        <w:tc>
          <w:tcPr>
            <w:tcW w:type="dxa" w:w="8352"/>
          </w:tcPr>
          <w:p>
            <w:r/>
            <w:r>
              <w:rPr>
                <w:sz w:val="19"/>
              </w:rPr>
              <w:t>First request seen for this key. A new record was created.</w:t>
            </w:r>
          </w:p>
        </w:tc>
      </w:tr>
      <w:tr>
        <w:tc>
          <w:tcPr>
            <w:tcW w:type="dxa" w:w="1296"/>
          </w:tcPr>
          <w:p>
            <w:r/>
            <w:r>
              <w:rPr>
                <w:rFonts w:ascii="Consolas" w:hAnsi="Consolas"/>
                <w:sz w:val="18"/>
              </w:rPr>
              <w:t>200</w:t>
            </w:r>
          </w:p>
        </w:tc>
        <w:tc>
          <w:tcPr>
            <w:tcW w:type="dxa" w:w="8352"/>
          </w:tcPr>
          <w:p>
            <w:r/>
            <w:r>
              <w:rPr>
                <w:sz w:val="19"/>
              </w:rPr>
              <w:t>Replay. This key was already processed; the original record is returned and nothing new is created.</w:t>
            </w:r>
          </w:p>
        </w:tc>
      </w:tr>
      <w:tr>
        <w:tc>
          <w:tcPr>
            <w:tcW w:type="dxa" w:w="1296"/>
          </w:tcPr>
          <w:p>
            <w:r/>
            <w:r>
              <w:rPr>
                <w:rFonts w:ascii="Consolas" w:hAnsi="Consolas"/>
                <w:sz w:val="18"/>
              </w:rPr>
              <w:t>400</w:t>
            </w:r>
          </w:p>
        </w:tc>
        <w:tc>
          <w:tcPr>
            <w:tcW w:type="dxa" w:w="8352"/>
          </w:tcPr>
          <w:p>
            <w:r/>
            <w:r>
              <w:rPr>
                <w:sz w:val="19"/>
              </w:rPr>
              <w:t>The Idempotency-Key header is missing or malformed. Checked before the body, so an invalid body with no key still returns 400.</w:t>
            </w:r>
          </w:p>
        </w:tc>
      </w:tr>
      <w:tr>
        <w:tc>
          <w:tcPr>
            <w:tcW w:type="dxa" w:w="1296"/>
          </w:tcPr>
          <w:p>
            <w:r/>
            <w:r>
              <w:rPr>
                <w:rFonts w:ascii="Consolas" w:hAnsi="Consolas"/>
                <w:sz w:val="18"/>
              </w:rPr>
              <w:t>422</w:t>
            </w:r>
          </w:p>
        </w:tc>
        <w:tc>
          <w:tcPr>
            <w:tcW w:type="dxa" w:w="8352"/>
          </w:tcPr>
          <w:p>
            <w:r/>
            <w:r>
              <w:rPr>
                <w:sz w:val="19"/>
              </w:rPr>
              <w:t>The key was valid but the body failed validation. The response contains a detail array of field and message pairs.</w:t>
            </w:r>
          </w:p>
        </w:tc>
      </w:tr>
      <w:tr>
        <w:tc>
          <w:tcPr>
            <w:tcW w:type="dxa" w:w="1296"/>
          </w:tcPr>
          <w:p>
            <w:r/>
            <w:r>
              <w:rPr>
                <w:rFonts w:ascii="Consolas" w:hAnsi="Consolas"/>
                <w:sz w:val="18"/>
              </w:rPr>
              <w:t>409</w:t>
            </w:r>
          </w:p>
        </w:tc>
        <w:tc>
          <w:tcPr>
            <w:tcW w:type="dxa" w:w="8352"/>
          </w:tcPr>
          <w:p>
            <w:r/>
            <w:r>
              <w:rPr>
                <w:sz w:val="19"/>
              </w:rPr>
              <w:t>A write conflict was detected but the original record could not be re-read. Safe to retry with the same key.</w:t>
            </w:r>
          </w:p>
        </w:tc>
      </w:tr>
      <w:tr>
        <w:tc>
          <w:tcPr>
            <w:tcW w:type="dxa" w:w="1296"/>
          </w:tcPr>
          <w:p>
            <w:r/>
            <w:r>
              <w:rPr>
                <w:rFonts w:ascii="Consolas" w:hAnsi="Consolas"/>
                <w:sz w:val="18"/>
              </w:rPr>
              <w:t>500</w:t>
            </w:r>
          </w:p>
        </w:tc>
        <w:tc>
          <w:tcPr>
            <w:tcW w:type="dxa" w:w="8352"/>
          </w:tcPr>
          <w:p>
            <w:r/>
            <w:r>
              <w:rPr>
                <w:sz w:val="19"/>
              </w:rPr>
              <w:t>Unexpected server error. Check the Render logs.</w:t>
            </w:r>
          </w:p>
        </w:tc>
      </w:tr>
    </w:tbl>
    <w:p>
      <w:pPr>
        <w:spacing w:after="40"/>
      </w:pPr>
    </w:p>
    <w:p>
      <w:pPr>
        <w:spacing w:before="360" w:after="80"/>
      </w:pPr>
      <w:r>
        <w:rPr>
          <w:b/>
          <w:color w:val="14181F"/>
          <w:sz w:val="40"/>
        </w:rPr>
        <w:t>10.  Operating notes</w:t>
      </w:r>
    </w:p>
    <w:p>
      <w:pPr>
        <w:spacing w:before="200" w:after="40"/>
      </w:pPr>
      <w:r>
        <w:rPr>
          <w:b/>
          <w:sz w:val="22"/>
        </w:rPr>
        <w:t>Free tier sleeps</w:t>
      </w:r>
    </w:p>
    <w:p>
      <w:r>
        <w:rPr>
          <w:i w:val="0"/>
        </w:rPr>
        <w:t>Render's free instances spin down after roughly fifteen minutes of inactivity. The next request then waits thirty to sixty seconds while the service wakes. For a live company site this means the first visitor after a quiet period sees a form that appears broken. Move to a paid instance before promoting the site.</w:t>
      </w:r>
    </w:p>
    <w:p>
      <w:pPr>
        <w:spacing w:before="200" w:after="40"/>
      </w:pPr>
      <w:r>
        <w:rPr>
          <w:b/>
          <w:sz w:val="22"/>
        </w:rPr>
        <w:t>The Node version is not pinned</w:t>
      </w:r>
    </w:p>
    <w:p>
      <w:r>
        <w:rPr>
          <w:i w:val="0"/>
        </w:rPr>
        <w:t>backend/package.json has no engines field, so Render chooses its own Node version, which may differ from the version the test suite passes on. Adding an engines entry removes a whole class of works-locally-fails-on-deploy problems.</w:t>
      </w:r>
    </w:p>
    <w:p>
      <w:pPr>
        <w:spacing w:before="200" w:after="40"/>
      </w:pPr>
      <w:r>
        <w:rPr>
          <w:b/>
          <w:sz w:val="22"/>
        </w:rPr>
        <w:t>Running the tests locally</w:t>
      </w:r>
    </w:p>
    <w:p>
      <w:pPr>
        <w:spacing w:before="80" w:after="160"/>
        <w:ind w:left="216"/>
        <w:shd w:val="clear" w:color="auto" w:fill="F2F4F6"/>
      </w:pPr>
      <w:r>
        <w:rPr>
          <w:rFonts w:ascii="Consolas" w:hAnsi="Consolas"/>
          <w:color w:val="14181F"/>
          <w:sz w:val="18"/>
        </w:rPr>
        <w:t>cd backend</w:t>
        <w:br/>
      </w:r>
      <w:r>
        <w:rPr>
          <w:rFonts w:ascii="Consolas" w:hAnsi="Consolas"/>
          <w:color w:val="14181F"/>
          <w:sz w:val="18"/>
        </w:rPr>
        <w:t>npm install</w:t>
        <w:br/>
      </w:r>
      <w:r>
        <w:rPr>
          <w:rFonts w:ascii="Consolas" w:hAnsi="Consolas"/>
          <w:color w:val="14181F"/>
          <w:sz w:val="18"/>
        </w:rPr>
        <w:t>npm test</w:t>
        <w:br/>
      </w:r>
      <w:r>
        <w:rPr>
          <w:rFonts w:ascii="Consolas" w:hAnsi="Consolas"/>
          <w:color w:val="14181F"/>
          <w:sz w:val="18"/>
        </w:rPr>
        <w:br/>
      </w:r>
      <w:r>
        <w:rPr>
          <w:rFonts w:ascii="Consolas" w:hAnsi="Consolas"/>
          <w:color w:val="14181F"/>
          <w:sz w:val="18"/>
        </w:rPr>
        <w:t># 14 tests, covering validation, the idempotency contract,</w:t>
        <w:br/>
      </w:r>
      <w:r>
        <w:rPr>
          <w:rFonts w:ascii="Consolas" w:hAnsi="Consolas"/>
          <w:color w:val="14181F"/>
          <w:sz w:val="18"/>
        </w:rPr>
        <w:t># and sequential plus concurrent duplicate submissions.</w:t>
      </w:r>
    </w:p>
    <w:p>
      <w:pPr>
        <w:spacing w:before="200" w:after="40"/>
      </w:pPr>
      <w:r>
        <w:rPr>
          <w:b/>
          <w:sz w:val="22"/>
        </w:rPr>
        <w:t>Local development</w:t>
      </w:r>
    </w:p>
    <w:p>
      <w:r>
        <w:rPr>
          <w:i w:val="0"/>
        </w:rPr>
        <w:t>Create a file named .env inside backend/ with MONGO_URL, DB_NAME, and CORS_ORIGINS, then run npm run dev. Every file whose name begins with .env is gitignored in this repository and must never be committed.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8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