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Investigación Sumaria, instruida por Resolución Exenta N°1078, de fecha 25 de julio de 2023, de Rectoría de la Universidad de Magallanes; el Decreto N°05/SU/2020, de fecha 17 de enero de 2020, que aprueba el Protocolo de Actuación frente a situaciones constitutivas de Violencia de Género, Acoso,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54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120"/>
        <w:ind w:left="720" w:hanging="720"/>
        <w:jc w:val="both"/>
      </w:pPr>
      <w:r>
        <w:t xml:space="preserve">1.	Que, a fojas 1 a 5, consta Presentación de demanda por parte demandante;</w:t>
      </w:r>
    </w:p>
    <w:p>
      <w:pPr>
        <w:spacing w:after="120"/>
        <w:ind w:left="720" w:hanging="720"/>
        <w:jc w:val="both"/>
      </w:pPr>
      <w:r>
        <w:t xml:space="preserve">2.	Que, a fojas 6 a 18, consta Entrevistas con personas involucradas;</w:t>
      </w:r>
    </w:p>
    <w:p>
      <w:pPr>
        <w:spacing w:after="120"/>
        <w:ind w:left="720" w:hanging="720"/>
        <w:jc w:val="both"/>
      </w:pPr>
      <w:r>
        <w:t xml:space="preserve">3.	Que, a fojas 19 a 28, consta Recopilación de registros de asistencia;</w:t>
      </w:r>
    </w:p>
    <w:p>
      <w:pPr>
        <w:spacing w:after="120"/>
        <w:ind w:left="720" w:hanging="720"/>
        <w:jc w:val="both"/>
      </w:pPr>
      <w:r>
        <w:t xml:space="preserve">4.	Que, a fojas 29 a 40, consta Análisis de documentación administrativa;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34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2026-04-05T21:46:22.195Z</dcterms:created>
  <dcterms:modified xsi:type="dcterms:W3CDTF">2026-04-05T21:46:22.195Z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