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Investigación Sumaria, instruida por Resolución Exenta N°1153, de fecha 29 de septiembre de 2023, de Rectoría de la Universidad de Magallanes; el Decreto N°05/SU/2020, de fecha 17 de enero de 2020, que aprueba el Protocolo de Actuación frente a situaciones constitutivas de Violencia de Género, Acoso, Hostigamiento y/o Discriminación de la Universidad de Magallanes;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20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39 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2026-04-05T21:46:22.214Z</dcterms:created>
  <dcterms:modified xsi:type="dcterms:W3CDTF">2026-04-05T21:46:22.214Z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