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Investigación Sumaria, instruida por Resolución Exenta N°1239, de fecha 25 de octubre de 2024, de Rectoría de la Universidad de Magallanes; el Decreto N°05/SU/2020, de fecha 17 de enero de 2020, que aprueba el Protocolo de Actuación frente a situaciones constitutivas de Violencia de Género, Acoso, Hostigamiento y/o Discriminación de la Universidad de Magallanes;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12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no permiten configurar la conducta denunciada como una falta disciplinaria sancionable conforme a la normativa aplicable. En mérito de lo anterior, esta investigadora propone el SOBRESEIMIENTO del presente procedimiento disciplinario, por no haberse acreditado los hechos denunciados o no configurarse la infracción imputada.</w:t>
      </w:r>
    </w:p>
    <w:p>
      <w:pPr>
        <w:spacing w:after="120"/>
        <w:jc w:val="both"/>
      </w:pPr>
      <w:r>
        <w:t xml:space="preserve">Se hace presente que, sin perjuicio de lo anterior, las partes involucradas suscribieron acuerdos voluntarios de alejamiento cuando correspondió, como medida de resguardo y protección.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63 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2026-04-05T21:46:22.282Z</dcterms:created>
  <dcterms:modified xsi:type="dcterms:W3CDTF">2026-04-05T21:46:22.282Z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