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N°1465, de fecha 22 de septiembre de 2025, de Rectoría de la Universidad de Magallanes; el D.F.L. N°29 del año 2004 que Fija Texto Refundido, Coordinado y Sistematizado de La Ley Nº18.834, Sobre Estatuto Administrativo;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55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permiten establecer que los hechos denunciados se encuentran acreditados y configuran una infracción a la normativa aplicable. En mérito de lo anterior, esta investigadora propone aplicar una SANCIÓN al/la funcionario/a investigado/a, de conformidad con las disposiciones legales y reglamentarias vigentes.</w:t>
      </w:r>
    </w:p>
    <w:p>
      <w:pPr>
        <w:spacing w:after="120"/>
        <w:jc w:val="both"/>
      </w:pPr>
      <w:r>
        <w:t xml:space="preserve">Se hace presente que la gravedad de los hechos establecidos, las circunstancias en que ocurrieron y los antecedentes laborales del/la funcionario/a han sido considerados para la propuesta de sanción.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80-A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2026-04-05T21:46:22.312Z</dcterms:created>
  <dcterms:modified xsi:type="dcterms:W3CDTF">2026-04-05T21:46:22.312Z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