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28"/>
          <w:szCs w:val="28"/>
        </w:rPr>
        <w:t xml:space="preserve">UNIVERSIDAD DE MAGALLANES</w:t>
      </w:r>
    </w:p>
    <w:p>
      <w:pPr>
        <w:spacing w:after="200"/>
        <w:jc w:val="center"/>
      </w:pPr>
      <w:r>
        <w:rPr>
          <w:rFonts w:ascii="Arial" w:cs="Arial" w:eastAsia="Arial" w:hAnsi="Arial"/>
          <w:color w:val="666666"/>
          <w:sz w:val="20"/>
          <w:szCs w:val="20"/>
        </w:rPr>
        <w:t xml:space="preserve">Punta Arenas, Chile</w:t>
      </w:r>
    </w:p>
    <w:p>
      <w:pPr>
        <w:pBdr>
          <w:bottom w:val="single" w:color="003366" w:sz="6"/>
        </w:pBdr>
        <w:spacing w:after="0"/>
        <w:jc w:val="center"/>
      </w:pPr>
    </w:p>
    <w:p>
      <w:pPr>
        <w:spacing w:after="400"/>
      </w:pPr>
    </w:p>
    <w:p>
      <w:pPr>
        <w:spacing w:after="100"/>
        <w:jc w:val="center"/>
      </w:pPr>
      <w:r>
        <w:rPr>
          <w:rFonts w:ascii="Arial" w:cs="Arial" w:eastAsia="Arial" w:hAnsi="Arial"/>
          <w:b/>
          <w:bCs/>
          <w:color w:val="CC0000"/>
          <w:sz w:val="24"/>
          <w:szCs w:val="24"/>
        </w:rPr>
        <w:t xml:space="preserve">BORRADOR</w:t>
      </w:r>
    </w:p>
    <w:p>
      <w:pPr>
        <w:spacing w:after="400"/>
        <w:jc w:val="center"/>
      </w:pPr>
      <w:r>
        <w:rPr>
          <w:rFonts w:ascii="Arial" w:cs="Arial" w:eastAsia="Arial" w:hAnsi="Arial"/>
          <w:b/>
          <w:bCs/>
          <w:sz w:val="32"/>
          <w:szCs w:val="32"/>
        </w:rPr>
        <w:t xml:space="preserve">REGLAMENTO DE ESTRUCTURAS ACADÉMICAS</w:t>
      </w:r>
    </w:p>
    <w:p>
      <w:pPr>
        <w:spacing w:after="60"/>
        <w:ind w:left="720"/>
      </w:pPr>
      <w:r>
        <w:rPr>
          <w:rFonts w:ascii="Arial" w:cs="Arial" w:eastAsia="Arial" w:hAnsi="Arial"/>
          <w:b/>
          <w:bCs/>
          <w:color w:val="003366"/>
          <w:sz w:val="20"/>
          <w:szCs w:val="20"/>
        </w:rPr>
        <w:t xml:space="preserve">Fundamento estatutario: </w:t>
      </w:r>
      <w:r>
        <w:rPr>
          <w:rFonts w:ascii="Arial" w:cs="Arial" w:eastAsia="Arial" w:hAnsi="Arial"/>
          <w:sz w:val="20"/>
          <w:szCs w:val="20"/>
        </w:rPr>
        <w:t xml:space="preserve">Art. 56, 60-64</w:t>
      </w:r>
    </w:p>
    <w:p>
      <w:pPr>
        <w:spacing w:after="60"/>
        <w:ind w:left="720"/>
      </w:pPr>
      <w:r>
        <w:rPr>
          <w:rFonts w:ascii="Arial" w:cs="Arial" w:eastAsia="Arial" w:hAnsi="Arial"/>
          <w:b/>
          <w:bCs/>
          <w:color w:val="003366"/>
          <w:sz w:val="20"/>
          <w:szCs w:val="20"/>
        </w:rPr>
        <w:t xml:space="preserve">Responsable: </w:t>
      </w:r>
      <w:r>
        <w:rPr>
          <w:rFonts w:ascii="Arial" w:cs="Arial" w:eastAsia="Arial" w:hAnsi="Arial"/>
          <w:sz w:val="20"/>
          <w:szCs w:val="20"/>
        </w:rPr>
        <w:t xml:space="preserve">VRAC/Dir.Docencia</w:t>
      </w:r>
    </w:p>
    <w:p>
      <w:pPr>
        <w:spacing w:after="60"/>
        <w:ind w:left="720"/>
      </w:pPr>
      <w:r>
        <w:rPr>
          <w:rFonts w:ascii="Arial" w:cs="Arial" w:eastAsia="Arial" w:hAnsi="Arial"/>
          <w:b/>
          <w:bCs/>
          <w:color w:val="003366"/>
          <w:sz w:val="20"/>
          <w:szCs w:val="20"/>
        </w:rPr>
        <w:t xml:space="preserve">Aprobación requerida: </w:t>
      </w:r>
      <w:r>
        <w:rPr>
          <w:rFonts w:ascii="Arial" w:cs="Arial" w:eastAsia="Arial" w:hAnsi="Arial"/>
          <w:sz w:val="20"/>
          <w:szCs w:val="20"/>
        </w:rPr>
        <w:t xml:space="preserve">Consejo Superior / Consejo Universitario</w:t>
      </w:r>
    </w:p>
    <w:p>
      <w:pPr>
        <w:spacing w:after="400"/>
      </w:pPr>
    </w:p>
    <w:p>
      <w:pPr>
        <w:spacing w:after="200"/>
      </w:pPr>
      <w:r>
        <w:rPr>
          <w:rFonts w:ascii="Arial" w:cs="Arial" w:eastAsia="Arial" w:hAnsi="Arial"/>
          <w:b/>
          <w:bCs/>
          <w:sz w:val="24"/>
          <w:szCs w:val="24"/>
        </w:rPr>
        <w:t xml:space="preserve">VISTOS:</w:t>
      </w:r>
    </w:p>
    <w:p>
      <w:pPr>
        <w:spacing w:after="100"/>
        <w:ind w:left="720"/>
      </w:pPr>
      <w:r>
        <w:rPr>
          <w:rFonts w:ascii="Arial" w:cs="Arial" w:eastAsia="Arial" w:hAnsi="Arial"/>
          <w:sz w:val="22"/>
          <w:szCs w:val="22"/>
        </w:rPr>
        <w:t xml:space="preserve">1. El DFL Núm. 27, de 2024, del Estatuto de la Universidad de Magallanes.</w:t>
      </w:r>
    </w:p>
    <w:p>
      <w:pPr>
        <w:spacing w:after="100"/>
        <w:ind w:left="720"/>
      </w:pPr>
      <w:r>
        <w:rPr>
          <w:rFonts w:ascii="Arial" w:cs="Arial" w:eastAsia="Arial" w:hAnsi="Arial"/>
          <w:sz w:val="22"/>
          <w:szCs w:val="22"/>
        </w:rPr>
        <w:t xml:space="preserve">2. Lo dispuesto en los artículos 56 y 60 a 64 del Estatuto, sobre Departamentos, Institutos y Centros.</w:t>
      </w:r>
    </w:p>
    <w:p>
      <w:pPr>
        <w:spacing w:after="100"/>
        <w:ind w:left="720"/>
      </w:pPr>
      <w:r>
        <w:rPr>
          <w:rFonts w:ascii="Arial" w:cs="Arial" w:eastAsia="Arial" w:hAnsi="Arial"/>
          <w:sz w:val="22"/>
          <w:szCs w:val="22"/>
        </w:rPr>
        <w:t xml:space="preserve">3. La Ley 21.094 sobre Universidades del Estado.</w:t>
      </w:r>
    </w:p>
    <w:p>
      <w:pPr>
        <w:spacing w:after="100"/>
        <w:ind w:left="720"/>
      </w:pPr>
      <w:r>
        <w:rPr>
          <w:rFonts w:ascii="Arial" w:cs="Arial" w:eastAsia="Arial" w:hAnsi="Arial"/>
          <w:sz w:val="22"/>
          <w:szCs w:val="22"/>
        </w:rPr>
        <w:t xml:space="preserve">4. Resolución Exenta que aprueba las Políticas de Desarrollo Institucional.</w:t>
      </w:r>
    </w:p>
    <w:p>
      <w:pPr>
        <w:spacing w:after="200"/>
      </w:pPr>
    </w:p>
    <w:p>
      <w:pPr>
        <w:spacing w:after="200"/>
      </w:pPr>
      <w:r>
        <w:rPr>
          <w:rFonts w:ascii="Arial" w:cs="Arial" w:eastAsia="Arial" w:hAnsi="Arial"/>
          <w:b/>
          <w:bCs/>
          <w:sz w:val="24"/>
          <w:szCs w:val="24"/>
        </w:rPr>
        <w:t xml:space="preserve">CONSIDERANDO:</w:t>
      </w:r>
    </w:p>
    <w:p>
      <w:pPr>
        <w:spacing w:after="100"/>
        <w:ind w:left="720"/>
      </w:pPr>
      <w:r>
        <w:rPr>
          <w:rFonts w:ascii="Arial" w:cs="Arial" w:eastAsia="Arial" w:hAnsi="Arial"/>
          <w:sz w:val="22"/>
          <w:szCs w:val="22"/>
        </w:rPr>
        <w:t xml:space="preserve">Que es necesario contar con un cuerpo normativo que regule de manera integral las materias relativas a reglamento de estructuras académicas, en concordancia con el nuevo Estatuto de la Universidad;</w:t>
      </w:r>
    </w:p>
    <w:p>
      <w:pPr>
        <w:spacing w:after="100"/>
        <w:ind w:left="720"/>
      </w:pPr>
      <w:r>
        <w:rPr>
          <w:rFonts w:ascii="Arial" w:cs="Arial" w:eastAsia="Arial" w:hAnsi="Arial"/>
          <w:sz w:val="22"/>
          <w:szCs w:val="22"/>
        </w:rPr>
        <w:t xml:space="preserve">Que el Art. 56, 60-64 del Estatuto establece expresamente la obligación de dictar la normativa correspondiente;</w:t>
      </w:r>
    </w:p>
    <w:p>
      <w:pPr>
        <w:spacing w:after="100"/>
        <w:ind w:left="720"/>
      </w:pPr>
      <w:r>
        <w:rPr>
          <w:rFonts w:ascii="Arial" w:cs="Arial" w:eastAsia="Arial" w:hAnsi="Arial"/>
          <w:sz w:val="22"/>
          <w:szCs w:val="22"/>
        </w:rPr>
        <w:t xml:space="preserve">Que el Consejo Superior ha aprobado el presente reglamento en sesión de fecha [COMPLETAR];</w:t>
      </w:r>
    </w:p>
    <w:p>
      <w:pPr>
        <w:spacing w:after="400"/>
        <w:ind w:left="720"/>
      </w:pPr>
      <w:r>
        <w:rPr>
          <w:rFonts w:ascii="Arial" w:cs="Arial" w:eastAsia="Arial" w:hAnsi="Arial"/>
          <w:b/>
          <w:bCs/>
          <w:sz w:val="24"/>
          <w:szCs w:val="24"/>
        </w:rPr>
        <w:t xml:space="preserve">DECRETO:</w:t>
      </w:r>
    </w:p>
    <w:p>
      <w:pPr>
        <w:spacing w:after="200" w:before="300"/>
        <w:jc w:val="center"/>
      </w:pPr>
      <w:r>
        <w:rPr>
          <w:rFonts w:ascii="Arial" w:cs="Arial" w:eastAsia="Arial" w:hAnsi="Arial"/>
          <w:b/>
          <w:bCs/>
          <w:color w:val="003366"/>
          <w:sz w:val="26"/>
          <w:szCs w:val="26"/>
        </w:rPr>
        <w:t xml:space="preserve">TÍTULO 1</w:t>
      </w:r>
    </w:p>
    <w:p>
      <w:pPr>
        <w:spacing w:after="300"/>
        <w:jc w:val="center"/>
      </w:pPr>
      <w:r>
        <w:rPr>
          <w:rFonts w:ascii="Arial" w:cs="Arial" w:eastAsia="Arial" w:hAnsi="Arial"/>
          <w:b/>
          <w:bCs/>
          <w:color w:val="003366"/>
          <w:sz w:val="24"/>
          <w:szCs w:val="24"/>
        </w:rPr>
        <w:t xml:space="preserve">DISPOSICIONES GENERALES</w:t>
      </w:r>
    </w:p>
    <w:p>
      <w:pPr>
        <w:spacing w:after="80" w:before="200"/>
      </w:pPr>
      <w:r>
        <w:rPr>
          <w:rFonts w:ascii="Arial" w:cs="Arial" w:eastAsia="Arial" w:hAnsi="Arial"/>
          <w:b/>
          <w:bCs/>
          <w:sz w:val="22"/>
          <w:szCs w:val="22"/>
        </w:rPr>
        <w:t xml:space="preserve">Artículo 1°.- </w:t>
      </w:r>
      <w:r>
        <w:rPr>
          <w:rFonts w:ascii="Arial" w:cs="Arial" w:eastAsia="Arial" w:hAnsi="Arial"/>
          <w:b/>
          <w:bCs/>
          <w:i/>
          <w:iCs/>
          <w:color w:val="555555"/>
          <w:sz w:val="22"/>
          <w:szCs w:val="22"/>
        </w:rPr>
        <w:t xml:space="preserve">(Objeto) </w:t>
      </w:r>
      <w:r>
        <w:rPr>
          <w:rFonts w:ascii="Arial" w:cs="Arial" w:eastAsia="Arial" w:hAnsi="Arial"/>
          <w:sz w:val="22"/>
          <w:szCs w:val="22"/>
        </w:rPr>
        <w:t xml:space="preserve">El presente reglamento regula la creación, modificación, funcionamiento y cierre de las estructuras académicas de la Universidad de Magallanes, incluyendo Departamentos, Institutos y Centros de investigación, en conformidad con los artículos 56 y 60 a 64 del Estatuto.</w:t>
      </w:r>
    </w:p>
    <w:p>
      <w:pPr>
        <w:spacing w:after="80" w:before="200"/>
      </w:pPr>
      <w:r>
        <w:rPr>
          <w:rFonts w:ascii="Arial" w:cs="Arial" w:eastAsia="Arial" w:hAnsi="Arial"/>
          <w:b/>
          <w:bCs/>
          <w:sz w:val="22"/>
          <w:szCs w:val="22"/>
        </w:rPr>
        <w:t xml:space="preserve">Artículo 2°.- </w:t>
      </w:r>
      <w:r>
        <w:rPr>
          <w:rFonts w:ascii="Arial" w:cs="Arial" w:eastAsia="Arial" w:hAnsi="Arial"/>
          <w:b/>
          <w:bCs/>
          <w:i/>
          <w:iCs/>
          <w:color w:val="555555"/>
          <w:sz w:val="22"/>
          <w:szCs w:val="22"/>
        </w:rPr>
        <w:t xml:space="preserve">(Ámbito de aplicación) </w:t>
      </w:r>
      <w:r>
        <w:rPr>
          <w:rFonts w:ascii="Arial" w:cs="Arial" w:eastAsia="Arial" w:hAnsi="Arial"/>
          <w:sz w:val="22"/>
          <w:szCs w:val="22"/>
        </w:rPr>
        <w:t xml:space="preserve">Las disposiciones de este reglamento se aplican a todas las unidades académicas adscritas a las Facultades, así como a las unidades de investigación dependientes de la Vicerrectoría de Investigación.</w:t>
      </w:r>
    </w:p>
    <w:p>
      <w:r>
        <w:br w:type="page"/>
      </w:r>
    </w:p>
    <w:p>
      <w:pPr>
        <w:spacing w:after="200" w:before="300"/>
        <w:jc w:val="center"/>
      </w:pPr>
      <w:r>
        <w:rPr>
          <w:rFonts w:ascii="Arial" w:cs="Arial" w:eastAsia="Arial" w:hAnsi="Arial"/>
          <w:b/>
          <w:bCs/>
          <w:color w:val="003366"/>
          <w:sz w:val="26"/>
          <w:szCs w:val="26"/>
        </w:rPr>
        <w:t xml:space="preserve">TÍTULO 2</w:t>
      </w:r>
    </w:p>
    <w:p>
      <w:pPr>
        <w:spacing w:after="300"/>
        <w:jc w:val="center"/>
      </w:pPr>
      <w:r>
        <w:rPr>
          <w:rFonts w:ascii="Arial" w:cs="Arial" w:eastAsia="Arial" w:hAnsi="Arial"/>
          <w:b/>
          <w:bCs/>
          <w:color w:val="003366"/>
          <w:sz w:val="24"/>
          <w:szCs w:val="24"/>
        </w:rPr>
        <w:t xml:space="preserve">DE LOS DEPARTAMENTOS ACADÉMICOS</w:t>
      </w:r>
    </w:p>
    <w:p>
      <w:pPr>
        <w:spacing w:after="80" w:before="200"/>
      </w:pPr>
      <w:r>
        <w:rPr>
          <w:rFonts w:ascii="Arial" w:cs="Arial" w:eastAsia="Arial" w:hAnsi="Arial"/>
          <w:b/>
          <w:bCs/>
          <w:sz w:val="22"/>
          <w:szCs w:val="22"/>
        </w:rPr>
        <w:t xml:space="preserve">Artículo 3°.- </w:t>
      </w:r>
      <w:r>
        <w:rPr>
          <w:rFonts w:ascii="Arial" w:cs="Arial" w:eastAsia="Arial" w:hAnsi="Arial"/>
          <w:b/>
          <w:bCs/>
          <w:i/>
          <w:iCs/>
          <w:color w:val="555555"/>
          <w:sz w:val="22"/>
          <w:szCs w:val="22"/>
        </w:rPr>
        <w:t xml:space="preserve">(Definición) </w:t>
      </w:r>
      <w:r>
        <w:rPr>
          <w:rFonts w:ascii="Arial" w:cs="Arial" w:eastAsia="Arial" w:hAnsi="Arial"/>
          <w:sz w:val="22"/>
          <w:szCs w:val="22"/>
        </w:rPr>
        <w:t xml:space="preserve">Un Departamento es una unidad académica de carácter multidisciplinario, integrada por académicos de distintas disciplinas relacionadas, encargada de coordinar docencia, investigación y extensión en sus áreas de competencia.</w:t>
      </w:r>
    </w:p>
    <w:p>
      <w:pPr>
        <w:spacing w:after="80" w:before="200"/>
      </w:pPr>
      <w:r>
        <w:rPr>
          <w:rFonts w:ascii="Arial" w:cs="Arial" w:eastAsia="Arial" w:hAnsi="Arial"/>
          <w:b/>
          <w:bCs/>
          <w:sz w:val="22"/>
          <w:szCs w:val="22"/>
        </w:rPr>
        <w:t xml:space="preserve">Artículo 4°.- </w:t>
      </w:r>
      <w:r>
        <w:rPr>
          <w:rFonts w:ascii="Arial" w:cs="Arial" w:eastAsia="Arial" w:hAnsi="Arial"/>
          <w:b/>
          <w:bCs/>
          <w:i/>
          <w:iCs/>
          <w:color w:val="555555"/>
          <w:sz w:val="22"/>
          <w:szCs w:val="22"/>
        </w:rPr>
        <w:t xml:space="preserve">(Requisitos de creación) </w:t>
      </w:r>
      <w:r>
        <w:rPr>
          <w:rFonts w:ascii="Arial" w:cs="Arial" w:eastAsia="Arial" w:hAnsi="Arial"/>
          <w:sz w:val="22"/>
          <w:szCs w:val="22"/>
        </w:rPr>
        <w:t xml:space="preserve">Para crear un Departamento se requiere: a) Solicitud fundamentada del Decano de la Facultad; b) Evaluación por la Comisión Académica de la Facultad; c) Aprobación del Rector con pronunciamiento del Consejo Universitario; d) Al menos 8 académicos de jornada completa o equivalente.</w:t>
      </w:r>
    </w:p>
    <w:p>
      <w:pPr>
        <w:spacing w:after="80" w:before="200"/>
      </w:pPr>
      <w:r>
        <w:rPr>
          <w:rFonts w:ascii="Arial" w:cs="Arial" w:eastAsia="Arial" w:hAnsi="Arial"/>
          <w:b/>
          <w:bCs/>
          <w:sz w:val="22"/>
          <w:szCs w:val="22"/>
        </w:rPr>
        <w:t xml:space="preserve">Artículo 5°.- </w:t>
      </w:r>
      <w:r>
        <w:rPr>
          <w:rFonts w:ascii="Arial" w:cs="Arial" w:eastAsia="Arial" w:hAnsi="Arial"/>
          <w:b/>
          <w:bCs/>
          <w:i/>
          <w:iCs/>
          <w:color w:val="555555"/>
          <w:sz w:val="22"/>
          <w:szCs w:val="22"/>
        </w:rPr>
        <w:t xml:space="preserve">(Organización) </w:t>
      </w:r>
      <w:r>
        <w:rPr>
          <w:rFonts w:ascii="Arial" w:cs="Arial" w:eastAsia="Arial" w:hAnsi="Arial"/>
          <w:sz w:val="22"/>
          <w:szCs w:val="22"/>
        </w:rPr>
        <w:t xml:space="preserve">Cada Departamento estará dirigido por un Jefe Departamental designado por el Decano previo concurso, con duración de cuatro años renovable una vez. El Jefe será responsable ante el Decano de la gestión académica, presupuestaria y administrativa del Departamento.</w:t>
      </w:r>
    </w:p>
    <w:p>
      <w:r>
        <w:br w:type="page"/>
      </w:r>
    </w:p>
    <w:p>
      <w:pPr>
        <w:spacing w:after="200" w:before="300"/>
        <w:jc w:val="center"/>
      </w:pPr>
      <w:r>
        <w:rPr>
          <w:rFonts w:ascii="Arial" w:cs="Arial" w:eastAsia="Arial" w:hAnsi="Arial"/>
          <w:b/>
          <w:bCs/>
          <w:color w:val="003366"/>
          <w:sz w:val="26"/>
          <w:szCs w:val="26"/>
        </w:rPr>
        <w:t xml:space="preserve">TÍTULO 3</w:t>
      </w:r>
    </w:p>
    <w:p>
      <w:pPr>
        <w:spacing w:after="300"/>
        <w:jc w:val="center"/>
      </w:pPr>
      <w:r>
        <w:rPr>
          <w:rFonts w:ascii="Arial" w:cs="Arial" w:eastAsia="Arial" w:hAnsi="Arial"/>
          <w:b/>
          <w:bCs/>
          <w:color w:val="003366"/>
          <w:sz w:val="24"/>
          <w:szCs w:val="24"/>
        </w:rPr>
        <w:t xml:space="preserve">DE LOS INSTITUTOS ACADÉMICOS</w:t>
      </w:r>
    </w:p>
    <w:p>
      <w:pPr>
        <w:spacing w:after="80" w:before="200"/>
      </w:pPr>
      <w:r>
        <w:rPr>
          <w:rFonts w:ascii="Arial" w:cs="Arial" w:eastAsia="Arial" w:hAnsi="Arial"/>
          <w:b/>
          <w:bCs/>
          <w:sz w:val="22"/>
          <w:szCs w:val="22"/>
        </w:rPr>
        <w:t xml:space="preserve">Artículo 6°.- </w:t>
      </w:r>
      <w:r>
        <w:rPr>
          <w:rFonts w:ascii="Arial" w:cs="Arial" w:eastAsia="Arial" w:hAnsi="Arial"/>
          <w:b/>
          <w:bCs/>
          <w:i/>
          <w:iCs/>
          <w:color w:val="555555"/>
          <w:sz w:val="22"/>
          <w:szCs w:val="22"/>
        </w:rPr>
        <w:t xml:space="preserve">(Definición) </w:t>
      </w:r>
      <w:r>
        <w:rPr>
          <w:rFonts w:ascii="Arial" w:cs="Arial" w:eastAsia="Arial" w:hAnsi="Arial"/>
          <w:sz w:val="22"/>
          <w:szCs w:val="22"/>
        </w:rPr>
        <w:t xml:space="preserve">Un Instituto es una unidad de investigación especializada en un área disciplinaria específica, cuya finalidad principal es la generación, difusión y aplicación del conocimiento científico.</w:t>
      </w:r>
    </w:p>
    <w:p>
      <w:pPr>
        <w:spacing w:after="80" w:before="200"/>
      </w:pPr>
      <w:r>
        <w:rPr>
          <w:rFonts w:ascii="Arial" w:cs="Arial" w:eastAsia="Arial" w:hAnsi="Arial"/>
          <w:b/>
          <w:bCs/>
          <w:sz w:val="22"/>
          <w:szCs w:val="22"/>
        </w:rPr>
        <w:t xml:space="preserve">Artículo 7°.- </w:t>
      </w:r>
      <w:r>
        <w:rPr>
          <w:rFonts w:ascii="Arial" w:cs="Arial" w:eastAsia="Arial" w:hAnsi="Arial"/>
          <w:b/>
          <w:bCs/>
          <w:i/>
          <w:iCs/>
          <w:color w:val="555555"/>
          <w:sz w:val="22"/>
          <w:szCs w:val="22"/>
        </w:rPr>
        <w:t xml:space="preserve">(Creación y gestión) </w:t>
      </w:r>
      <w:r>
        <w:rPr>
          <w:rFonts w:ascii="Arial" w:cs="Arial" w:eastAsia="Arial" w:hAnsi="Arial"/>
          <w:sz w:val="22"/>
          <w:szCs w:val="22"/>
        </w:rPr>
        <w:t xml:space="preserve">Los Institutos se crean por resolución del Rector con aprobación del Consejo Universitario, a propuesta de la Vicerrectoría de Investigación. Requieren mínimamente: a) Un Director con grado de Doctor; b) Al menos 5 académicos con dedicación en investigación; c) Líneas de investigación explícitas; d) Financiamiento comprometido.</w:t>
      </w:r>
    </w:p>
    <w:p>
      <w:pPr>
        <w:spacing w:after="80" w:before="200"/>
      </w:pPr>
      <w:r>
        <w:rPr>
          <w:rFonts w:ascii="Arial" w:cs="Arial" w:eastAsia="Arial" w:hAnsi="Arial"/>
          <w:b/>
          <w:bCs/>
          <w:sz w:val="22"/>
          <w:szCs w:val="22"/>
        </w:rPr>
        <w:t xml:space="preserve">Artículo 8°.- </w:t>
      </w:r>
      <w:r>
        <w:rPr>
          <w:rFonts w:ascii="Arial" w:cs="Arial" w:eastAsia="Arial" w:hAnsi="Arial"/>
          <w:b/>
          <w:bCs/>
          <w:i/>
          <w:iCs/>
          <w:color w:val="555555"/>
          <w:sz w:val="22"/>
          <w:szCs w:val="22"/>
        </w:rPr>
        <w:t xml:space="preserve">(Funcionamiento) </w:t>
      </w:r>
      <w:r>
        <w:rPr>
          <w:rFonts w:ascii="Arial" w:cs="Arial" w:eastAsia="Arial" w:hAnsi="Arial"/>
          <w:sz w:val="22"/>
          <w:szCs w:val="22"/>
        </w:rPr>
        <w:t xml:space="preserve">El Instituto contará con un Consejo Académico integrado por el Director, los investigadores principales y representantes de organismos colaboradores. Sesionará al menos trimestralmente para evaluar resultados, definir prioridades y evaluar desempeño investigativo.</w:t>
      </w:r>
    </w:p>
    <w:p>
      <w:r>
        <w:br w:type="page"/>
      </w:r>
    </w:p>
    <w:p>
      <w:pPr>
        <w:spacing w:after="200" w:before="300"/>
        <w:jc w:val="center"/>
      </w:pPr>
      <w:r>
        <w:rPr>
          <w:rFonts w:ascii="Arial" w:cs="Arial" w:eastAsia="Arial" w:hAnsi="Arial"/>
          <w:b/>
          <w:bCs/>
          <w:color w:val="003366"/>
          <w:sz w:val="26"/>
          <w:szCs w:val="26"/>
        </w:rPr>
        <w:t xml:space="preserve">TÍTULO 4</w:t>
      </w:r>
    </w:p>
    <w:p>
      <w:pPr>
        <w:spacing w:after="300"/>
        <w:jc w:val="center"/>
      </w:pPr>
      <w:r>
        <w:rPr>
          <w:rFonts w:ascii="Arial" w:cs="Arial" w:eastAsia="Arial" w:hAnsi="Arial"/>
          <w:b/>
          <w:bCs/>
          <w:color w:val="003366"/>
          <w:sz w:val="24"/>
          <w:szCs w:val="24"/>
        </w:rPr>
        <w:t xml:space="preserve">DE LOS CENTROS DE INVESTIGACIÓN</w:t>
      </w:r>
    </w:p>
    <w:p>
      <w:pPr>
        <w:spacing w:after="80" w:before="200"/>
      </w:pPr>
      <w:r>
        <w:rPr>
          <w:rFonts w:ascii="Arial" w:cs="Arial" w:eastAsia="Arial" w:hAnsi="Arial"/>
          <w:b/>
          <w:bCs/>
          <w:sz w:val="22"/>
          <w:szCs w:val="22"/>
        </w:rPr>
        <w:t xml:space="preserve">Artículo 9°.- </w:t>
      </w:r>
      <w:r>
        <w:rPr>
          <w:rFonts w:ascii="Arial" w:cs="Arial" w:eastAsia="Arial" w:hAnsi="Arial"/>
          <w:b/>
          <w:bCs/>
          <w:i/>
          <w:iCs/>
          <w:color w:val="555555"/>
          <w:sz w:val="22"/>
          <w:szCs w:val="22"/>
        </w:rPr>
        <w:t xml:space="preserve">(Naturaleza) </w:t>
      </w:r>
      <w:r>
        <w:rPr>
          <w:rFonts w:ascii="Arial" w:cs="Arial" w:eastAsia="Arial" w:hAnsi="Arial"/>
          <w:sz w:val="22"/>
          <w:szCs w:val="22"/>
        </w:rPr>
        <w:t xml:space="preserve">Los Centros de Investigación son unidades que agrupan investigadores en torno a problemáticas específicas de relevancia institucional y social, promoviendo investigación multidisciplinaria y colaborativa.</w:t>
      </w:r>
    </w:p>
    <w:p>
      <w:pPr>
        <w:spacing w:after="80" w:before="200"/>
      </w:pPr>
      <w:r>
        <w:rPr>
          <w:rFonts w:ascii="Arial" w:cs="Arial" w:eastAsia="Arial" w:hAnsi="Arial"/>
          <w:b/>
          <w:bCs/>
          <w:sz w:val="22"/>
          <w:szCs w:val="22"/>
        </w:rPr>
        <w:t xml:space="preserve">Artículo 10°.- </w:t>
      </w:r>
      <w:r>
        <w:rPr>
          <w:rFonts w:ascii="Arial" w:cs="Arial" w:eastAsia="Arial" w:hAnsi="Arial"/>
          <w:b/>
          <w:bCs/>
          <w:i/>
          <w:iCs/>
          <w:color w:val="555555"/>
          <w:sz w:val="22"/>
          <w:szCs w:val="22"/>
        </w:rPr>
        <w:t xml:space="preserve">(Requisitos de creación) </w:t>
      </w:r>
      <w:r>
        <w:rPr>
          <w:rFonts w:ascii="Arial" w:cs="Arial" w:eastAsia="Arial" w:hAnsi="Arial"/>
          <w:sz w:val="22"/>
          <w:szCs w:val="22"/>
        </w:rPr>
        <w:t xml:space="preserve">Para crear un Centro de Investigación se requiere: a) Solicitud fundamentada a la Vicerrectoría de Investigación; b) Que agrupe al menos 3 investigadores principales con grado de Doctor; c) Proyectos de investigación financiados; d) Aprobación del Consejo Universitario.</w:t>
      </w:r>
    </w:p>
    <w:p>
      <w:pPr>
        <w:spacing w:after="80" w:before="200"/>
      </w:pPr>
      <w:r>
        <w:rPr>
          <w:rFonts w:ascii="Arial" w:cs="Arial" w:eastAsia="Arial" w:hAnsi="Arial"/>
          <w:b/>
          <w:bCs/>
          <w:sz w:val="22"/>
          <w:szCs w:val="22"/>
        </w:rPr>
        <w:t xml:space="preserve">Artículo 11°.- </w:t>
      </w:r>
      <w:r>
        <w:rPr>
          <w:rFonts w:ascii="Arial" w:cs="Arial" w:eastAsia="Arial" w:hAnsi="Arial"/>
          <w:b/>
          <w:bCs/>
          <w:i/>
          <w:iCs/>
          <w:color w:val="555555"/>
          <w:sz w:val="22"/>
          <w:szCs w:val="22"/>
        </w:rPr>
        <w:t xml:space="preserve">(Duración) </w:t>
      </w:r>
      <w:r>
        <w:rPr>
          <w:rFonts w:ascii="Arial" w:cs="Arial" w:eastAsia="Arial" w:hAnsi="Arial"/>
          <w:sz w:val="22"/>
          <w:szCs w:val="22"/>
        </w:rPr>
        <w:t xml:space="preserve">Los Centros de Investigación tendrán una duración de cuatro años, renovables por igual período previa evaluación de desempeño realizada por comisión externa designada por la Vicerrectoría de Investigación.</w:t>
      </w:r>
    </w:p>
    <w:p>
      <w:r>
        <w:br w:type="page"/>
      </w:r>
    </w:p>
    <w:p>
      <w:pPr>
        <w:spacing w:after="200" w:before="300"/>
        <w:jc w:val="center"/>
      </w:pPr>
      <w:r>
        <w:rPr>
          <w:rFonts w:ascii="Arial" w:cs="Arial" w:eastAsia="Arial" w:hAnsi="Arial"/>
          <w:b/>
          <w:bCs/>
          <w:color w:val="003366"/>
          <w:sz w:val="26"/>
          <w:szCs w:val="26"/>
        </w:rPr>
        <w:t xml:space="preserve">TÍTULO 5</w:t>
      </w:r>
    </w:p>
    <w:p>
      <w:pPr>
        <w:spacing w:after="300"/>
        <w:jc w:val="center"/>
      </w:pPr>
      <w:r>
        <w:rPr>
          <w:rFonts w:ascii="Arial" w:cs="Arial" w:eastAsia="Arial" w:hAnsi="Arial"/>
          <w:b/>
          <w:bCs/>
          <w:color w:val="003366"/>
          <w:sz w:val="24"/>
          <w:szCs w:val="24"/>
        </w:rPr>
        <w:t xml:space="preserve">DE LA MODIFICACIÓN Y CIERRE</w:t>
      </w:r>
    </w:p>
    <w:p>
      <w:pPr>
        <w:spacing w:after="80" w:before="200"/>
      </w:pPr>
      <w:r>
        <w:rPr>
          <w:rFonts w:ascii="Arial" w:cs="Arial" w:eastAsia="Arial" w:hAnsi="Arial"/>
          <w:b/>
          <w:bCs/>
          <w:sz w:val="22"/>
          <w:szCs w:val="22"/>
        </w:rPr>
        <w:t xml:space="preserve">Artículo 12°.- </w:t>
      </w:r>
      <w:r>
        <w:rPr>
          <w:rFonts w:ascii="Arial" w:cs="Arial" w:eastAsia="Arial" w:hAnsi="Arial"/>
          <w:b/>
          <w:bCs/>
          <w:i/>
          <w:iCs/>
          <w:color w:val="555555"/>
          <w:sz w:val="22"/>
          <w:szCs w:val="22"/>
        </w:rPr>
        <w:t xml:space="preserve">(Modificación de estructuras) </w:t>
      </w:r>
      <w:r>
        <w:rPr>
          <w:rFonts w:ascii="Arial" w:cs="Arial" w:eastAsia="Arial" w:hAnsi="Arial"/>
          <w:sz w:val="22"/>
          <w:szCs w:val="22"/>
        </w:rPr>
        <w:t xml:space="preserve">Toda modificación de estructura, competencias o responsabilidades de Departamentos, Institutos o Centros requiere solicitud fundamentada, evaluación del órgano competente y aprobación del Rector con pronunciamiento del Consejo Universitario.</w:t>
      </w:r>
    </w:p>
    <w:p>
      <w:pPr>
        <w:spacing w:after="80" w:before="200"/>
      </w:pPr>
      <w:r>
        <w:rPr>
          <w:rFonts w:ascii="Arial" w:cs="Arial" w:eastAsia="Arial" w:hAnsi="Arial"/>
          <w:b/>
          <w:bCs/>
          <w:sz w:val="22"/>
          <w:szCs w:val="22"/>
        </w:rPr>
        <w:t xml:space="preserve">Artículo 13°.- </w:t>
      </w:r>
      <w:r>
        <w:rPr>
          <w:rFonts w:ascii="Arial" w:cs="Arial" w:eastAsia="Arial" w:hAnsi="Arial"/>
          <w:b/>
          <w:bCs/>
          <w:i/>
          <w:iCs/>
          <w:color w:val="555555"/>
          <w:sz w:val="22"/>
          <w:szCs w:val="22"/>
        </w:rPr>
        <w:t xml:space="preserve">(Procedimiento de cierre) </w:t>
      </w:r>
      <w:r>
        <w:rPr>
          <w:rFonts w:ascii="Arial" w:cs="Arial" w:eastAsia="Arial" w:hAnsi="Arial"/>
          <w:sz w:val="22"/>
          <w:szCs w:val="22"/>
        </w:rPr>
        <w:t xml:space="preserve">El cierre de cualquier unidad académica procede cuando: a) Ha incumplido sus funciones por más de dos períodos consecutivos; b) Ya no existe viabilidad académica o financiera; c) Ha sido evaluada negativamente por expertos externos. Se otorga plazo de un año para reorganizar o para que personal se reubique.</w:t>
      </w:r>
    </w:p>
    <w:p>
      <w:pPr>
        <w:spacing w:after="80" w:before="200"/>
      </w:pPr>
      <w:r>
        <w:rPr>
          <w:rFonts w:ascii="Arial" w:cs="Arial" w:eastAsia="Arial" w:hAnsi="Arial"/>
          <w:b/>
          <w:bCs/>
          <w:sz w:val="22"/>
          <w:szCs w:val="22"/>
        </w:rPr>
        <w:t xml:space="preserve">Artículo 14°.- </w:t>
      </w:r>
      <w:r>
        <w:rPr>
          <w:rFonts w:ascii="Arial" w:cs="Arial" w:eastAsia="Arial" w:hAnsi="Arial"/>
          <w:b/>
          <w:bCs/>
          <w:i/>
          <w:iCs/>
          <w:color w:val="555555"/>
          <w:sz w:val="22"/>
          <w:szCs w:val="22"/>
        </w:rPr>
        <w:t xml:space="preserve">(Protección de derechos) </w:t>
      </w:r>
      <w:r>
        <w:rPr>
          <w:rFonts w:ascii="Arial" w:cs="Arial" w:eastAsia="Arial" w:hAnsi="Arial"/>
          <w:sz w:val="22"/>
          <w:szCs w:val="22"/>
        </w:rPr>
        <w:t xml:space="preserve">El cierre de una unidad académica no afecta los derechos laborales de sus académicos. Se garantiza reubicación en otras unidades según competencias, o acceso a beneficios de salida conforme a normativa laboral aplicable.</w:t>
      </w:r>
    </w:p>
    <w:p>
      <w:pPr>
        <w:spacing w:before="800"/>
      </w:pPr>
    </w:p>
    <w:p>
      <w:pPr>
        <w:pBdr>
          <w:top w:val="single" w:color="999999" w:sz="1"/>
        </w:pBdr>
        <w:spacing w:after="0"/>
        <w:jc w:val="center"/>
      </w:pPr>
    </w:p>
    <w:p>
      <w:pPr>
        <w:spacing w:after="0" w:before="200"/>
        <w:jc w:val="center"/>
      </w:pPr>
      <w:r>
        <w:rPr>
          <w:rFonts w:ascii="Arial" w:cs="Arial" w:eastAsia="Arial" w:hAnsi="Arial"/>
          <w:b/>
          <w:bCs/>
          <w:sz w:val="20"/>
          <w:szCs w:val="20"/>
        </w:rPr>
        <w:t xml:space="preserve">ANÓTESE, COMUNÍQUESE Y PUBLÍQUESE</w:t>
      </w:r>
    </w:p>
    <w:p>
      <w:pPr>
        <w:spacing w:after="0" w:before="600"/>
        <w:jc w:val="center"/>
      </w:pPr>
      <w:r>
        <w:rPr>
          <w:rFonts w:ascii="Arial" w:cs="Arial" w:eastAsia="Arial" w:hAnsi="Arial"/>
          <w:color w:val="999999"/>
          <w:sz w:val="20"/>
          <w:szCs w:val="20"/>
        </w:rPr>
        <w:t xml:space="preserve">_______________________________</w:t>
      </w:r>
    </w:p>
    <w:p>
      <w:pPr>
        <w:spacing w:after="0"/>
        <w:jc w:val="center"/>
      </w:pPr>
      <w:r>
        <w:rPr>
          <w:rFonts w:ascii="Arial" w:cs="Arial" w:eastAsia="Arial" w:hAnsi="Arial"/>
          <w:b/>
          <w:bCs/>
          <w:sz w:val="20"/>
          <w:szCs w:val="20"/>
        </w:rPr>
        <w:t xml:space="preserve">RECTOR(A)</w:t>
      </w:r>
    </w:p>
    <w:p>
      <w:pPr>
        <w:spacing w:after="0"/>
        <w:jc w:val="center"/>
      </w:pPr>
      <w:r>
        <w:rPr>
          <w:rFonts w:ascii="Arial" w:cs="Arial" w:eastAsia="Arial" w:hAnsi="Arial"/>
          <w:color w:val="666666"/>
          <w:sz w:val="18"/>
          <w:szCs w:val="18"/>
        </w:rPr>
        <w:t xml:space="preserve">Universidad de Magallanes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999999"/>
        <w:sz w:val="16"/>
        <w:szCs w:val="16"/>
      </w:rPr>
      <w:t xml:space="preserve">BORRADOR — Sujeto a revisión y aprobación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UMAG — Reglamento de Estructuras Académicas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28"/>
      <w:szCs w:val="28"/>
    </w:rPr>
  </w:style>
  <w:style w:type="paragraph" w:styleId="Heading2">
    <w:name w:val="Heading 2"/>
    <w:basedOn w:val="Normal"/>
    <w:next w:val="Normal"/>
    <w:qFormat/>
    <w:pPr>
      <w:spacing w:after="18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2026-04-04T19:45:09.618Z</dcterms:created>
  <dcterms:modified xsi:type="dcterms:W3CDTF">2026-04-04T19:45:09.619Z</dcterms:modified>
</cp:coreProperties>
</file>

<file path=docProps/custom.xml><?xml version="1.0" encoding="utf-8"?>
<Properties xmlns="http://schemas.openxmlformats.org/officeDocument/2006/custom-properties" xmlns:vt="http://schemas.openxmlformats.org/officeDocument/2006/docPropsVTypes"/>
</file>