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8"/>
          <w:szCs w:val="28"/>
        </w:rPr>
        <w:t xml:space="preserve">UNIVERSIDAD DE MAGALLANES</w:t>
      </w:r>
    </w:p>
    <w:p>
      <w:pPr>
        <w:spacing w:after="200"/>
        <w:jc w:val="center"/>
      </w:pPr>
      <w:r>
        <w:rPr>
          <w:rFonts w:ascii="Arial" w:cs="Arial" w:eastAsia="Arial" w:hAnsi="Arial"/>
          <w:color w:val="666666"/>
          <w:sz w:val="20"/>
          <w:szCs w:val="20"/>
        </w:rPr>
        <w:t xml:space="preserve">Punta Arenas, Chile</w:t>
      </w:r>
    </w:p>
    <w:p>
      <w:pPr>
        <w:pBdr>
          <w:bottom w:val="single" w:color="003366" w:sz="6"/>
        </w:pBdr>
        <w:spacing w:after="0"/>
        <w:jc w:val="center"/>
      </w:pPr>
    </w:p>
    <w:p>
      <w:pPr>
        <w:spacing w:after="400"/>
      </w:pPr>
    </w:p>
    <w:p>
      <w:pPr>
        <w:spacing w:after="100"/>
        <w:jc w:val="center"/>
      </w:pPr>
      <w:r>
        <w:rPr>
          <w:rFonts w:ascii="Arial" w:cs="Arial" w:eastAsia="Arial" w:hAnsi="Arial"/>
          <w:b/>
          <w:bCs/>
          <w:color w:val="CC0000"/>
          <w:sz w:val="24"/>
          <w:szCs w:val="24"/>
        </w:rPr>
        <w:t xml:space="preserve">BORRADOR</w:t>
      </w:r>
    </w:p>
    <w:p>
      <w:pPr>
        <w:spacing w:after="400"/>
        <w:jc w:val="center"/>
      </w:pPr>
      <w:r>
        <w:rPr>
          <w:rFonts w:ascii="Arial" w:cs="Arial" w:eastAsia="Arial" w:hAnsi="Arial"/>
          <w:b/>
          <w:bCs/>
          <w:sz w:val="32"/>
          <w:szCs w:val="32"/>
        </w:rPr>
        <w:t xml:space="preserve">REGLAMENTO DEL COMITÉ DE ASEGURAMIENTO DE LA CALIDAD</w:t>
      </w:r>
    </w:p>
    <w:p>
      <w:pPr>
        <w:spacing w:after="60"/>
        <w:ind w:left="720"/>
      </w:pPr>
      <w:r>
        <w:rPr>
          <w:rFonts w:ascii="Arial" w:cs="Arial" w:eastAsia="Arial" w:hAnsi="Arial"/>
          <w:b/>
          <w:bCs/>
          <w:color w:val="003366"/>
          <w:sz w:val="20"/>
          <w:szCs w:val="20"/>
        </w:rPr>
        <w:t xml:space="preserve">Fundamento estatutario: </w:t>
      </w:r>
      <w:r>
        <w:rPr>
          <w:rFonts w:ascii="Arial" w:cs="Arial" w:eastAsia="Arial" w:hAnsi="Arial"/>
          <w:sz w:val="20"/>
          <w:szCs w:val="20"/>
        </w:rPr>
        <w:t xml:space="preserve">Art. 51-52, 54</w:t>
      </w:r>
    </w:p>
    <w:p>
      <w:pPr>
        <w:spacing w:after="60"/>
        <w:ind w:left="720"/>
      </w:pPr>
      <w:r>
        <w:rPr>
          <w:rFonts w:ascii="Arial" w:cs="Arial" w:eastAsia="Arial" w:hAnsi="Arial"/>
          <w:b/>
          <w:bCs/>
          <w:color w:val="003366"/>
          <w:sz w:val="20"/>
          <w:szCs w:val="20"/>
        </w:rPr>
        <w:t xml:space="preserve">Responsable: </w:t>
      </w:r>
      <w:r>
        <w:rPr>
          <w:rFonts w:ascii="Arial" w:cs="Arial" w:eastAsia="Arial" w:hAnsi="Arial"/>
          <w:sz w:val="20"/>
          <w:szCs w:val="20"/>
        </w:rPr>
        <w:t xml:space="preserve">Dir.AC</w:t>
      </w:r>
    </w:p>
    <w:p>
      <w:pPr>
        <w:spacing w:after="60"/>
        <w:ind w:left="720"/>
      </w:pPr>
      <w:r>
        <w:rPr>
          <w:rFonts w:ascii="Arial" w:cs="Arial" w:eastAsia="Arial" w:hAnsi="Arial"/>
          <w:b/>
          <w:bCs/>
          <w:color w:val="003366"/>
          <w:sz w:val="20"/>
          <w:szCs w:val="20"/>
        </w:rPr>
        <w:t xml:space="preserve">Aprobación requerida: </w:t>
      </w:r>
      <w:r>
        <w:rPr>
          <w:rFonts w:ascii="Arial" w:cs="Arial" w:eastAsia="Arial" w:hAnsi="Arial"/>
          <w:sz w:val="20"/>
          <w:szCs w:val="20"/>
        </w:rPr>
        <w:t xml:space="preserve">Consejo Superior / Consejo Universitario</w:t>
      </w:r>
    </w:p>
    <w:p>
      <w:pPr>
        <w:spacing w:after="400"/>
      </w:pPr>
    </w:p>
    <w:p>
      <w:pPr>
        <w:spacing w:after="200"/>
      </w:pPr>
      <w:r>
        <w:rPr>
          <w:rFonts w:ascii="Arial" w:cs="Arial" w:eastAsia="Arial" w:hAnsi="Arial"/>
          <w:b/>
          <w:bCs/>
          <w:sz w:val="24"/>
          <w:szCs w:val="24"/>
        </w:rPr>
        <w:t xml:space="preserve">VISTOS:</w:t>
      </w:r>
    </w:p>
    <w:p>
      <w:pPr>
        <w:spacing w:after="100"/>
        <w:ind w:left="720"/>
      </w:pPr>
      <w:r>
        <w:rPr>
          <w:rFonts w:ascii="Arial" w:cs="Arial" w:eastAsia="Arial" w:hAnsi="Arial"/>
          <w:sz w:val="22"/>
          <w:szCs w:val="22"/>
        </w:rPr>
        <w:t xml:space="preserve">1. El DFL Núm. 27, de 2024, del Estatuto de la Universidad de Magallanes.</w:t>
      </w:r>
    </w:p>
    <w:p>
      <w:pPr>
        <w:spacing w:after="100"/>
        <w:ind w:left="720"/>
      </w:pPr>
      <w:r>
        <w:rPr>
          <w:rFonts w:ascii="Arial" w:cs="Arial" w:eastAsia="Arial" w:hAnsi="Arial"/>
          <w:sz w:val="22"/>
          <w:szCs w:val="22"/>
        </w:rPr>
        <w:t xml:space="preserve">2. Los artículos 51, 52 y 54 del Estatuto sobre Aseguramiento de la Calidad.</w:t>
      </w:r>
    </w:p>
    <w:p>
      <w:pPr>
        <w:spacing w:after="100"/>
        <w:ind w:left="720"/>
      </w:pPr>
      <w:r>
        <w:rPr>
          <w:rFonts w:ascii="Arial" w:cs="Arial" w:eastAsia="Arial" w:hAnsi="Arial"/>
          <w:sz w:val="22"/>
          <w:szCs w:val="22"/>
        </w:rPr>
        <w:t xml:space="preserve">3. La Ley 21.091 sobre Educación Superior.</w:t>
      </w:r>
    </w:p>
    <w:p>
      <w:pPr>
        <w:spacing w:after="100"/>
        <w:ind w:left="720"/>
      </w:pPr>
      <w:r>
        <w:rPr>
          <w:rFonts w:ascii="Arial" w:cs="Arial" w:eastAsia="Arial" w:hAnsi="Arial"/>
          <w:sz w:val="22"/>
          <w:szCs w:val="22"/>
        </w:rPr>
        <w:t xml:space="preserve">4. Los Estándares de Aseguramiento de Calidad en Educación Superior aplicables en Chile.</w:t>
      </w:r>
    </w:p>
    <w:p>
      <w:pPr>
        <w:spacing w:after="200"/>
      </w:pPr>
    </w:p>
    <w:p>
      <w:pPr>
        <w:spacing w:after="200"/>
      </w:pPr>
      <w:r>
        <w:rPr>
          <w:rFonts w:ascii="Arial" w:cs="Arial" w:eastAsia="Arial" w:hAnsi="Arial"/>
          <w:b/>
          <w:bCs/>
          <w:sz w:val="24"/>
          <w:szCs w:val="24"/>
        </w:rPr>
        <w:t xml:space="preserve">CONSIDERANDO:</w:t>
      </w:r>
    </w:p>
    <w:p>
      <w:pPr>
        <w:spacing w:after="100"/>
        <w:ind w:left="720"/>
      </w:pPr>
      <w:r>
        <w:rPr>
          <w:rFonts w:ascii="Arial" w:cs="Arial" w:eastAsia="Arial" w:hAnsi="Arial"/>
          <w:sz w:val="22"/>
          <w:szCs w:val="22"/>
        </w:rPr>
        <w:t xml:space="preserve">Que es necesario contar con un cuerpo normativo que regule de manera integral las materias relativas a reglamento del comité de aseguramiento de la calidad, en concordancia con el nuevo Estatuto de la Universidad;</w:t>
      </w:r>
    </w:p>
    <w:p>
      <w:pPr>
        <w:spacing w:after="100"/>
        <w:ind w:left="720"/>
      </w:pPr>
      <w:r>
        <w:rPr>
          <w:rFonts w:ascii="Arial" w:cs="Arial" w:eastAsia="Arial" w:hAnsi="Arial"/>
          <w:sz w:val="22"/>
          <w:szCs w:val="22"/>
        </w:rPr>
        <w:t xml:space="preserve">Que el Art. 51-52, 54 del Estatuto establece expresamente la obligación de dictar la normativa correspondiente;</w:t>
      </w:r>
    </w:p>
    <w:p>
      <w:pPr>
        <w:spacing w:after="100"/>
        <w:ind w:left="720"/>
      </w:pPr>
      <w:r>
        <w:rPr>
          <w:rFonts w:ascii="Arial" w:cs="Arial" w:eastAsia="Arial" w:hAnsi="Arial"/>
          <w:sz w:val="22"/>
          <w:szCs w:val="22"/>
        </w:rPr>
        <w:t xml:space="preserve">Que el Consejo Superior ha aprobado el presente reglamento en sesión de fecha [COMPLETAR];</w:t>
      </w:r>
    </w:p>
    <w:p>
      <w:pPr>
        <w:spacing w:after="400"/>
        <w:ind w:left="720"/>
      </w:pPr>
      <w:r>
        <w:rPr>
          <w:rFonts w:ascii="Arial" w:cs="Arial" w:eastAsia="Arial" w:hAnsi="Arial"/>
          <w:b/>
          <w:bCs/>
          <w:sz w:val="24"/>
          <w:szCs w:val="24"/>
        </w:rPr>
        <w:t xml:space="preserve">DECRETO:</w:t>
      </w:r>
    </w:p>
    <w:p>
      <w:pPr>
        <w:spacing w:after="200" w:before="300"/>
        <w:jc w:val="center"/>
      </w:pPr>
      <w:r>
        <w:rPr>
          <w:rFonts w:ascii="Arial" w:cs="Arial" w:eastAsia="Arial" w:hAnsi="Arial"/>
          <w:b/>
          <w:bCs/>
          <w:color w:val="003366"/>
          <w:sz w:val="26"/>
          <w:szCs w:val="26"/>
        </w:rPr>
        <w:t xml:space="preserve">TÍTULO 1</w:t>
      </w:r>
    </w:p>
    <w:p>
      <w:pPr>
        <w:spacing w:after="300"/>
        <w:jc w:val="center"/>
      </w:pPr>
      <w:r>
        <w:rPr>
          <w:rFonts w:ascii="Arial" w:cs="Arial" w:eastAsia="Arial" w:hAnsi="Arial"/>
          <w:b/>
          <w:bCs/>
          <w:color w:val="003366"/>
          <w:sz w:val="24"/>
          <w:szCs w:val="24"/>
        </w:rPr>
        <w:t xml:space="preserve">DISPOSICIONES GENERALES</w:t>
      </w:r>
    </w:p>
    <w:p>
      <w:pPr>
        <w:spacing w:after="80" w:before="200"/>
      </w:pPr>
      <w:r>
        <w:rPr>
          <w:rFonts w:ascii="Arial" w:cs="Arial" w:eastAsia="Arial" w:hAnsi="Arial"/>
          <w:b/>
          <w:bCs/>
          <w:sz w:val="22"/>
          <w:szCs w:val="22"/>
        </w:rPr>
        <w:t xml:space="preserve">Artículo 1°.- </w:t>
      </w:r>
      <w:r>
        <w:rPr>
          <w:rFonts w:ascii="Arial" w:cs="Arial" w:eastAsia="Arial" w:hAnsi="Arial"/>
          <w:b/>
          <w:bCs/>
          <w:i/>
          <w:iCs/>
          <w:color w:val="555555"/>
          <w:sz w:val="22"/>
          <w:szCs w:val="22"/>
        </w:rPr>
        <w:t xml:space="preserve">(Objeto) </w:t>
      </w:r>
      <w:r>
        <w:rPr>
          <w:rFonts w:ascii="Arial" w:cs="Arial" w:eastAsia="Arial" w:hAnsi="Arial"/>
          <w:sz w:val="22"/>
          <w:szCs w:val="22"/>
        </w:rPr>
        <w:t xml:space="preserve">El presente reglamento regula la organización, composición, funciones y procedimientos del Comité de Aseguramiento de la Calidad, órgano colegiado encargado de coordinar y supervisar los procesos de aseguramiento de calidad en la Universidad.</w:t>
      </w:r>
    </w:p>
    <w:p>
      <w:pPr>
        <w:spacing w:after="80" w:before="200"/>
      </w:pPr>
      <w:r>
        <w:rPr>
          <w:rFonts w:ascii="Arial" w:cs="Arial" w:eastAsia="Arial" w:hAnsi="Arial"/>
          <w:b/>
          <w:bCs/>
          <w:sz w:val="22"/>
          <w:szCs w:val="22"/>
        </w:rPr>
        <w:t xml:space="preserve">Artículo 2°.- </w:t>
      </w:r>
      <w:r>
        <w:rPr>
          <w:rFonts w:ascii="Arial" w:cs="Arial" w:eastAsia="Arial" w:hAnsi="Arial"/>
          <w:b/>
          <w:bCs/>
          <w:i/>
          <w:iCs/>
          <w:color w:val="555555"/>
          <w:sz w:val="22"/>
          <w:szCs w:val="22"/>
        </w:rPr>
        <w:t xml:space="preserve">(Naturaleza) </w:t>
      </w:r>
      <w:r>
        <w:rPr>
          <w:rFonts w:ascii="Arial" w:cs="Arial" w:eastAsia="Arial" w:hAnsi="Arial"/>
          <w:sz w:val="22"/>
          <w:szCs w:val="22"/>
        </w:rPr>
        <w:t xml:space="preserve">El Comité de Aseguramiento de la Calidad es un órgano de naturaleza consultiva y coordinadora, adscrito a la Dirección de Aseguramiento de la Calidad, encargado de proponer, monitorear y evaluar políticas y procesos de aseguramiento de calidad en todas las dimensiones institucionales.</w:t>
      </w:r>
    </w:p>
    <w:p>
      <w:r>
        <w:br w:type="page"/>
      </w:r>
    </w:p>
    <w:p>
      <w:pPr>
        <w:spacing w:after="200" w:before="300"/>
        <w:jc w:val="center"/>
      </w:pPr>
      <w:r>
        <w:rPr>
          <w:rFonts w:ascii="Arial" w:cs="Arial" w:eastAsia="Arial" w:hAnsi="Arial"/>
          <w:b/>
          <w:bCs/>
          <w:color w:val="003366"/>
          <w:sz w:val="26"/>
          <w:szCs w:val="26"/>
        </w:rPr>
        <w:t xml:space="preserve">TÍTULO 2</w:t>
      </w:r>
    </w:p>
    <w:p>
      <w:pPr>
        <w:spacing w:after="300"/>
        <w:jc w:val="center"/>
      </w:pPr>
      <w:r>
        <w:rPr>
          <w:rFonts w:ascii="Arial" w:cs="Arial" w:eastAsia="Arial" w:hAnsi="Arial"/>
          <w:b/>
          <w:bCs/>
          <w:color w:val="003366"/>
          <w:sz w:val="24"/>
          <w:szCs w:val="24"/>
        </w:rPr>
        <w:t xml:space="preserve">DE LA COMPOSICIÓN</w:t>
      </w:r>
    </w:p>
    <w:p>
      <w:pPr>
        <w:spacing w:after="80" w:before="200"/>
      </w:pPr>
      <w:r>
        <w:rPr>
          <w:rFonts w:ascii="Arial" w:cs="Arial" w:eastAsia="Arial" w:hAnsi="Arial"/>
          <w:b/>
          <w:bCs/>
          <w:sz w:val="22"/>
          <w:szCs w:val="22"/>
        </w:rPr>
        <w:t xml:space="preserve">Artículo 3°.- </w:t>
      </w:r>
      <w:r>
        <w:rPr>
          <w:rFonts w:ascii="Arial" w:cs="Arial" w:eastAsia="Arial" w:hAnsi="Arial"/>
          <w:b/>
          <w:bCs/>
          <w:i/>
          <w:iCs/>
          <w:color w:val="555555"/>
          <w:sz w:val="22"/>
          <w:szCs w:val="22"/>
        </w:rPr>
        <w:t xml:space="preserve">(Integrantes) </w:t>
      </w:r>
      <w:r>
        <w:rPr>
          <w:rFonts w:ascii="Arial" w:cs="Arial" w:eastAsia="Arial" w:hAnsi="Arial"/>
          <w:sz w:val="22"/>
          <w:szCs w:val="22"/>
        </w:rPr>
        <w:t xml:space="preserve">El Comité estará integrado obligatoriamente por: a) El Rector, quien lo preside; b) Al menos un Vicerrector designado por el Rector; c) El Director de Aseguramiento de la Calidad, quien actúa como Secretario Ejecutivo; d) Los Decanos de Facultad; e) Un representante de académicos designado por el Consejo de Rectores Académicos; f) Un representante de estudiantes designado por el Consejo de Presidentes de Federaciones.</w:t>
      </w:r>
    </w:p>
    <w:p>
      <w:pPr>
        <w:spacing w:after="80" w:before="200"/>
      </w:pPr>
      <w:r>
        <w:rPr>
          <w:rFonts w:ascii="Arial" w:cs="Arial" w:eastAsia="Arial" w:hAnsi="Arial"/>
          <w:b/>
          <w:bCs/>
          <w:sz w:val="22"/>
          <w:szCs w:val="22"/>
        </w:rPr>
        <w:t xml:space="preserve">Artículo 4°.- </w:t>
      </w:r>
      <w:r>
        <w:rPr>
          <w:rFonts w:ascii="Arial" w:cs="Arial" w:eastAsia="Arial" w:hAnsi="Arial"/>
          <w:b/>
          <w:bCs/>
          <w:i/>
          <w:iCs/>
          <w:color w:val="555555"/>
          <w:sz w:val="22"/>
          <w:szCs w:val="22"/>
        </w:rPr>
        <w:t xml:space="preserve">(Designación de miembros) </w:t>
      </w:r>
      <w:r>
        <w:rPr>
          <w:rFonts w:ascii="Arial" w:cs="Arial" w:eastAsia="Arial" w:hAnsi="Arial"/>
          <w:sz w:val="22"/>
          <w:szCs w:val="22"/>
        </w:rPr>
        <w:t xml:space="preserve">Los miembros del Comité que no son designados ex officio (Rector, Decanos) serán designados por un período de dos años, renovable por una sola vez consecutiva, con excepción de estudiantes cuyo período será de un año renovable.</w:t>
      </w:r>
    </w:p>
    <w:p>
      <w:pPr>
        <w:spacing w:after="80" w:before="200"/>
      </w:pPr>
      <w:r>
        <w:rPr>
          <w:rFonts w:ascii="Arial" w:cs="Arial" w:eastAsia="Arial" w:hAnsi="Arial"/>
          <w:b/>
          <w:bCs/>
          <w:sz w:val="22"/>
          <w:szCs w:val="22"/>
        </w:rPr>
        <w:t xml:space="preserve">Artículo 5°.- </w:t>
      </w:r>
      <w:r>
        <w:rPr>
          <w:rFonts w:ascii="Arial" w:cs="Arial" w:eastAsia="Arial" w:hAnsi="Arial"/>
          <w:b/>
          <w:bCs/>
          <w:i/>
          <w:iCs/>
          <w:color w:val="555555"/>
          <w:sz w:val="22"/>
          <w:szCs w:val="22"/>
        </w:rPr>
        <w:t xml:space="preserve">(Suplencias) </w:t>
      </w:r>
      <w:r>
        <w:rPr>
          <w:rFonts w:ascii="Arial" w:cs="Arial" w:eastAsia="Arial" w:hAnsi="Arial"/>
          <w:sz w:val="22"/>
          <w:szCs w:val="22"/>
        </w:rPr>
        <w:t xml:space="preserve">Cada miembro titular designará un suplente que lo represente en sus ausencias. Los suplentes tendrán las mismas atribuciones que los titulares y sus designaciones serán comunicadas al Comité en forma escrita.</w:t>
      </w:r>
    </w:p>
    <w:p>
      <w:r>
        <w:br w:type="page"/>
      </w:r>
    </w:p>
    <w:p>
      <w:pPr>
        <w:spacing w:after="200" w:before="300"/>
        <w:jc w:val="center"/>
      </w:pPr>
      <w:r>
        <w:rPr>
          <w:rFonts w:ascii="Arial" w:cs="Arial" w:eastAsia="Arial" w:hAnsi="Arial"/>
          <w:b/>
          <w:bCs/>
          <w:color w:val="003366"/>
          <w:sz w:val="26"/>
          <w:szCs w:val="26"/>
        </w:rPr>
        <w:t xml:space="preserve">TÍTULO 3</w:t>
      </w:r>
    </w:p>
    <w:p>
      <w:pPr>
        <w:spacing w:after="300"/>
        <w:jc w:val="center"/>
      </w:pPr>
      <w:r>
        <w:rPr>
          <w:rFonts w:ascii="Arial" w:cs="Arial" w:eastAsia="Arial" w:hAnsi="Arial"/>
          <w:b/>
          <w:bCs/>
          <w:color w:val="003366"/>
          <w:sz w:val="24"/>
          <w:szCs w:val="24"/>
        </w:rPr>
        <w:t xml:space="preserve">DE LAS FUNCIONES</w:t>
      </w:r>
    </w:p>
    <w:p>
      <w:pPr>
        <w:spacing w:after="80" w:before="200"/>
      </w:pPr>
      <w:r>
        <w:rPr>
          <w:rFonts w:ascii="Arial" w:cs="Arial" w:eastAsia="Arial" w:hAnsi="Arial"/>
          <w:b/>
          <w:bCs/>
          <w:sz w:val="22"/>
          <w:szCs w:val="22"/>
        </w:rPr>
        <w:t xml:space="preserve">Artículo 6°.- </w:t>
      </w:r>
      <w:r>
        <w:rPr>
          <w:rFonts w:ascii="Arial" w:cs="Arial" w:eastAsia="Arial" w:hAnsi="Arial"/>
          <w:b/>
          <w:bCs/>
          <w:i/>
          <w:iCs/>
          <w:color w:val="555555"/>
          <w:sz w:val="22"/>
          <w:szCs w:val="22"/>
        </w:rPr>
        <w:t xml:space="preserve">(Atribuciones) </w:t>
      </w:r>
      <w:r>
        <w:rPr>
          <w:rFonts w:ascii="Arial" w:cs="Arial" w:eastAsia="Arial" w:hAnsi="Arial"/>
          <w:sz w:val="22"/>
          <w:szCs w:val="22"/>
        </w:rPr>
        <w:t xml:space="preserve">Corresponderá al Comité: a) Definir criterios y estándares de calidad aplicables a programas académicos y servicios; b) Revisar y evaluar informes de autoevaluación de unidades académicas y administrativas; c) Proponer acciones de mejora continua; d) Supervisar la implementación de planes de mejoramiento; e) Coordinar procesos de evaluación externa y acreditación.</w:t>
      </w:r>
    </w:p>
    <w:p>
      <w:pPr>
        <w:spacing w:after="80" w:before="200"/>
      </w:pPr>
      <w:r>
        <w:rPr>
          <w:rFonts w:ascii="Arial" w:cs="Arial" w:eastAsia="Arial" w:hAnsi="Arial"/>
          <w:b/>
          <w:bCs/>
          <w:sz w:val="22"/>
          <w:szCs w:val="22"/>
        </w:rPr>
        <w:t xml:space="preserve">Artículo 7°.- </w:t>
      </w:r>
      <w:r>
        <w:rPr>
          <w:rFonts w:ascii="Arial" w:cs="Arial" w:eastAsia="Arial" w:hAnsi="Arial"/>
          <w:b/>
          <w:bCs/>
          <w:i/>
          <w:iCs/>
          <w:color w:val="555555"/>
          <w:sz w:val="22"/>
          <w:szCs w:val="22"/>
        </w:rPr>
        <w:t xml:space="preserve">(Evaluación y seguimiento) </w:t>
      </w:r>
      <w:r>
        <w:rPr>
          <w:rFonts w:ascii="Arial" w:cs="Arial" w:eastAsia="Arial" w:hAnsi="Arial"/>
          <w:sz w:val="22"/>
          <w:szCs w:val="22"/>
        </w:rPr>
        <w:t xml:space="preserve">El Comité llevará a cabo evaluaciones periódicas de: a) Calidad de docencia y desempeño académico; b) Relevancia de programas respecto de necesidades sociales; c) Efectividad de investigación y extensión; d) Satisfacción de estudiantes y empleadores; e) Gestión administrativa y financiera.</w:t>
      </w:r>
    </w:p>
    <w:p>
      <w:pPr>
        <w:spacing w:after="80" w:before="200"/>
      </w:pPr>
      <w:r>
        <w:rPr>
          <w:rFonts w:ascii="Arial" w:cs="Arial" w:eastAsia="Arial" w:hAnsi="Arial"/>
          <w:b/>
          <w:bCs/>
          <w:sz w:val="22"/>
          <w:szCs w:val="22"/>
        </w:rPr>
        <w:t xml:space="preserve">Artículo 8°.- </w:t>
      </w:r>
      <w:r>
        <w:rPr>
          <w:rFonts w:ascii="Arial" w:cs="Arial" w:eastAsia="Arial" w:hAnsi="Arial"/>
          <w:b/>
          <w:bCs/>
          <w:i/>
          <w:iCs/>
          <w:color w:val="555555"/>
          <w:sz w:val="22"/>
          <w:szCs w:val="22"/>
        </w:rPr>
        <w:t xml:space="preserve">(Informes) </w:t>
      </w:r>
      <w:r>
        <w:rPr>
          <w:rFonts w:ascii="Arial" w:cs="Arial" w:eastAsia="Arial" w:hAnsi="Arial"/>
          <w:sz w:val="22"/>
          <w:szCs w:val="22"/>
        </w:rPr>
        <w:t xml:space="preserve">El Comité presentará al Consejo Universitario un informe anual sobre estado del aseguramiento de calidad institucional, fortalezas identificadas, debilidades detectadas y recomendaciones de mejoramiento para el período siguiente.</w:t>
      </w:r>
    </w:p>
    <w:p>
      <w:r>
        <w:br w:type="page"/>
      </w:r>
    </w:p>
    <w:p>
      <w:pPr>
        <w:spacing w:after="200" w:before="300"/>
        <w:jc w:val="center"/>
      </w:pPr>
      <w:r>
        <w:rPr>
          <w:rFonts w:ascii="Arial" w:cs="Arial" w:eastAsia="Arial" w:hAnsi="Arial"/>
          <w:b/>
          <w:bCs/>
          <w:color w:val="003366"/>
          <w:sz w:val="26"/>
          <w:szCs w:val="26"/>
        </w:rPr>
        <w:t xml:space="preserve">TÍTULO 4</w:t>
      </w:r>
    </w:p>
    <w:p>
      <w:pPr>
        <w:spacing w:after="300"/>
        <w:jc w:val="center"/>
      </w:pPr>
      <w:r>
        <w:rPr>
          <w:rFonts w:ascii="Arial" w:cs="Arial" w:eastAsia="Arial" w:hAnsi="Arial"/>
          <w:b/>
          <w:bCs/>
          <w:color w:val="003366"/>
          <w:sz w:val="24"/>
          <w:szCs w:val="24"/>
        </w:rPr>
        <w:t xml:space="preserve">DEL FUNCIONAMIENTO</w:t>
      </w:r>
    </w:p>
    <w:p>
      <w:pPr>
        <w:spacing w:after="80" w:before="200"/>
      </w:pPr>
      <w:r>
        <w:rPr>
          <w:rFonts w:ascii="Arial" w:cs="Arial" w:eastAsia="Arial" w:hAnsi="Arial"/>
          <w:b/>
          <w:bCs/>
          <w:sz w:val="22"/>
          <w:szCs w:val="22"/>
        </w:rPr>
        <w:t xml:space="preserve">Artículo 9°.- </w:t>
      </w:r>
      <w:r>
        <w:rPr>
          <w:rFonts w:ascii="Arial" w:cs="Arial" w:eastAsia="Arial" w:hAnsi="Arial"/>
          <w:b/>
          <w:bCs/>
          <w:i/>
          <w:iCs/>
          <w:color w:val="555555"/>
          <w:sz w:val="22"/>
          <w:szCs w:val="22"/>
        </w:rPr>
        <w:t xml:space="preserve">(Sesiones ordinarias) </w:t>
      </w:r>
      <w:r>
        <w:rPr>
          <w:rFonts w:ascii="Arial" w:cs="Arial" w:eastAsia="Arial" w:hAnsi="Arial"/>
          <w:sz w:val="22"/>
          <w:szCs w:val="22"/>
        </w:rPr>
        <w:t xml:space="preserve">El Comité sesionará ordinariamente una vez por mes, en fechas establecidas en el calendario académico. Las sesiones serán convocadas por el Secretario Ejecutivo, quien también puede ser convocado por el Rector sin necesidad de aviso previo.</w:t>
      </w:r>
    </w:p>
    <w:p>
      <w:pPr>
        <w:spacing w:after="80" w:before="200"/>
      </w:pPr>
      <w:r>
        <w:rPr>
          <w:rFonts w:ascii="Arial" w:cs="Arial" w:eastAsia="Arial" w:hAnsi="Arial"/>
          <w:b/>
          <w:bCs/>
          <w:sz w:val="22"/>
          <w:szCs w:val="22"/>
        </w:rPr>
        <w:t xml:space="preserve">Artículo 10°.- </w:t>
      </w:r>
      <w:r>
        <w:rPr>
          <w:rFonts w:ascii="Arial" w:cs="Arial" w:eastAsia="Arial" w:hAnsi="Arial"/>
          <w:b/>
          <w:bCs/>
          <w:i/>
          <w:iCs/>
          <w:color w:val="555555"/>
          <w:sz w:val="22"/>
          <w:szCs w:val="22"/>
        </w:rPr>
        <w:t xml:space="preserve">(Quórum y votación) </w:t>
      </w:r>
      <w:r>
        <w:rPr>
          <w:rFonts w:ascii="Arial" w:cs="Arial" w:eastAsia="Arial" w:hAnsi="Arial"/>
          <w:sz w:val="22"/>
          <w:szCs w:val="22"/>
        </w:rPr>
        <w:t xml:space="preserve">Constituye quórum la asistencia de la mayoría absoluta de los miembros. Los acuerdos se adoptarán por mayoría simple de los presentes. En caso de empate, el Rector cuenta con voto dirimente.</w:t>
      </w:r>
    </w:p>
    <w:p>
      <w:pPr>
        <w:spacing w:after="80" w:before="200"/>
      </w:pPr>
      <w:r>
        <w:rPr>
          <w:rFonts w:ascii="Arial" w:cs="Arial" w:eastAsia="Arial" w:hAnsi="Arial"/>
          <w:b/>
          <w:bCs/>
          <w:sz w:val="22"/>
          <w:szCs w:val="22"/>
        </w:rPr>
        <w:t xml:space="preserve">Artículo 11°.- </w:t>
      </w:r>
      <w:r>
        <w:rPr>
          <w:rFonts w:ascii="Arial" w:cs="Arial" w:eastAsia="Arial" w:hAnsi="Arial"/>
          <w:b/>
          <w:bCs/>
          <w:i/>
          <w:iCs/>
          <w:color w:val="555555"/>
          <w:sz w:val="22"/>
          <w:szCs w:val="22"/>
        </w:rPr>
        <w:t xml:space="preserve">(Transparencia) </w:t>
      </w:r>
      <w:r>
        <w:rPr>
          <w:rFonts w:ascii="Arial" w:cs="Arial" w:eastAsia="Arial" w:hAnsi="Arial"/>
          <w:sz w:val="22"/>
          <w:szCs w:val="22"/>
        </w:rPr>
        <w:t xml:space="preserve">Las actas de sesiones serán públicas y disponibles en la página web institucional. Los informes de evaluación de unidades podrán ser dados a conocer a los evaluados para efectos de derecho a réplica antes de su aprobación final.</w:t>
      </w:r>
    </w:p>
    <w:p>
      <w:pPr>
        <w:spacing w:before="800"/>
      </w:pPr>
    </w:p>
    <w:p>
      <w:pPr>
        <w:pBdr>
          <w:top w:val="single" w:color="999999" w:sz="1"/>
        </w:pBdr>
        <w:spacing w:after="0"/>
        <w:jc w:val="center"/>
      </w:pPr>
    </w:p>
    <w:p>
      <w:pPr>
        <w:spacing w:after="0" w:before="200"/>
        <w:jc w:val="center"/>
      </w:pPr>
      <w:r>
        <w:rPr>
          <w:rFonts w:ascii="Arial" w:cs="Arial" w:eastAsia="Arial" w:hAnsi="Arial"/>
          <w:b/>
          <w:bCs/>
          <w:sz w:val="20"/>
          <w:szCs w:val="20"/>
        </w:rPr>
        <w:t xml:space="preserve">ANÓTESE, COMUNÍQUESE Y PUBLÍQUESE</w:t>
      </w:r>
    </w:p>
    <w:p>
      <w:pPr>
        <w:spacing w:after="0" w:before="600"/>
        <w:jc w:val="center"/>
      </w:pPr>
      <w:r>
        <w:rPr>
          <w:rFonts w:ascii="Arial" w:cs="Arial" w:eastAsia="Arial" w:hAnsi="Arial"/>
          <w:color w:val="999999"/>
          <w:sz w:val="20"/>
          <w:szCs w:val="20"/>
        </w:rPr>
        <w:t xml:space="preserve">_______________________________</w:t>
      </w:r>
    </w:p>
    <w:p>
      <w:pPr>
        <w:spacing w:after="0"/>
        <w:jc w:val="center"/>
      </w:pPr>
      <w:r>
        <w:rPr>
          <w:rFonts w:ascii="Arial" w:cs="Arial" w:eastAsia="Arial" w:hAnsi="Arial"/>
          <w:b/>
          <w:bCs/>
          <w:sz w:val="20"/>
          <w:szCs w:val="20"/>
        </w:rPr>
        <w:t xml:space="preserve">RECTOR(A)</w:t>
      </w:r>
    </w:p>
    <w:p>
      <w:pPr>
        <w:spacing w:after="0"/>
        <w:jc w:val="center"/>
      </w:pPr>
      <w:r>
        <w:rPr>
          <w:rFonts w:ascii="Arial" w:cs="Arial" w:eastAsia="Arial" w:hAnsi="Arial"/>
          <w:color w:val="666666"/>
          <w:sz w:val="18"/>
          <w:szCs w:val="18"/>
        </w:rPr>
        <w:t xml:space="preserve">Universidad de Magallanes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BORRADOR — Sujeto a revisión y aprobación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UMAG — Reglamento del Comité de Aseguramiento de la Calidad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2026-04-04T19:45:09.808Z</dcterms:created>
  <dcterms:modified xsi:type="dcterms:W3CDTF">2026-04-04T19:45:09.808Z</dcterms:modified>
</cp:coreProperties>
</file>

<file path=docProps/custom.xml><?xml version="1.0" encoding="utf-8"?>
<Properties xmlns="http://schemas.openxmlformats.org/officeDocument/2006/custom-properties" xmlns:vt="http://schemas.openxmlformats.org/officeDocument/2006/docPropsVTypes"/>
</file>